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6A5" w:rsidRPr="00F97A40" w:rsidRDefault="00E034BA" w:rsidP="007F16A5">
      <w:pPr>
        <w:ind w:right="44"/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>R</w:t>
      </w:r>
      <w:r w:rsidR="00D5706D" w:rsidRPr="00F97A40">
        <w:rPr>
          <w:sz w:val="22"/>
          <w:szCs w:val="22"/>
          <w:lang w:val="fr-FR"/>
        </w:rPr>
        <w:t>é</w:t>
      </w:r>
      <w:r w:rsidRPr="00F97A40">
        <w:rPr>
          <w:sz w:val="22"/>
          <w:szCs w:val="22"/>
          <w:lang w:val="fr-FR"/>
        </w:rPr>
        <w:t xml:space="preserve">f.: </w:t>
      </w:r>
      <w:r w:rsidR="005F37D2" w:rsidRPr="00F97A40">
        <w:rPr>
          <w:sz w:val="22"/>
          <w:szCs w:val="22"/>
          <w:lang w:val="fr-FR"/>
        </w:rPr>
        <w:t>SCBD/NP/VN/JS/DM/85176</w:t>
      </w:r>
      <w:r w:rsidR="007F16A5" w:rsidRPr="00F97A40">
        <w:rPr>
          <w:sz w:val="22"/>
          <w:szCs w:val="22"/>
          <w:lang w:val="fr-FR"/>
        </w:rPr>
        <w:t xml:space="preserve">                                                                      </w:t>
      </w:r>
      <w:r w:rsidR="003958A6" w:rsidRPr="00F97A40">
        <w:rPr>
          <w:sz w:val="22"/>
          <w:szCs w:val="22"/>
          <w:lang w:val="fr-FR"/>
        </w:rPr>
        <w:t>18 novembre</w:t>
      </w:r>
      <w:r w:rsidR="007F16A5" w:rsidRPr="00F97A40">
        <w:rPr>
          <w:sz w:val="22"/>
          <w:szCs w:val="22"/>
          <w:lang w:val="fr-FR"/>
        </w:rPr>
        <w:t xml:space="preserve"> 201</w:t>
      </w:r>
      <w:r w:rsidR="003958A6" w:rsidRPr="00F97A40">
        <w:rPr>
          <w:sz w:val="22"/>
          <w:szCs w:val="22"/>
          <w:lang w:val="fr-FR"/>
        </w:rPr>
        <w:t>5</w:t>
      </w:r>
    </w:p>
    <w:p w:rsidR="00E034BA" w:rsidRPr="00F97A40" w:rsidRDefault="00E034BA" w:rsidP="00E034BA">
      <w:pPr>
        <w:tabs>
          <w:tab w:val="left" w:pos="7020"/>
        </w:tabs>
        <w:ind w:right="44"/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ab/>
      </w:r>
      <w:r w:rsidR="007F16A5" w:rsidRPr="00F97A40">
        <w:rPr>
          <w:sz w:val="22"/>
          <w:szCs w:val="22"/>
          <w:lang w:val="fr-FR"/>
        </w:rPr>
        <w:t xml:space="preserve">  </w:t>
      </w:r>
    </w:p>
    <w:p w:rsidR="00E034BA" w:rsidRPr="00F97A40" w:rsidRDefault="00E034BA" w:rsidP="00E034BA">
      <w:pPr>
        <w:ind w:right="44"/>
        <w:jc w:val="both"/>
        <w:rPr>
          <w:sz w:val="22"/>
          <w:szCs w:val="22"/>
          <w:lang w:val="fr-FR"/>
        </w:rPr>
      </w:pPr>
    </w:p>
    <w:p w:rsidR="007F16A5" w:rsidRPr="00F97A40" w:rsidRDefault="007F16A5" w:rsidP="007F16A5">
      <w:pPr>
        <w:jc w:val="center"/>
        <w:rPr>
          <w:sz w:val="22"/>
          <w:szCs w:val="22"/>
          <w:lang w:val="pt-BR"/>
        </w:rPr>
      </w:pPr>
      <w:r w:rsidRPr="00F97A40">
        <w:rPr>
          <w:b/>
          <w:sz w:val="22"/>
          <w:szCs w:val="22"/>
          <w:lang w:val="pt-BR"/>
        </w:rPr>
        <w:t>N O T I F I C A T I O N</w:t>
      </w:r>
      <w:r w:rsidRPr="00F97A40">
        <w:rPr>
          <w:rStyle w:val="FootnoteReference"/>
          <w:b/>
          <w:sz w:val="22"/>
          <w:szCs w:val="22"/>
        </w:rPr>
        <w:footnoteReference w:id="1"/>
      </w:r>
    </w:p>
    <w:p w:rsidR="007F16A5" w:rsidRPr="00F97A40" w:rsidRDefault="007F16A5" w:rsidP="007F16A5">
      <w:pPr>
        <w:ind w:right="44"/>
        <w:jc w:val="both"/>
        <w:rPr>
          <w:sz w:val="22"/>
          <w:szCs w:val="22"/>
          <w:lang w:val="pt-BR"/>
        </w:rPr>
      </w:pPr>
    </w:p>
    <w:p w:rsidR="007F16A5" w:rsidRPr="00F97A40" w:rsidRDefault="007F16A5" w:rsidP="00AA2180">
      <w:pPr>
        <w:ind w:right="44"/>
        <w:jc w:val="center"/>
        <w:rPr>
          <w:b/>
          <w:sz w:val="22"/>
          <w:szCs w:val="22"/>
          <w:lang w:val="fr-FR"/>
        </w:rPr>
      </w:pPr>
      <w:r w:rsidRPr="00F97A40">
        <w:rPr>
          <w:b/>
          <w:sz w:val="22"/>
          <w:szCs w:val="22"/>
          <w:lang w:val="fr-FR"/>
        </w:rPr>
        <w:t xml:space="preserve">Atelier </w:t>
      </w:r>
      <w:r w:rsidR="00AA2180" w:rsidRPr="00F97A40">
        <w:rPr>
          <w:b/>
          <w:sz w:val="22"/>
          <w:szCs w:val="22"/>
          <w:lang w:val="fr-FR"/>
        </w:rPr>
        <w:t>régional de renforcement des capacités</w:t>
      </w:r>
      <w:r w:rsidRPr="00F97A40">
        <w:rPr>
          <w:b/>
          <w:sz w:val="22"/>
          <w:szCs w:val="22"/>
          <w:lang w:val="fr-FR"/>
        </w:rPr>
        <w:t xml:space="preserve"> pour la Région africaine sur les </w:t>
      </w:r>
      <w:r w:rsidR="003958A6" w:rsidRPr="00F97A40">
        <w:rPr>
          <w:b/>
          <w:sz w:val="22"/>
          <w:szCs w:val="22"/>
          <w:lang w:val="fr-FR"/>
        </w:rPr>
        <w:t xml:space="preserve">Protocoles   Communautaires, les Indicateurs des </w:t>
      </w:r>
      <w:r w:rsidRPr="00F97A40">
        <w:rPr>
          <w:b/>
          <w:sz w:val="22"/>
          <w:szCs w:val="22"/>
          <w:lang w:val="fr-FR"/>
        </w:rPr>
        <w:t>connaissances traditionnelles et l'utilisation coutum</w:t>
      </w:r>
      <w:r w:rsidR="003958A6" w:rsidRPr="00F97A40">
        <w:rPr>
          <w:b/>
          <w:sz w:val="22"/>
          <w:szCs w:val="22"/>
          <w:lang w:val="fr-FR"/>
        </w:rPr>
        <w:t>ière durable de la CDB, 25</w:t>
      </w:r>
      <w:r w:rsidR="00AA2180" w:rsidRPr="00F97A40">
        <w:rPr>
          <w:b/>
          <w:sz w:val="22"/>
          <w:szCs w:val="22"/>
          <w:lang w:val="fr-FR"/>
        </w:rPr>
        <w:t>-2</w:t>
      </w:r>
      <w:r w:rsidR="003958A6" w:rsidRPr="00F97A40">
        <w:rPr>
          <w:b/>
          <w:sz w:val="22"/>
          <w:szCs w:val="22"/>
          <w:lang w:val="fr-FR"/>
        </w:rPr>
        <w:t>9</w:t>
      </w:r>
      <w:r w:rsidR="00AA2180" w:rsidRPr="00F97A40">
        <w:rPr>
          <w:b/>
          <w:sz w:val="22"/>
          <w:szCs w:val="22"/>
          <w:lang w:val="fr-FR"/>
        </w:rPr>
        <w:t xml:space="preserve"> </w:t>
      </w:r>
      <w:r w:rsidR="003958A6" w:rsidRPr="00F97A40">
        <w:rPr>
          <w:b/>
          <w:sz w:val="22"/>
          <w:szCs w:val="22"/>
          <w:lang w:val="fr-FR"/>
        </w:rPr>
        <w:t>janvier</w:t>
      </w:r>
      <w:r w:rsidRPr="00F97A40">
        <w:rPr>
          <w:b/>
          <w:sz w:val="22"/>
          <w:szCs w:val="22"/>
          <w:lang w:val="fr-FR"/>
        </w:rPr>
        <w:t xml:space="preserve"> 201</w:t>
      </w:r>
      <w:r w:rsidR="003958A6" w:rsidRPr="00F97A40">
        <w:rPr>
          <w:b/>
          <w:sz w:val="22"/>
          <w:szCs w:val="22"/>
          <w:lang w:val="fr-FR"/>
        </w:rPr>
        <w:t>6</w:t>
      </w:r>
      <w:r w:rsidRPr="00F97A40">
        <w:rPr>
          <w:b/>
          <w:sz w:val="22"/>
          <w:szCs w:val="22"/>
          <w:lang w:val="fr-FR"/>
        </w:rPr>
        <w:t xml:space="preserve">, </w:t>
      </w:r>
      <w:r w:rsidR="00AA2180" w:rsidRPr="00F97A40">
        <w:rPr>
          <w:b/>
          <w:sz w:val="22"/>
          <w:szCs w:val="22"/>
          <w:lang w:val="fr-FR"/>
        </w:rPr>
        <w:t>Nairobi,</w:t>
      </w:r>
      <w:r w:rsidRPr="00F97A40">
        <w:rPr>
          <w:b/>
          <w:sz w:val="22"/>
          <w:szCs w:val="22"/>
          <w:lang w:val="fr-FR"/>
        </w:rPr>
        <w:t xml:space="preserve"> Kenya</w:t>
      </w:r>
    </w:p>
    <w:p w:rsidR="007F16A5" w:rsidRPr="00F97A40" w:rsidRDefault="007F16A5" w:rsidP="007F16A5">
      <w:pPr>
        <w:ind w:right="44"/>
        <w:jc w:val="both"/>
        <w:rPr>
          <w:sz w:val="22"/>
          <w:szCs w:val="22"/>
          <w:lang w:val="fr-FR"/>
        </w:rPr>
      </w:pPr>
    </w:p>
    <w:p w:rsidR="007F16A5" w:rsidRPr="00F97A40" w:rsidRDefault="007F16A5" w:rsidP="007F16A5">
      <w:pPr>
        <w:ind w:right="44"/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 xml:space="preserve">Madame / </w:t>
      </w:r>
      <w:r w:rsidR="00AA2180" w:rsidRPr="00F97A40">
        <w:rPr>
          <w:sz w:val="22"/>
          <w:szCs w:val="22"/>
          <w:lang w:val="fr-FR"/>
        </w:rPr>
        <w:t>Monsieur,</w:t>
      </w:r>
    </w:p>
    <w:p w:rsidR="007F16A5" w:rsidRPr="00F97A40" w:rsidRDefault="007F16A5" w:rsidP="007F16A5">
      <w:pPr>
        <w:ind w:right="44"/>
        <w:jc w:val="both"/>
        <w:rPr>
          <w:sz w:val="22"/>
          <w:szCs w:val="22"/>
          <w:lang w:val="fr-FR"/>
        </w:rPr>
      </w:pPr>
    </w:p>
    <w:p w:rsidR="007F16A5" w:rsidRPr="00F97A40" w:rsidRDefault="007F16A5" w:rsidP="00AA2180">
      <w:pPr>
        <w:ind w:firstLine="720"/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>Je suis heureux de vous informer que, grâce au généreux soutien du gouvernement du Japon, le Secrétariat de la Convention sur</w:t>
      </w:r>
      <w:r w:rsidR="00F95DF2" w:rsidRPr="00F97A40">
        <w:rPr>
          <w:sz w:val="22"/>
          <w:szCs w:val="22"/>
          <w:lang w:val="fr-FR"/>
        </w:rPr>
        <w:t xml:space="preserve"> la diversité biologique (CDB)</w:t>
      </w:r>
      <w:r w:rsidRPr="00F97A40">
        <w:rPr>
          <w:sz w:val="22"/>
          <w:szCs w:val="22"/>
          <w:lang w:val="fr-FR"/>
        </w:rPr>
        <w:t xml:space="preserve">, en collaboration avec le </w:t>
      </w:r>
      <w:r w:rsidR="003958A6" w:rsidRPr="00F97A40">
        <w:rPr>
          <w:sz w:val="22"/>
          <w:szCs w:val="22"/>
          <w:lang w:val="fr-FR"/>
        </w:rPr>
        <w:t xml:space="preserve">gouvernement du Kenya et le </w:t>
      </w:r>
      <w:r w:rsidRPr="00F97A40">
        <w:rPr>
          <w:sz w:val="22"/>
          <w:szCs w:val="22"/>
          <w:lang w:val="fr-FR"/>
        </w:rPr>
        <w:t>Ré</w:t>
      </w:r>
      <w:r w:rsidR="007F4891" w:rsidRPr="00F97A40">
        <w:rPr>
          <w:sz w:val="22"/>
          <w:szCs w:val="22"/>
          <w:lang w:val="fr-FR"/>
        </w:rPr>
        <w:t>seau d'information autochtone (</w:t>
      </w:r>
      <w:r w:rsidRPr="00F97A40">
        <w:rPr>
          <w:sz w:val="22"/>
          <w:szCs w:val="22"/>
          <w:lang w:val="fr-FR"/>
        </w:rPr>
        <w:t>IIN), organise</w:t>
      </w:r>
      <w:r w:rsidR="00BD7949" w:rsidRPr="00F97A40">
        <w:rPr>
          <w:sz w:val="22"/>
          <w:szCs w:val="22"/>
          <w:lang w:val="fr-FR"/>
        </w:rPr>
        <w:t>ra</w:t>
      </w:r>
      <w:r w:rsidRPr="00F97A40">
        <w:rPr>
          <w:sz w:val="22"/>
          <w:szCs w:val="22"/>
          <w:lang w:val="fr-FR"/>
        </w:rPr>
        <w:t xml:space="preserve"> un atelier </w:t>
      </w:r>
      <w:r w:rsidR="00F95DF2" w:rsidRPr="00F97A40">
        <w:rPr>
          <w:sz w:val="22"/>
          <w:szCs w:val="22"/>
          <w:lang w:val="fr-FR"/>
        </w:rPr>
        <w:t xml:space="preserve">régional </w:t>
      </w:r>
      <w:r w:rsidR="007F4891" w:rsidRPr="00F97A40">
        <w:rPr>
          <w:sz w:val="22"/>
          <w:szCs w:val="22"/>
          <w:lang w:val="fr-FR"/>
        </w:rPr>
        <w:t xml:space="preserve">de renforcement des capacités </w:t>
      </w:r>
      <w:r w:rsidRPr="00F97A40">
        <w:rPr>
          <w:sz w:val="22"/>
          <w:szCs w:val="22"/>
          <w:lang w:val="fr-FR"/>
        </w:rPr>
        <w:t xml:space="preserve">pour </w:t>
      </w:r>
      <w:r w:rsidR="00A955C8" w:rsidRPr="00F97A40">
        <w:rPr>
          <w:sz w:val="22"/>
          <w:szCs w:val="22"/>
          <w:lang w:val="fr-FR"/>
        </w:rPr>
        <w:t>la r</w:t>
      </w:r>
      <w:r w:rsidR="007F4891" w:rsidRPr="00F97A40">
        <w:rPr>
          <w:sz w:val="22"/>
          <w:szCs w:val="22"/>
          <w:lang w:val="fr-FR"/>
        </w:rPr>
        <w:t>égion africaine</w:t>
      </w:r>
      <w:r w:rsidRPr="00F97A40">
        <w:rPr>
          <w:sz w:val="22"/>
          <w:szCs w:val="22"/>
          <w:lang w:val="fr-FR"/>
        </w:rPr>
        <w:t xml:space="preserve"> </w:t>
      </w:r>
      <w:r w:rsidR="003958A6" w:rsidRPr="00F97A40">
        <w:rPr>
          <w:sz w:val="22"/>
          <w:szCs w:val="22"/>
          <w:lang w:val="fr-FR"/>
        </w:rPr>
        <w:t xml:space="preserve">qui </w:t>
      </w:r>
      <w:r w:rsidR="00F95DF2" w:rsidRPr="00F97A40">
        <w:rPr>
          <w:sz w:val="22"/>
          <w:szCs w:val="22"/>
          <w:lang w:val="fr-FR"/>
        </w:rPr>
        <w:t xml:space="preserve">se tiendra à Nairobi, </w:t>
      </w:r>
      <w:r w:rsidR="007F4891" w:rsidRPr="00F97A40">
        <w:rPr>
          <w:sz w:val="22"/>
          <w:szCs w:val="22"/>
          <w:lang w:val="fr-FR"/>
        </w:rPr>
        <w:t xml:space="preserve">au </w:t>
      </w:r>
      <w:r w:rsidR="003958A6" w:rsidRPr="00F97A40">
        <w:rPr>
          <w:sz w:val="22"/>
          <w:szCs w:val="22"/>
          <w:lang w:val="fr-FR"/>
        </w:rPr>
        <w:t>Kenya, du 25</w:t>
      </w:r>
      <w:r w:rsidR="00F95DF2" w:rsidRPr="00F97A40">
        <w:rPr>
          <w:sz w:val="22"/>
          <w:szCs w:val="22"/>
          <w:lang w:val="fr-FR"/>
        </w:rPr>
        <w:t xml:space="preserve"> au </w:t>
      </w:r>
      <w:r w:rsidR="003958A6" w:rsidRPr="00F97A40">
        <w:rPr>
          <w:sz w:val="22"/>
          <w:szCs w:val="22"/>
          <w:lang w:val="fr-FR"/>
        </w:rPr>
        <w:t>29 janvier 2016</w:t>
      </w:r>
      <w:r w:rsidRPr="00F97A40">
        <w:rPr>
          <w:sz w:val="22"/>
          <w:szCs w:val="22"/>
          <w:lang w:val="fr-FR"/>
        </w:rPr>
        <w:t>.</w:t>
      </w:r>
    </w:p>
    <w:p w:rsidR="00862AF6" w:rsidRPr="00F97A40" w:rsidRDefault="00862AF6" w:rsidP="00491D31">
      <w:pPr>
        <w:jc w:val="both"/>
        <w:rPr>
          <w:sz w:val="22"/>
          <w:szCs w:val="22"/>
          <w:lang w:val="fr-FR"/>
        </w:rPr>
      </w:pPr>
    </w:p>
    <w:p w:rsidR="00862AF6" w:rsidRPr="00F97A40" w:rsidRDefault="00862AF6" w:rsidP="00AA2180">
      <w:pPr>
        <w:ind w:firstLine="720"/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>L'objectif de l'atelier de formation est de former des formateurs des organisations des peuples autochtones et des communautés locales »(</w:t>
      </w:r>
      <w:proofErr w:type="spellStart"/>
      <w:r w:rsidRPr="00F97A40">
        <w:rPr>
          <w:sz w:val="22"/>
          <w:szCs w:val="22"/>
          <w:lang w:val="fr-FR"/>
        </w:rPr>
        <w:t>IPLCs</w:t>
      </w:r>
      <w:proofErr w:type="spellEnd"/>
      <w:r w:rsidRPr="00F97A40">
        <w:rPr>
          <w:sz w:val="22"/>
          <w:szCs w:val="22"/>
          <w:lang w:val="fr-FR"/>
        </w:rPr>
        <w:t>) et de pays africains Parties à:</w:t>
      </w:r>
    </w:p>
    <w:p w:rsidR="00862AF6" w:rsidRPr="00F97A40" w:rsidRDefault="00862AF6" w:rsidP="00862AF6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>Développer des protocoles communautaires sur les connaissances traditionnelles (CT) y compris les connaissances traditionnelles associées aux ressources génétiques dans le cadre du Protocole de Nagoya;</w:t>
      </w:r>
    </w:p>
    <w:p w:rsidR="00862AF6" w:rsidRPr="00F97A40" w:rsidRDefault="004464D8" w:rsidP="00862AF6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 xml:space="preserve">Opérationnaliser </w:t>
      </w:r>
      <w:r w:rsidR="00862AF6" w:rsidRPr="00F97A40">
        <w:rPr>
          <w:sz w:val="22"/>
          <w:szCs w:val="22"/>
          <w:lang w:val="fr-FR"/>
        </w:rPr>
        <w:t>des indicateurs sur les connaissances traditionnelles et l'utilisation coutumière durable (CSU), y compris par le biais</w:t>
      </w:r>
      <w:r w:rsidR="00A955C8" w:rsidRPr="00F97A40">
        <w:rPr>
          <w:sz w:val="22"/>
          <w:szCs w:val="22"/>
          <w:lang w:val="fr-FR"/>
        </w:rPr>
        <w:t xml:space="preserve"> de</w:t>
      </w:r>
      <w:r w:rsidR="00862AF6" w:rsidRPr="00F97A40">
        <w:rPr>
          <w:sz w:val="22"/>
          <w:szCs w:val="22"/>
          <w:lang w:val="fr-FR"/>
        </w:rPr>
        <w:t xml:space="preserve"> </w:t>
      </w:r>
      <w:r w:rsidR="00DC1460" w:rsidRPr="00F97A40">
        <w:rPr>
          <w:sz w:val="22"/>
          <w:szCs w:val="22"/>
          <w:lang w:val="fr-FR"/>
        </w:rPr>
        <w:t>systèmes de surveillance et d'information communautaires</w:t>
      </w:r>
      <w:r w:rsidR="00862AF6" w:rsidRPr="00F97A40">
        <w:rPr>
          <w:sz w:val="22"/>
          <w:szCs w:val="22"/>
          <w:lang w:val="fr-FR"/>
        </w:rPr>
        <w:t xml:space="preserve"> (CBMIS); et</w:t>
      </w:r>
    </w:p>
    <w:p w:rsidR="00862AF6" w:rsidRPr="00F97A40" w:rsidRDefault="00862AF6" w:rsidP="00862AF6">
      <w:pPr>
        <w:pStyle w:val="ListParagraph"/>
        <w:numPr>
          <w:ilvl w:val="0"/>
          <w:numId w:val="2"/>
        </w:numPr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>Mettre en œuvre le Plan d'action mondial sur l'utilisation coutumière durable.</w:t>
      </w:r>
    </w:p>
    <w:p w:rsidR="007F16A5" w:rsidRPr="00F97A40" w:rsidRDefault="007F16A5" w:rsidP="00AA2180">
      <w:pPr>
        <w:ind w:firstLine="720"/>
        <w:jc w:val="both"/>
        <w:rPr>
          <w:sz w:val="22"/>
          <w:szCs w:val="22"/>
          <w:lang w:val="fr-FR"/>
        </w:rPr>
      </w:pPr>
    </w:p>
    <w:p w:rsidR="00DC1460" w:rsidRPr="00F97A40" w:rsidRDefault="00DC1460" w:rsidP="00DC1460">
      <w:pPr>
        <w:ind w:firstLine="720"/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 xml:space="preserve">Le programme de formation et </w:t>
      </w:r>
      <w:r w:rsidR="000B3729" w:rsidRPr="00F97A40">
        <w:rPr>
          <w:sz w:val="22"/>
          <w:szCs w:val="22"/>
          <w:lang w:val="fr-FR"/>
        </w:rPr>
        <w:t>l’</w:t>
      </w:r>
      <w:r w:rsidRPr="00F97A40">
        <w:rPr>
          <w:sz w:val="22"/>
          <w:szCs w:val="22"/>
          <w:lang w:val="fr-FR"/>
        </w:rPr>
        <w:t xml:space="preserve">atelier aideront les formateurs </w:t>
      </w:r>
      <w:r w:rsidR="000B3729" w:rsidRPr="00F97A40">
        <w:rPr>
          <w:sz w:val="22"/>
          <w:szCs w:val="22"/>
          <w:lang w:val="fr-FR"/>
        </w:rPr>
        <w:t xml:space="preserve">à se familiariser </w:t>
      </w:r>
      <w:r w:rsidRPr="00F97A40">
        <w:rPr>
          <w:sz w:val="22"/>
          <w:szCs w:val="22"/>
          <w:lang w:val="fr-FR"/>
        </w:rPr>
        <w:t xml:space="preserve">avec </w:t>
      </w:r>
      <w:r w:rsidR="000B3729" w:rsidRPr="00F97A40">
        <w:rPr>
          <w:sz w:val="22"/>
          <w:szCs w:val="22"/>
          <w:lang w:val="fr-FR"/>
        </w:rPr>
        <w:t>le</w:t>
      </w:r>
      <w:r w:rsidRPr="00F97A40">
        <w:rPr>
          <w:sz w:val="22"/>
          <w:szCs w:val="22"/>
          <w:lang w:val="fr-FR"/>
        </w:rPr>
        <w:t xml:space="preserve"> matériel de formation et à organiser leurs propres ateliers de renforcement des capacités nationales ou locales sur ces questions thématiques, en ligne avec la mise en œuvre du Plan stratégique 2011-2020 pour la biodiversité, en particulier les </w:t>
      </w:r>
      <w:r w:rsidR="000B3729" w:rsidRPr="00F97A40">
        <w:rPr>
          <w:sz w:val="22"/>
          <w:szCs w:val="22"/>
          <w:lang w:val="fr-FR"/>
        </w:rPr>
        <w:t>Objectifs</w:t>
      </w:r>
      <w:r w:rsidR="0028509B" w:rsidRPr="00F97A40">
        <w:rPr>
          <w:sz w:val="22"/>
          <w:szCs w:val="22"/>
          <w:lang w:val="fr-FR"/>
        </w:rPr>
        <w:t xml:space="preserve"> 18 et 16</w:t>
      </w:r>
      <w:r w:rsidRPr="00F97A40">
        <w:rPr>
          <w:sz w:val="22"/>
          <w:szCs w:val="22"/>
          <w:lang w:val="fr-FR"/>
        </w:rPr>
        <w:t xml:space="preserve">. L'atelier de formation se déroulera en français et en anglais et est </w:t>
      </w:r>
      <w:r w:rsidRPr="00F97A40">
        <w:rPr>
          <w:b/>
          <w:sz w:val="22"/>
          <w:szCs w:val="22"/>
          <w:lang w:val="fr-FR"/>
        </w:rPr>
        <w:t>dédié uniquement aux pays de la région africaine</w:t>
      </w:r>
      <w:r w:rsidRPr="00F97A40">
        <w:rPr>
          <w:sz w:val="22"/>
          <w:szCs w:val="22"/>
          <w:lang w:val="fr-FR"/>
        </w:rPr>
        <w:t>.</w:t>
      </w:r>
    </w:p>
    <w:p w:rsidR="00491D31" w:rsidRPr="00F97A40" w:rsidRDefault="00491D31" w:rsidP="0028509B">
      <w:pPr>
        <w:jc w:val="both"/>
        <w:rPr>
          <w:sz w:val="22"/>
          <w:szCs w:val="22"/>
          <w:lang w:val="fr-FR"/>
        </w:rPr>
      </w:pPr>
    </w:p>
    <w:p w:rsidR="00DC1460" w:rsidRPr="00F97A40" w:rsidRDefault="00DC1460" w:rsidP="00DC1460">
      <w:pPr>
        <w:ind w:firstLine="720"/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 xml:space="preserve">Je suis donc heureux d'inviter les </w:t>
      </w:r>
      <w:r w:rsidR="00491D31" w:rsidRPr="00F97A40">
        <w:rPr>
          <w:sz w:val="22"/>
          <w:szCs w:val="22"/>
          <w:lang w:val="fr-FR"/>
        </w:rPr>
        <w:t>pays</w:t>
      </w:r>
      <w:r w:rsidRPr="00F97A40">
        <w:rPr>
          <w:sz w:val="22"/>
          <w:szCs w:val="22"/>
          <w:lang w:val="fr-FR"/>
        </w:rPr>
        <w:t xml:space="preserve"> </w:t>
      </w:r>
      <w:r w:rsidR="00491D31" w:rsidRPr="00F97A40">
        <w:rPr>
          <w:sz w:val="22"/>
          <w:szCs w:val="22"/>
          <w:lang w:val="fr-FR"/>
        </w:rPr>
        <w:t>intéressés</w:t>
      </w:r>
      <w:r w:rsidRPr="00F97A40">
        <w:rPr>
          <w:sz w:val="22"/>
          <w:szCs w:val="22"/>
          <w:lang w:val="fr-FR"/>
        </w:rPr>
        <w:t xml:space="preserve">, en particulier </w:t>
      </w:r>
      <w:r w:rsidR="00491D31" w:rsidRPr="00F97A40">
        <w:rPr>
          <w:sz w:val="22"/>
          <w:szCs w:val="22"/>
          <w:lang w:val="fr-FR"/>
        </w:rPr>
        <w:t>ceux</w:t>
      </w:r>
      <w:r w:rsidRPr="00F97A40">
        <w:rPr>
          <w:sz w:val="22"/>
          <w:szCs w:val="22"/>
          <w:lang w:val="fr-FR"/>
        </w:rPr>
        <w:t xml:space="preserve"> qui ont désigné des points focaux nationaux pour les </w:t>
      </w:r>
      <w:r w:rsidR="0028509B" w:rsidRPr="00F97A40">
        <w:rPr>
          <w:sz w:val="22"/>
          <w:szCs w:val="22"/>
          <w:lang w:val="fr-FR"/>
        </w:rPr>
        <w:t>connaissances traditionnelles</w:t>
      </w:r>
      <w:r w:rsidRPr="00F97A40">
        <w:rPr>
          <w:sz w:val="22"/>
          <w:szCs w:val="22"/>
          <w:lang w:val="fr-FR"/>
        </w:rPr>
        <w:t xml:space="preserve">, et </w:t>
      </w:r>
      <w:r w:rsidR="00491D31" w:rsidRPr="00F97A40">
        <w:rPr>
          <w:sz w:val="22"/>
          <w:szCs w:val="22"/>
          <w:lang w:val="fr-FR"/>
        </w:rPr>
        <w:t>organisations autochtones</w:t>
      </w:r>
      <w:r w:rsidRPr="00F97A40">
        <w:rPr>
          <w:sz w:val="22"/>
          <w:szCs w:val="22"/>
          <w:lang w:val="fr-FR"/>
        </w:rPr>
        <w:t xml:space="preserve"> de la région </w:t>
      </w:r>
      <w:r w:rsidR="00491D31" w:rsidRPr="00F97A40">
        <w:rPr>
          <w:sz w:val="22"/>
          <w:szCs w:val="22"/>
          <w:lang w:val="fr-FR"/>
        </w:rPr>
        <w:t>africaine</w:t>
      </w:r>
      <w:r w:rsidRPr="00F97A40">
        <w:rPr>
          <w:sz w:val="22"/>
          <w:szCs w:val="22"/>
          <w:lang w:val="fr-FR"/>
        </w:rPr>
        <w:t xml:space="preserve"> à désigner des représentants sur la base des critères suivants:</w:t>
      </w:r>
    </w:p>
    <w:p w:rsidR="00DC1460" w:rsidRPr="00F97A40" w:rsidRDefault="00DC1460" w:rsidP="00DC1460">
      <w:pPr>
        <w:ind w:firstLine="720"/>
        <w:jc w:val="both"/>
        <w:rPr>
          <w:sz w:val="22"/>
          <w:szCs w:val="22"/>
          <w:lang w:val="fr-FR"/>
        </w:rPr>
      </w:pPr>
    </w:p>
    <w:p w:rsidR="00DC1460" w:rsidRPr="00F97A40" w:rsidRDefault="00DC1460" w:rsidP="00DC1460">
      <w:pPr>
        <w:ind w:firstLine="720"/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 xml:space="preserve">(i) Leur expertise sur les </w:t>
      </w:r>
      <w:r w:rsidR="0028509B" w:rsidRPr="00F97A40">
        <w:rPr>
          <w:sz w:val="22"/>
          <w:szCs w:val="22"/>
          <w:lang w:val="fr-FR"/>
        </w:rPr>
        <w:t xml:space="preserve">connaissances traditionnelles </w:t>
      </w:r>
      <w:r w:rsidR="00B1707B" w:rsidRPr="00F97A40">
        <w:rPr>
          <w:sz w:val="22"/>
          <w:szCs w:val="22"/>
          <w:lang w:val="fr-FR"/>
        </w:rPr>
        <w:t>et d</w:t>
      </w:r>
      <w:r w:rsidRPr="00F97A40">
        <w:rPr>
          <w:sz w:val="22"/>
          <w:szCs w:val="22"/>
          <w:lang w:val="fr-FR"/>
        </w:rPr>
        <w:t>es questions connexes; et</w:t>
      </w:r>
    </w:p>
    <w:p w:rsidR="00DC1460" w:rsidRPr="00F97A40" w:rsidRDefault="00DC1460" w:rsidP="00DC1460">
      <w:pPr>
        <w:ind w:firstLine="720"/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lastRenderedPageBreak/>
        <w:t xml:space="preserve">(ii) Leur capacité à </w:t>
      </w:r>
      <w:r w:rsidR="00A955C8" w:rsidRPr="00F97A40">
        <w:rPr>
          <w:sz w:val="22"/>
          <w:szCs w:val="22"/>
          <w:lang w:val="fr-FR"/>
        </w:rPr>
        <w:t>organiser</w:t>
      </w:r>
      <w:r w:rsidRPr="00F97A40">
        <w:rPr>
          <w:sz w:val="22"/>
          <w:szCs w:val="22"/>
          <w:lang w:val="fr-FR"/>
        </w:rPr>
        <w:t xml:space="preserve"> de nouvelles formations </w:t>
      </w:r>
      <w:r w:rsidR="00A955C8" w:rsidRPr="00F97A40">
        <w:rPr>
          <w:sz w:val="22"/>
          <w:szCs w:val="22"/>
          <w:lang w:val="fr-FR"/>
        </w:rPr>
        <w:t>aux niveaux régional, national,</w:t>
      </w:r>
      <w:r w:rsidR="00B1707B" w:rsidRPr="00F97A40">
        <w:rPr>
          <w:sz w:val="22"/>
          <w:szCs w:val="22"/>
          <w:lang w:val="fr-FR"/>
        </w:rPr>
        <w:t xml:space="preserve"> </w:t>
      </w:r>
      <w:r w:rsidRPr="00F97A40">
        <w:rPr>
          <w:sz w:val="22"/>
          <w:szCs w:val="22"/>
          <w:lang w:val="fr-FR"/>
        </w:rPr>
        <w:t xml:space="preserve">infranational ou local sur </w:t>
      </w:r>
      <w:r w:rsidR="00B1707B" w:rsidRPr="00F97A40">
        <w:rPr>
          <w:sz w:val="22"/>
          <w:szCs w:val="22"/>
          <w:lang w:val="fr-FR"/>
        </w:rPr>
        <w:t>la</w:t>
      </w:r>
      <w:r w:rsidRPr="00F97A40">
        <w:rPr>
          <w:sz w:val="22"/>
          <w:szCs w:val="22"/>
          <w:lang w:val="fr-FR"/>
        </w:rPr>
        <w:t xml:space="preserve"> </w:t>
      </w:r>
      <w:r w:rsidR="00B1707B" w:rsidRPr="00F97A40">
        <w:rPr>
          <w:sz w:val="22"/>
          <w:szCs w:val="22"/>
          <w:lang w:val="fr-FR"/>
        </w:rPr>
        <w:t>surveillance</w:t>
      </w:r>
      <w:r w:rsidR="00C85696" w:rsidRPr="00F97A40">
        <w:rPr>
          <w:sz w:val="22"/>
          <w:szCs w:val="22"/>
          <w:lang w:val="fr-FR"/>
        </w:rPr>
        <w:t xml:space="preserve"> communautaire </w:t>
      </w:r>
      <w:r w:rsidRPr="00F97A40">
        <w:rPr>
          <w:sz w:val="22"/>
          <w:szCs w:val="22"/>
          <w:lang w:val="fr-FR"/>
        </w:rPr>
        <w:t xml:space="preserve">et les indicateurs sur les connaissances traditionnelles et l'utilisation coutumière </w:t>
      </w:r>
      <w:r w:rsidR="00B1707B" w:rsidRPr="00F97A40">
        <w:rPr>
          <w:sz w:val="22"/>
          <w:szCs w:val="22"/>
          <w:lang w:val="fr-FR"/>
        </w:rPr>
        <w:t>durable</w:t>
      </w:r>
      <w:r w:rsidRPr="00F97A40">
        <w:rPr>
          <w:sz w:val="22"/>
          <w:szCs w:val="22"/>
          <w:lang w:val="fr-FR"/>
        </w:rPr>
        <w:t xml:space="preserve">, </w:t>
      </w:r>
      <w:r w:rsidR="00B1707B" w:rsidRPr="00F97A40">
        <w:rPr>
          <w:sz w:val="22"/>
          <w:szCs w:val="22"/>
          <w:lang w:val="fr-FR"/>
        </w:rPr>
        <w:t>les protocoles communautaires</w:t>
      </w:r>
      <w:r w:rsidRPr="00F97A40">
        <w:rPr>
          <w:sz w:val="22"/>
          <w:szCs w:val="22"/>
          <w:lang w:val="fr-FR"/>
        </w:rPr>
        <w:t xml:space="preserve"> sur les </w:t>
      </w:r>
      <w:r w:rsidR="00B1707B" w:rsidRPr="00F97A40">
        <w:rPr>
          <w:sz w:val="22"/>
          <w:szCs w:val="22"/>
          <w:lang w:val="fr-FR"/>
        </w:rPr>
        <w:t>connaissances traditionnelles</w:t>
      </w:r>
      <w:r w:rsidRPr="00F97A40">
        <w:rPr>
          <w:sz w:val="22"/>
          <w:szCs w:val="22"/>
          <w:lang w:val="fr-FR"/>
        </w:rPr>
        <w:t xml:space="preserve">, y compris les </w:t>
      </w:r>
      <w:r w:rsidR="00B1707B" w:rsidRPr="00F97A40">
        <w:rPr>
          <w:sz w:val="22"/>
          <w:szCs w:val="22"/>
          <w:lang w:val="fr-FR"/>
        </w:rPr>
        <w:t xml:space="preserve">connaissances traditionnelles </w:t>
      </w:r>
      <w:r w:rsidRPr="00F97A40">
        <w:rPr>
          <w:sz w:val="22"/>
          <w:szCs w:val="22"/>
          <w:lang w:val="fr-FR"/>
        </w:rPr>
        <w:t>associé</w:t>
      </w:r>
      <w:r w:rsidR="00B1707B" w:rsidRPr="00F97A40">
        <w:rPr>
          <w:sz w:val="22"/>
          <w:szCs w:val="22"/>
          <w:lang w:val="fr-FR"/>
        </w:rPr>
        <w:t>e</w:t>
      </w:r>
      <w:r w:rsidRPr="00F97A40">
        <w:rPr>
          <w:sz w:val="22"/>
          <w:szCs w:val="22"/>
          <w:lang w:val="fr-FR"/>
        </w:rPr>
        <w:t>s aux ressources génétiques dans le cadre du Protocole</w:t>
      </w:r>
      <w:r w:rsidR="00B1707B" w:rsidRPr="00F97A40">
        <w:rPr>
          <w:sz w:val="22"/>
          <w:szCs w:val="22"/>
          <w:lang w:val="fr-FR"/>
        </w:rPr>
        <w:t xml:space="preserve"> de Nagoya</w:t>
      </w:r>
      <w:r w:rsidRPr="00F97A40">
        <w:rPr>
          <w:sz w:val="22"/>
          <w:szCs w:val="22"/>
          <w:lang w:val="fr-FR"/>
        </w:rPr>
        <w:t>.</w:t>
      </w:r>
    </w:p>
    <w:p w:rsidR="00E24AF7" w:rsidRPr="00F97A40" w:rsidRDefault="00B1707B" w:rsidP="00700AC5">
      <w:pPr>
        <w:pStyle w:val="ListParagraph"/>
        <w:ind w:left="1440"/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 xml:space="preserve"> </w:t>
      </w:r>
    </w:p>
    <w:p w:rsidR="00F22732" w:rsidRPr="00F97A40" w:rsidRDefault="00410D1B" w:rsidP="00E24AF7">
      <w:pPr>
        <w:ind w:firstLine="720"/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 xml:space="preserve">Les candidatures doivent </w:t>
      </w:r>
      <w:r w:rsidR="00E24AF7" w:rsidRPr="00F97A40">
        <w:rPr>
          <w:sz w:val="22"/>
          <w:szCs w:val="22"/>
          <w:lang w:val="fr-FR"/>
        </w:rPr>
        <w:t>être envoyées sous</w:t>
      </w:r>
      <w:r w:rsidRPr="00F97A40">
        <w:rPr>
          <w:sz w:val="22"/>
          <w:szCs w:val="22"/>
          <w:lang w:val="fr-FR"/>
        </w:rPr>
        <w:t xml:space="preserve"> la forme </w:t>
      </w:r>
      <w:r w:rsidR="00E24AF7" w:rsidRPr="00F97A40">
        <w:rPr>
          <w:sz w:val="22"/>
          <w:szCs w:val="22"/>
          <w:lang w:val="fr-FR"/>
        </w:rPr>
        <w:t>d’une lettre</w:t>
      </w:r>
      <w:r w:rsidRPr="00F97A40">
        <w:rPr>
          <w:sz w:val="22"/>
          <w:szCs w:val="22"/>
          <w:lang w:val="fr-FR"/>
        </w:rPr>
        <w:t xml:space="preserve"> au Secrétaire </w:t>
      </w:r>
      <w:r w:rsidR="00F22732" w:rsidRPr="00F97A40">
        <w:rPr>
          <w:sz w:val="22"/>
          <w:szCs w:val="22"/>
          <w:lang w:val="fr-FR"/>
        </w:rPr>
        <w:t>exécutif,</w:t>
      </w:r>
      <w:r w:rsidRPr="00F97A40">
        <w:rPr>
          <w:sz w:val="22"/>
          <w:szCs w:val="22"/>
          <w:lang w:val="fr-FR"/>
        </w:rPr>
        <w:t xml:space="preserve"> par </w:t>
      </w:r>
      <w:r w:rsidR="00952F39" w:rsidRPr="00F97A40">
        <w:rPr>
          <w:sz w:val="22"/>
          <w:szCs w:val="22"/>
          <w:lang w:val="fr-FR"/>
        </w:rPr>
        <w:t>courrier électronique</w:t>
      </w:r>
      <w:r w:rsidRPr="00F97A40">
        <w:rPr>
          <w:sz w:val="22"/>
          <w:szCs w:val="22"/>
          <w:lang w:val="fr-FR"/>
        </w:rPr>
        <w:t xml:space="preserve"> à : </w:t>
      </w:r>
      <w:hyperlink r:id="rId8" w:history="1">
        <w:r w:rsidR="00F22732" w:rsidRPr="00F97A40">
          <w:rPr>
            <w:rStyle w:val="Hyperlink"/>
            <w:sz w:val="22"/>
            <w:szCs w:val="22"/>
            <w:lang w:val="fr-FR"/>
          </w:rPr>
          <w:t>secretariat@cbd.int</w:t>
        </w:r>
      </w:hyperlink>
      <w:r w:rsidRPr="00F97A40">
        <w:rPr>
          <w:sz w:val="22"/>
          <w:szCs w:val="22"/>
          <w:lang w:val="fr-FR"/>
        </w:rPr>
        <w:t>, ou par télécopieur au : +1 (514) 288-</w:t>
      </w:r>
      <w:r w:rsidR="00952F39" w:rsidRPr="00F97A40">
        <w:rPr>
          <w:sz w:val="22"/>
          <w:szCs w:val="22"/>
          <w:lang w:val="fr-FR"/>
        </w:rPr>
        <w:t>6588,</w:t>
      </w:r>
      <w:r w:rsidRPr="00F97A40">
        <w:rPr>
          <w:sz w:val="22"/>
          <w:szCs w:val="22"/>
          <w:lang w:val="fr-FR"/>
        </w:rPr>
        <w:t xml:space="preserve"> et doivent contenir les coordonnées complètes du candidat, accompagnée d'un curricu</w:t>
      </w:r>
      <w:r w:rsidR="00F22732" w:rsidRPr="00F97A40">
        <w:rPr>
          <w:sz w:val="22"/>
          <w:szCs w:val="22"/>
          <w:lang w:val="fr-FR"/>
        </w:rPr>
        <w:t>lum vitae indiquant clairement ses domaines d'expertise</w:t>
      </w:r>
      <w:r w:rsidR="00D55CA7" w:rsidRPr="00F97A40">
        <w:rPr>
          <w:sz w:val="22"/>
          <w:szCs w:val="22"/>
          <w:lang w:val="fr-FR"/>
        </w:rPr>
        <w:t xml:space="preserve"> ainsi que le formulaire en pièce joint rempli</w:t>
      </w:r>
      <w:r w:rsidRPr="00F97A40">
        <w:rPr>
          <w:sz w:val="22"/>
          <w:szCs w:val="22"/>
          <w:lang w:val="fr-FR"/>
        </w:rPr>
        <w:t xml:space="preserve">. Les candidatures doivent être soumises au plus tard le </w:t>
      </w:r>
      <w:r w:rsidR="00D55CA7" w:rsidRPr="00F97A40">
        <w:rPr>
          <w:b/>
          <w:sz w:val="22"/>
          <w:szCs w:val="22"/>
          <w:lang w:val="fr-FR"/>
        </w:rPr>
        <w:t>11 décembre</w:t>
      </w:r>
      <w:r w:rsidRPr="00F97A40">
        <w:rPr>
          <w:b/>
          <w:sz w:val="22"/>
          <w:szCs w:val="22"/>
          <w:lang w:val="fr-FR"/>
        </w:rPr>
        <w:t xml:space="preserve"> 201</w:t>
      </w:r>
      <w:r w:rsidR="00D55CA7" w:rsidRPr="00F97A40">
        <w:rPr>
          <w:b/>
          <w:sz w:val="22"/>
          <w:szCs w:val="22"/>
          <w:lang w:val="fr-FR"/>
        </w:rPr>
        <w:t>5</w:t>
      </w:r>
      <w:r w:rsidRPr="00F97A40">
        <w:rPr>
          <w:sz w:val="22"/>
          <w:szCs w:val="22"/>
          <w:lang w:val="fr-FR"/>
        </w:rPr>
        <w:t>.</w:t>
      </w:r>
    </w:p>
    <w:p w:rsidR="00F22732" w:rsidRPr="00F97A40" w:rsidRDefault="00F22732" w:rsidP="00E24AF7">
      <w:pPr>
        <w:ind w:firstLine="720"/>
        <w:jc w:val="both"/>
        <w:rPr>
          <w:sz w:val="22"/>
          <w:szCs w:val="22"/>
          <w:lang w:val="fr-FR"/>
        </w:rPr>
      </w:pPr>
    </w:p>
    <w:p w:rsidR="00F22732" w:rsidRPr="00F97A40" w:rsidRDefault="00410D1B" w:rsidP="00E24AF7">
      <w:pPr>
        <w:ind w:firstLine="720"/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>Sous rése</w:t>
      </w:r>
      <w:r w:rsidR="00952F39" w:rsidRPr="00F97A40">
        <w:rPr>
          <w:sz w:val="22"/>
          <w:szCs w:val="22"/>
          <w:lang w:val="fr-FR"/>
        </w:rPr>
        <w:t>rve de la disponibilité de</w:t>
      </w:r>
      <w:r w:rsidRPr="00F97A40">
        <w:rPr>
          <w:sz w:val="22"/>
          <w:szCs w:val="22"/>
          <w:lang w:val="fr-FR"/>
        </w:rPr>
        <w:t xml:space="preserve"> fonds, le Secrétariat de la CDB sélectionnera les participants sur la base de l'équilibre régional, l'égalité des sexes, une expertise pertinente, et la capacité d'</w:t>
      </w:r>
      <w:r w:rsidR="00763D47" w:rsidRPr="00F97A40">
        <w:rPr>
          <w:sz w:val="22"/>
          <w:szCs w:val="22"/>
          <w:lang w:val="fr-FR"/>
        </w:rPr>
        <w:t>organiser</w:t>
      </w:r>
      <w:r w:rsidRPr="00F97A40">
        <w:rPr>
          <w:sz w:val="22"/>
          <w:szCs w:val="22"/>
          <w:lang w:val="fr-FR"/>
        </w:rPr>
        <w:t xml:space="preserve"> des formations pour renforcer les capacités des </w:t>
      </w:r>
      <w:r w:rsidR="00D55CA7" w:rsidRPr="00F97A40">
        <w:rPr>
          <w:sz w:val="22"/>
          <w:szCs w:val="22"/>
          <w:lang w:val="fr-FR"/>
        </w:rPr>
        <w:t xml:space="preserve">peuples </w:t>
      </w:r>
      <w:r w:rsidRPr="00F97A40">
        <w:rPr>
          <w:sz w:val="22"/>
          <w:szCs w:val="22"/>
          <w:lang w:val="fr-FR"/>
        </w:rPr>
        <w:t xml:space="preserve">autochtones et </w:t>
      </w:r>
      <w:r w:rsidR="00D55CA7" w:rsidRPr="00F97A40">
        <w:rPr>
          <w:sz w:val="22"/>
          <w:szCs w:val="22"/>
          <w:lang w:val="fr-FR"/>
        </w:rPr>
        <w:t xml:space="preserve">communautés </w:t>
      </w:r>
      <w:r w:rsidRPr="00F97A40">
        <w:rPr>
          <w:sz w:val="22"/>
          <w:szCs w:val="22"/>
          <w:lang w:val="fr-FR"/>
        </w:rPr>
        <w:t>loca</w:t>
      </w:r>
      <w:r w:rsidR="00952F39" w:rsidRPr="00F97A40">
        <w:rPr>
          <w:sz w:val="22"/>
          <w:szCs w:val="22"/>
          <w:lang w:val="fr-FR"/>
        </w:rPr>
        <w:t xml:space="preserve">les aux niveaux </w:t>
      </w:r>
      <w:r w:rsidR="00D55CA7" w:rsidRPr="00F97A40">
        <w:rPr>
          <w:sz w:val="22"/>
          <w:szCs w:val="22"/>
          <w:lang w:val="fr-FR"/>
        </w:rPr>
        <w:t>déjà mentionnés</w:t>
      </w:r>
      <w:r w:rsidR="00952F39" w:rsidRPr="00F97A40">
        <w:rPr>
          <w:sz w:val="22"/>
          <w:szCs w:val="22"/>
          <w:lang w:val="fr-FR"/>
        </w:rPr>
        <w:t>.</w:t>
      </w:r>
      <w:r w:rsidR="001A62B6">
        <w:rPr>
          <w:sz w:val="22"/>
          <w:szCs w:val="22"/>
          <w:lang w:val="fr-FR"/>
        </w:rPr>
        <w:t xml:space="preserve"> </w:t>
      </w:r>
      <w:r w:rsidR="001A62B6" w:rsidRPr="001A62B6">
        <w:rPr>
          <w:sz w:val="22"/>
          <w:szCs w:val="22"/>
          <w:lang w:val="fr-FR"/>
        </w:rPr>
        <w:t>Une liste des participants sélectionnés sera affichée sur le site Web de la CDB (</w:t>
      </w:r>
      <w:hyperlink r:id="rId9" w:history="1">
        <w:r w:rsidR="001A62B6" w:rsidRPr="00ED1F97">
          <w:rPr>
            <w:rStyle w:val="Hyperlink"/>
            <w:sz w:val="22"/>
            <w:szCs w:val="22"/>
            <w:lang w:val="fr-FR"/>
          </w:rPr>
          <w:t>http://www.cbd.int/meetings</w:t>
        </w:r>
      </w:hyperlink>
      <w:r w:rsidR="001A62B6" w:rsidRPr="001A62B6">
        <w:rPr>
          <w:sz w:val="22"/>
          <w:szCs w:val="22"/>
          <w:lang w:val="fr-FR"/>
        </w:rPr>
        <w:t>/) une fois la sélection terminée. Les participants sélectionnés seront contactés directement par le Secrétariat.</w:t>
      </w:r>
    </w:p>
    <w:p w:rsidR="00F22732" w:rsidRPr="00F97A40" w:rsidRDefault="00F22732" w:rsidP="00E24AF7">
      <w:pPr>
        <w:ind w:firstLine="720"/>
        <w:jc w:val="both"/>
        <w:rPr>
          <w:sz w:val="22"/>
          <w:szCs w:val="22"/>
          <w:lang w:val="fr-FR"/>
        </w:rPr>
      </w:pPr>
    </w:p>
    <w:p w:rsidR="00D5706D" w:rsidRPr="00F97A40" w:rsidRDefault="00D5706D" w:rsidP="00AA2180">
      <w:pPr>
        <w:ind w:firstLine="720"/>
        <w:jc w:val="both"/>
        <w:rPr>
          <w:sz w:val="22"/>
          <w:szCs w:val="22"/>
          <w:lang w:val="fr-FR"/>
        </w:rPr>
      </w:pPr>
      <w:r w:rsidRPr="00F97A40">
        <w:rPr>
          <w:sz w:val="22"/>
          <w:szCs w:val="22"/>
          <w:lang w:val="fr-FR"/>
        </w:rPr>
        <w:t xml:space="preserve">Veuillez agréer, </w:t>
      </w:r>
      <w:r w:rsidR="00F22732" w:rsidRPr="00F97A40">
        <w:rPr>
          <w:sz w:val="22"/>
          <w:szCs w:val="22"/>
          <w:lang w:val="fr-CA"/>
        </w:rPr>
        <w:t>Madame / Monsieur</w:t>
      </w:r>
      <w:r w:rsidR="00F22732" w:rsidRPr="00F97A40">
        <w:rPr>
          <w:b/>
          <w:bCs/>
          <w:i/>
          <w:iCs/>
          <w:sz w:val="22"/>
          <w:szCs w:val="22"/>
          <w:lang w:val="fr-FR"/>
        </w:rPr>
        <w:t>,</w:t>
      </w:r>
      <w:r w:rsidRPr="00F97A40">
        <w:rPr>
          <w:sz w:val="22"/>
          <w:szCs w:val="22"/>
          <w:lang w:val="fr-FR"/>
        </w:rPr>
        <w:t xml:space="preserve"> mes salutations distinguées.</w:t>
      </w:r>
    </w:p>
    <w:p w:rsidR="00332A6E" w:rsidRPr="00F97A40" w:rsidRDefault="00332A6E" w:rsidP="00AA2180">
      <w:pPr>
        <w:ind w:firstLine="720"/>
        <w:jc w:val="both"/>
        <w:rPr>
          <w:sz w:val="22"/>
          <w:szCs w:val="22"/>
          <w:lang w:val="fr-FR"/>
        </w:rPr>
      </w:pPr>
    </w:p>
    <w:p w:rsidR="00332A6E" w:rsidRPr="00F97A40" w:rsidRDefault="00332A6E" w:rsidP="00332A6E">
      <w:pPr>
        <w:ind w:right="44"/>
        <w:jc w:val="both"/>
        <w:rPr>
          <w:sz w:val="22"/>
          <w:szCs w:val="22"/>
          <w:lang w:val="fr-FR"/>
        </w:rPr>
      </w:pPr>
    </w:p>
    <w:p w:rsidR="00332A6E" w:rsidRPr="00F97A40" w:rsidRDefault="00332A6E" w:rsidP="00332A6E">
      <w:pPr>
        <w:tabs>
          <w:tab w:val="left" w:pos="6030"/>
        </w:tabs>
        <w:jc w:val="both"/>
        <w:rPr>
          <w:sz w:val="22"/>
          <w:szCs w:val="22"/>
          <w:lang w:val="pt-BR"/>
        </w:rPr>
      </w:pPr>
      <w:r w:rsidRPr="00F97A40">
        <w:rPr>
          <w:sz w:val="22"/>
          <w:szCs w:val="22"/>
          <w:lang w:val="fr-FR"/>
        </w:rPr>
        <w:tab/>
      </w:r>
      <w:r w:rsidRPr="00F97A40">
        <w:rPr>
          <w:sz w:val="22"/>
          <w:szCs w:val="22"/>
          <w:lang w:val="pt-BR"/>
        </w:rPr>
        <w:t>Braulio Ferreira de Souza Dias</w:t>
      </w:r>
    </w:p>
    <w:p w:rsidR="00332A6E" w:rsidRPr="00F97A40" w:rsidRDefault="00332A6E" w:rsidP="00332A6E">
      <w:pPr>
        <w:tabs>
          <w:tab w:val="left" w:pos="6480"/>
        </w:tabs>
        <w:jc w:val="both"/>
        <w:rPr>
          <w:sz w:val="22"/>
          <w:szCs w:val="22"/>
          <w:lang w:val="pt-BR"/>
        </w:rPr>
      </w:pPr>
      <w:r w:rsidRPr="00F97A40">
        <w:rPr>
          <w:sz w:val="22"/>
          <w:szCs w:val="22"/>
          <w:lang w:val="pt-BR"/>
        </w:rPr>
        <w:tab/>
      </w:r>
      <w:r w:rsidR="00D5706D" w:rsidRPr="00F97A40">
        <w:rPr>
          <w:sz w:val="22"/>
          <w:szCs w:val="22"/>
          <w:lang w:val="pt-BR"/>
        </w:rPr>
        <w:t>Secrétaire exécutif</w:t>
      </w:r>
    </w:p>
    <w:p w:rsidR="00E034BA" w:rsidRPr="00F97A40" w:rsidRDefault="00E034BA" w:rsidP="00E034BA">
      <w:pPr>
        <w:rPr>
          <w:sz w:val="22"/>
          <w:szCs w:val="22"/>
          <w:lang w:val="pt-BR"/>
        </w:rPr>
      </w:pPr>
    </w:p>
    <w:p w:rsidR="00DF4EFB" w:rsidRPr="00F97A40" w:rsidRDefault="007953C3" w:rsidP="00E034BA">
      <w:pPr>
        <w:rPr>
          <w:sz w:val="22"/>
          <w:szCs w:val="22"/>
          <w:lang w:val="pt-BR"/>
        </w:rPr>
      </w:pPr>
      <w:r w:rsidRPr="00F97A40">
        <w:rPr>
          <w:sz w:val="22"/>
          <w:szCs w:val="22"/>
          <w:lang w:val="pt-BR"/>
        </w:rPr>
        <w:t xml:space="preserve"> </w:t>
      </w:r>
      <w:r w:rsidR="00D55CA7" w:rsidRPr="00F97A40">
        <w:rPr>
          <w:sz w:val="22"/>
          <w:szCs w:val="22"/>
          <w:lang w:val="pt-BR"/>
        </w:rPr>
        <w:t xml:space="preserve"> </w:t>
      </w:r>
    </w:p>
    <w:p w:rsidR="00DF4EFB" w:rsidRPr="00F97A40" w:rsidRDefault="00DF4EFB">
      <w:pPr>
        <w:rPr>
          <w:sz w:val="22"/>
          <w:szCs w:val="22"/>
          <w:lang w:val="pt-BR"/>
        </w:rPr>
      </w:pPr>
      <w:r w:rsidRPr="00F97A40">
        <w:rPr>
          <w:sz w:val="22"/>
          <w:szCs w:val="22"/>
          <w:lang w:val="pt-BR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47"/>
        <w:gridCol w:w="6800"/>
      </w:tblGrid>
      <w:tr w:rsidR="00DF4EFB" w:rsidRPr="00F97A40" w:rsidTr="00DF4EFB">
        <w:tc>
          <w:tcPr>
            <w:tcW w:w="9747" w:type="dxa"/>
            <w:gridSpan w:val="2"/>
            <w:shd w:val="clear" w:color="auto" w:fill="D9D9D9"/>
            <w:vAlign w:val="center"/>
          </w:tcPr>
          <w:p w:rsidR="00DF4EFB" w:rsidRPr="00F97A40" w:rsidRDefault="00DF4EFB" w:rsidP="00DF4EFB">
            <w:pPr>
              <w:rPr>
                <w:b/>
                <w:bCs/>
                <w:kern w:val="22"/>
                <w:sz w:val="22"/>
                <w:szCs w:val="22"/>
              </w:rPr>
            </w:pPr>
            <w:r w:rsidRPr="00F97A40">
              <w:rPr>
                <w:b/>
                <w:bCs/>
                <w:kern w:val="22"/>
                <w:sz w:val="22"/>
                <w:szCs w:val="22"/>
              </w:rPr>
              <w:lastRenderedPageBreak/>
              <w:t xml:space="preserve">Information </w:t>
            </w:r>
            <w:proofErr w:type="spellStart"/>
            <w:r w:rsidRPr="00F97A40">
              <w:rPr>
                <w:b/>
                <w:bCs/>
                <w:kern w:val="22"/>
                <w:sz w:val="22"/>
                <w:szCs w:val="22"/>
              </w:rPr>
              <w:t>personnelle</w:t>
            </w:r>
            <w:proofErr w:type="spellEnd"/>
          </w:p>
        </w:tc>
      </w:tr>
      <w:tr w:rsidR="00DF4EFB" w:rsidRPr="00F97A40" w:rsidTr="00DF4EFB">
        <w:tc>
          <w:tcPr>
            <w:tcW w:w="2947" w:type="dxa"/>
            <w:vAlign w:val="center"/>
          </w:tcPr>
          <w:p w:rsidR="00DF4EFB" w:rsidRPr="00F97A40" w:rsidRDefault="00DF4EFB" w:rsidP="00DF4EFB">
            <w:pPr>
              <w:numPr>
                <w:ilvl w:val="0"/>
                <w:numId w:val="3"/>
              </w:numPr>
              <w:snapToGrid w:val="0"/>
              <w:spacing w:before="120" w:after="120"/>
              <w:rPr>
                <w:kern w:val="22"/>
                <w:sz w:val="22"/>
                <w:szCs w:val="22"/>
              </w:rPr>
            </w:pPr>
            <w:proofErr w:type="spellStart"/>
            <w:r w:rsidRPr="00F97A40">
              <w:rPr>
                <w:kern w:val="22"/>
                <w:sz w:val="22"/>
                <w:szCs w:val="22"/>
              </w:rPr>
              <w:t>Prénom</w:t>
            </w:r>
            <w:proofErr w:type="spellEnd"/>
          </w:p>
        </w:tc>
        <w:tc>
          <w:tcPr>
            <w:tcW w:w="6800" w:type="dxa"/>
            <w:vAlign w:val="center"/>
          </w:tcPr>
          <w:p w:rsidR="00DF4EFB" w:rsidRPr="00F97A40" w:rsidRDefault="00DF4EFB" w:rsidP="00DF4EFB">
            <w:pPr>
              <w:snapToGrid w:val="0"/>
              <w:spacing w:before="120" w:after="120"/>
              <w:rPr>
                <w:kern w:val="22"/>
                <w:sz w:val="22"/>
                <w:szCs w:val="22"/>
              </w:rPr>
            </w:pPr>
          </w:p>
        </w:tc>
      </w:tr>
      <w:tr w:rsidR="00DF4EFB" w:rsidRPr="00F97A40" w:rsidTr="00DF4EFB">
        <w:tc>
          <w:tcPr>
            <w:tcW w:w="2947" w:type="dxa"/>
            <w:vAlign w:val="center"/>
          </w:tcPr>
          <w:p w:rsidR="00DF4EFB" w:rsidRPr="00F97A40" w:rsidRDefault="00DF4EFB" w:rsidP="00DF4EFB">
            <w:pPr>
              <w:numPr>
                <w:ilvl w:val="0"/>
                <w:numId w:val="3"/>
              </w:numPr>
              <w:snapToGrid w:val="0"/>
              <w:spacing w:before="120" w:after="120"/>
              <w:rPr>
                <w:kern w:val="22"/>
                <w:sz w:val="22"/>
                <w:szCs w:val="22"/>
              </w:rPr>
            </w:pPr>
            <w:proofErr w:type="spellStart"/>
            <w:r w:rsidRPr="00F97A40">
              <w:rPr>
                <w:kern w:val="22"/>
                <w:sz w:val="22"/>
                <w:szCs w:val="22"/>
              </w:rPr>
              <w:t>Deuxième</w:t>
            </w:r>
            <w:proofErr w:type="spellEnd"/>
            <w:r w:rsidRPr="00F97A40">
              <w:rPr>
                <w:kern w:val="22"/>
                <w:sz w:val="22"/>
                <w:szCs w:val="22"/>
              </w:rPr>
              <w:t xml:space="preserve"> </w:t>
            </w:r>
            <w:proofErr w:type="spellStart"/>
            <w:r w:rsidRPr="00F97A40">
              <w:rPr>
                <w:kern w:val="22"/>
                <w:sz w:val="22"/>
                <w:szCs w:val="22"/>
              </w:rPr>
              <w:t>prénom</w:t>
            </w:r>
            <w:proofErr w:type="spellEnd"/>
          </w:p>
        </w:tc>
        <w:tc>
          <w:tcPr>
            <w:tcW w:w="6800" w:type="dxa"/>
            <w:vAlign w:val="center"/>
          </w:tcPr>
          <w:p w:rsidR="00DF4EFB" w:rsidRPr="00F97A40" w:rsidRDefault="00DF4EFB" w:rsidP="00DF4EFB">
            <w:pPr>
              <w:snapToGrid w:val="0"/>
              <w:spacing w:before="120" w:after="120"/>
              <w:rPr>
                <w:kern w:val="22"/>
                <w:sz w:val="22"/>
                <w:szCs w:val="22"/>
              </w:rPr>
            </w:pPr>
          </w:p>
        </w:tc>
      </w:tr>
      <w:tr w:rsidR="00DF4EFB" w:rsidRPr="00F97A40" w:rsidTr="00DF4EFB">
        <w:tc>
          <w:tcPr>
            <w:tcW w:w="2947" w:type="dxa"/>
            <w:vAlign w:val="center"/>
          </w:tcPr>
          <w:p w:rsidR="00DF4EFB" w:rsidRPr="00F97A40" w:rsidRDefault="00DF4EFB" w:rsidP="00DF4EFB">
            <w:pPr>
              <w:numPr>
                <w:ilvl w:val="0"/>
                <w:numId w:val="3"/>
              </w:numPr>
              <w:snapToGrid w:val="0"/>
              <w:spacing w:before="120" w:after="120"/>
              <w:rPr>
                <w:kern w:val="22"/>
                <w:sz w:val="22"/>
                <w:szCs w:val="22"/>
              </w:rPr>
            </w:pPr>
            <w:r w:rsidRPr="00F97A40">
              <w:rPr>
                <w:kern w:val="22"/>
                <w:sz w:val="22"/>
                <w:szCs w:val="22"/>
              </w:rPr>
              <w:t xml:space="preserve">Nom de </w:t>
            </w:r>
            <w:proofErr w:type="spellStart"/>
            <w:r w:rsidRPr="00F97A40">
              <w:rPr>
                <w:kern w:val="22"/>
                <w:sz w:val="22"/>
                <w:szCs w:val="22"/>
              </w:rPr>
              <w:t>famille</w:t>
            </w:r>
            <w:proofErr w:type="spellEnd"/>
          </w:p>
        </w:tc>
        <w:tc>
          <w:tcPr>
            <w:tcW w:w="6800" w:type="dxa"/>
            <w:vAlign w:val="center"/>
          </w:tcPr>
          <w:p w:rsidR="00DF4EFB" w:rsidRPr="00F97A40" w:rsidRDefault="00DF4EFB" w:rsidP="00DF4EFB">
            <w:pPr>
              <w:snapToGrid w:val="0"/>
              <w:spacing w:before="120" w:after="120"/>
              <w:rPr>
                <w:kern w:val="22"/>
                <w:sz w:val="22"/>
                <w:szCs w:val="22"/>
              </w:rPr>
            </w:pPr>
          </w:p>
        </w:tc>
      </w:tr>
      <w:tr w:rsidR="00DF4EFB" w:rsidRPr="00F97A40" w:rsidTr="00DF4EFB"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:rsidR="00DF4EFB" w:rsidRPr="00F97A40" w:rsidRDefault="00DF4EFB" w:rsidP="00DF4EFB">
            <w:pPr>
              <w:numPr>
                <w:ilvl w:val="0"/>
                <w:numId w:val="3"/>
              </w:numPr>
              <w:snapToGrid w:val="0"/>
              <w:spacing w:before="120" w:after="120"/>
              <w:rPr>
                <w:kern w:val="22"/>
                <w:sz w:val="22"/>
                <w:szCs w:val="22"/>
              </w:rPr>
            </w:pPr>
            <w:r w:rsidRPr="00F97A40">
              <w:rPr>
                <w:kern w:val="22"/>
                <w:sz w:val="22"/>
                <w:szCs w:val="22"/>
              </w:rPr>
              <w:t>Genre</w:t>
            </w:r>
          </w:p>
        </w:tc>
        <w:tc>
          <w:tcPr>
            <w:tcW w:w="6800" w:type="dxa"/>
            <w:tcBorders>
              <w:bottom w:val="single" w:sz="4" w:space="0" w:color="auto"/>
            </w:tcBorders>
            <w:vAlign w:val="center"/>
          </w:tcPr>
          <w:p w:rsidR="00DF4EFB" w:rsidRPr="00F97A40" w:rsidRDefault="002A3F50" w:rsidP="00DF4EFB">
            <w:pPr>
              <w:spacing w:before="120" w:after="120"/>
              <w:ind w:left="360"/>
              <w:rPr>
                <w:kern w:val="22"/>
                <w:sz w:val="22"/>
                <w:szCs w:val="22"/>
              </w:rPr>
            </w:pPr>
            <w:r w:rsidRPr="00F97A40">
              <w:rPr>
                <w:kern w:val="22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4EFB" w:rsidRPr="00F97A40">
              <w:rPr>
                <w:kern w:val="22"/>
                <w:sz w:val="22"/>
                <w:szCs w:val="22"/>
              </w:rPr>
              <w:instrText xml:space="preserve"> FORMCHECKBOX </w:instrText>
            </w:r>
            <w:r>
              <w:rPr>
                <w:kern w:val="22"/>
                <w:sz w:val="22"/>
                <w:szCs w:val="22"/>
              </w:rPr>
            </w:r>
            <w:r>
              <w:rPr>
                <w:kern w:val="22"/>
                <w:sz w:val="22"/>
                <w:szCs w:val="22"/>
              </w:rPr>
              <w:fldChar w:fldCharType="separate"/>
            </w:r>
            <w:r w:rsidRPr="00F97A40">
              <w:rPr>
                <w:kern w:val="22"/>
                <w:sz w:val="22"/>
                <w:szCs w:val="22"/>
              </w:rPr>
              <w:fldChar w:fldCharType="end"/>
            </w:r>
            <w:r w:rsidR="00DF4EFB" w:rsidRPr="00F97A40">
              <w:rPr>
                <w:kern w:val="22"/>
                <w:sz w:val="22"/>
                <w:szCs w:val="22"/>
              </w:rPr>
              <w:t xml:space="preserve"> </w:t>
            </w:r>
            <w:proofErr w:type="spellStart"/>
            <w:r w:rsidR="00DF4EFB" w:rsidRPr="00F97A40">
              <w:rPr>
                <w:kern w:val="22"/>
                <w:sz w:val="22"/>
                <w:szCs w:val="22"/>
              </w:rPr>
              <w:t>Masculin</w:t>
            </w:r>
            <w:proofErr w:type="spellEnd"/>
            <w:r w:rsidR="00DF4EFB" w:rsidRPr="00F97A40">
              <w:rPr>
                <w:kern w:val="22"/>
                <w:sz w:val="22"/>
                <w:szCs w:val="22"/>
              </w:rPr>
              <w:tab/>
            </w:r>
            <w:r w:rsidRPr="00F97A40">
              <w:rPr>
                <w:kern w:val="22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F4EFB" w:rsidRPr="00F97A40">
              <w:rPr>
                <w:kern w:val="22"/>
                <w:sz w:val="22"/>
                <w:szCs w:val="22"/>
              </w:rPr>
              <w:instrText xml:space="preserve"> FORMCHECKBOX </w:instrText>
            </w:r>
            <w:r>
              <w:rPr>
                <w:kern w:val="22"/>
                <w:sz w:val="22"/>
                <w:szCs w:val="22"/>
              </w:rPr>
            </w:r>
            <w:r>
              <w:rPr>
                <w:kern w:val="22"/>
                <w:sz w:val="22"/>
                <w:szCs w:val="22"/>
              </w:rPr>
              <w:fldChar w:fldCharType="separate"/>
            </w:r>
            <w:r w:rsidRPr="00F97A40">
              <w:rPr>
                <w:kern w:val="22"/>
                <w:sz w:val="22"/>
                <w:szCs w:val="22"/>
              </w:rPr>
              <w:fldChar w:fldCharType="end"/>
            </w:r>
            <w:r w:rsidR="00DF4EFB" w:rsidRPr="00F97A40">
              <w:rPr>
                <w:kern w:val="22"/>
                <w:sz w:val="22"/>
                <w:szCs w:val="22"/>
              </w:rPr>
              <w:t xml:space="preserve"> </w:t>
            </w:r>
            <w:proofErr w:type="spellStart"/>
            <w:r w:rsidR="00DF4EFB" w:rsidRPr="00F97A40">
              <w:rPr>
                <w:kern w:val="22"/>
                <w:sz w:val="22"/>
                <w:szCs w:val="22"/>
              </w:rPr>
              <w:t>Feminin</w:t>
            </w:r>
            <w:proofErr w:type="spellEnd"/>
          </w:p>
        </w:tc>
      </w:tr>
      <w:tr w:rsidR="00DF4EFB" w:rsidRPr="00F97A40" w:rsidTr="00DF4EFB">
        <w:tc>
          <w:tcPr>
            <w:tcW w:w="2947" w:type="dxa"/>
            <w:tcBorders>
              <w:bottom w:val="single" w:sz="4" w:space="0" w:color="auto"/>
            </w:tcBorders>
            <w:vAlign w:val="center"/>
          </w:tcPr>
          <w:p w:rsidR="00DF4EFB" w:rsidRPr="00F97A40" w:rsidRDefault="00DF4EFB" w:rsidP="00DF4EFB">
            <w:pPr>
              <w:numPr>
                <w:ilvl w:val="0"/>
                <w:numId w:val="3"/>
              </w:numPr>
              <w:snapToGrid w:val="0"/>
              <w:spacing w:before="120" w:after="120"/>
              <w:rPr>
                <w:kern w:val="22"/>
                <w:sz w:val="22"/>
                <w:szCs w:val="22"/>
              </w:rPr>
            </w:pPr>
            <w:proofErr w:type="spellStart"/>
            <w:r w:rsidRPr="00F97A40">
              <w:rPr>
                <w:kern w:val="22"/>
                <w:sz w:val="22"/>
                <w:szCs w:val="22"/>
              </w:rPr>
              <w:t>Coordonnées</w:t>
            </w:r>
            <w:proofErr w:type="spellEnd"/>
          </w:p>
        </w:tc>
        <w:tc>
          <w:tcPr>
            <w:tcW w:w="6800" w:type="dxa"/>
            <w:tcBorders>
              <w:bottom w:val="single" w:sz="4" w:space="0" w:color="auto"/>
            </w:tcBorders>
            <w:vAlign w:val="center"/>
          </w:tcPr>
          <w:p w:rsidR="00DF4EFB" w:rsidRPr="00F97A40" w:rsidRDefault="00DF4EFB" w:rsidP="00DF4EFB">
            <w:pPr>
              <w:spacing w:before="120" w:after="120"/>
              <w:ind w:left="360"/>
              <w:rPr>
                <w:kern w:val="22"/>
                <w:sz w:val="22"/>
                <w:szCs w:val="22"/>
              </w:rPr>
            </w:pPr>
          </w:p>
        </w:tc>
      </w:tr>
      <w:tr w:rsidR="00DF4EFB" w:rsidRPr="001A62B6" w:rsidTr="00DF4EFB">
        <w:trPr>
          <w:cantSplit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DF4EFB" w:rsidRPr="00F97A40" w:rsidRDefault="00DF4EFB" w:rsidP="00DF4EFB">
            <w:pPr>
              <w:spacing w:before="120" w:after="120"/>
              <w:rPr>
                <w:b/>
                <w:bCs/>
                <w:kern w:val="22"/>
                <w:sz w:val="22"/>
                <w:szCs w:val="22"/>
                <w:lang w:val="fr-FR"/>
              </w:rPr>
            </w:pPr>
            <w:r w:rsidRPr="00F97A40">
              <w:rPr>
                <w:b/>
                <w:bCs/>
                <w:kern w:val="22"/>
                <w:sz w:val="22"/>
                <w:szCs w:val="22"/>
                <w:lang w:val="fr-FR"/>
              </w:rPr>
              <w:t>Informations liées au travail / expérience</w:t>
            </w:r>
          </w:p>
        </w:tc>
      </w:tr>
      <w:tr w:rsidR="00DF4EFB" w:rsidRPr="00F97A40" w:rsidTr="00DF4EFB">
        <w:trPr>
          <w:cantSplit/>
        </w:trPr>
        <w:tc>
          <w:tcPr>
            <w:tcW w:w="2947" w:type="dxa"/>
            <w:vAlign w:val="center"/>
          </w:tcPr>
          <w:p w:rsidR="00DF4EFB" w:rsidRPr="00F97A40" w:rsidRDefault="00DF4EFB" w:rsidP="00DF4EFB">
            <w:pPr>
              <w:numPr>
                <w:ilvl w:val="0"/>
                <w:numId w:val="3"/>
              </w:numPr>
              <w:spacing w:before="120" w:after="120"/>
              <w:rPr>
                <w:kern w:val="22"/>
                <w:sz w:val="22"/>
                <w:szCs w:val="22"/>
              </w:rPr>
            </w:pPr>
            <w:r w:rsidRPr="00F97A40">
              <w:rPr>
                <w:kern w:val="22"/>
                <w:sz w:val="22"/>
                <w:szCs w:val="22"/>
              </w:rPr>
              <w:t xml:space="preserve">Titre </w:t>
            </w:r>
            <w:proofErr w:type="spellStart"/>
            <w:r w:rsidRPr="00F97A40">
              <w:rPr>
                <w:kern w:val="22"/>
                <w:sz w:val="22"/>
                <w:szCs w:val="22"/>
              </w:rPr>
              <w:t>actuel</w:t>
            </w:r>
            <w:proofErr w:type="spellEnd"/>
            <w:r w:rsidRPr="00F97A40">
              <w:rPr>
                <w:kern w:val="22"/>
                <w:sz w:val="22"/>
                <w:szCs w:val="22"/>
              </w:rPr>
              <w:t xml:space="preserve"> </w:t>
            </w:r>
            <w:proofErr w:type="spellStart"/>
            <w:r w:rsidRPr="00F97A40">
              <w:rPr>
                <w:kern w:val="22"/>
                <w:sz w:val="22"/>
                <w:szCs w:val="22"/>
              </w:rPr>
              <w:t>d'emploi</w:t>
            </w:r>
            <w:proofErr w:type="spellEnd"/>
          </w:p>
        </w:tc>
        <w:tc>
          <w:tcPr>
            <w:tcW w:w="6800" w:type="dxa"/>
            <w:vAlign w:val="center"/>
          </w:tcPr>
          <w:p w:rsidR="00DF4EFB" w:rsidRPr="00F97A40" w:rsidRDefault="00DF4EFB" w:rsidP="00DF4EFB">
            <w:pPr>
              <w:rPr>
                <w:kern w:val="22"/>
                <w:sz w:val="22"/>
                <w:szCs w:val="22"/>
              </w:rPr>
            </w:pPr>
          </w:p>
        </w:tc>
      </w:tr>
      <w:tr w:rsidR="00DF4EFB" w:rsidRPr="001A62B6" w:rsidTr="00DF4EFB">
        <w:trPr>
          <w:cantSplit/>
        </w:trPr>
        <w:tc>
          <w:tcPr>
            <w:tcW w:w="2947" w:type="dxa"/>
            <w:vAlign w:val="center"/>
          </w:tcPr>
          <w:p w:rsidR="00DF4EFB" w:rsidRPr="00F97A40" w:rsidRDefault="004464D8" w:rsidP="00DF4EFB">
            <w:pPr>
              <w:numPr>
                <w:ilvl w:val="0"/>
                <w:numId w:val="3"/>
              </w:numPr>
              <w:spacing w:before="120" w:after="120"/>
              <w:rPr>
                <w:kern w:val="22"/>
                <w:sz w:val="22"/>
                <w:szCs w:val="22"/>
                <w:lang w:val="fr-FR"/>
              </w:rPr>
            </w:pPr>
            <w:r w:rsidRPr="00F97A40">
              <w:rPr>
                <w:kern w:val="22"/>
                <w:sz w:val="22"/>
                <w:szCs w:val="22"/>
                <w:lang w:val="fr-FR"/>
              </w:rPr>
              <w:t>E</w:t>
            </w:r>
            <w:r w:rsidR="00DF4EFB" w:rsidRPr="00F97A40">
              <w:rPr>
                <w:kern w:val="22"/>
                <w:sz w:val="22"/>
                <w:szCs w:val="22"/>
                <w:lang w:val="fr-FR"/>
              </w:rPr>
              <w:t xml:space="preserve">xpérience spécifique pertinent </w:t>
            </w:r>
            <w:r w:rsidRPr="00F97A40">
              <w:rPr>
                <w:kern w:val="22"/>
                <w:sz w:val="22"/>
                <w:szCs w:val="22"/>
                <w:lang w:val="fr-FR"/>
              </w:rPr>
              <w:t xml:space="preserve"> à</w:t>
            </w:r>
            <w:r w:rsidR="00DF4EFB" w:rsidRPr="00F97A40">
              <w:rPr>
                <w:kern w:val="22"/>
                <w:sz w:val="22"/>
                <w:szCs w:val="22"/>
                <w:lang w:val="fr-FR"/>
              </w:rPr>
              <w:t>:</w:t>
            </w:r>
          </w:p>
          <w:p w:rsidR="004464D8" w:rsidRPr="00F97A40" w:rsidRDefault="004464D8" w:rsidP="004464D8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fr-FR"/>
              </w:rPr>
            </w:pPr>
            <w:r w:rsidRPr="00F97A40">
              <w:rPr>
                <w:sz w:val="22"/>
                <w:szCs w:val="22"/>
                <w:lang w:val="fr-FR"/>
              </w:rPr>
              <w:t>Développer des protocoles communautaires sur les connaissances traditionnelles (CT) y compris les connaissances traditionnelles associées aux ressources génétiques dans le cadre du Protocole de Nagoya;</w:t>
            </w:r>
          </w:p>
          <w:p w:rsidR="004464D8" w:rsidRPr="00F97A40" w:rsidRDefault="004464D8" w:rsidP="004464D8">
            <w:pPr>
              <w:pStyle w:val="ListParagraph"/>
              <w:ind w:left="360"/>
              <w:jc w:val="both"/>
              <w:rPr>
                <w:sz w:val="22"/>
                <w:szCs w:val="22"/>
                <w:lang w:val="fr-FR"/>
              </w:rPr>
            </w:pPr>
          </w:p>
          <w:p w:rsidR="004464D8" w:rsidRPr="00F97A40" w:rsidRDefault="004464D8" w:rsidP="004464D8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fr-FR"/>
              </w:rPr>
            </w:pPr>
            <w:r w:rsidRPr="00F97A40">
              <w:rPr>
                <w:sz w:val="22"/>
                <w:szCs w:val="22"/>
                <w:lang w:val="fr-FR"/>
              </w:rPr>
              <w:t xml:space="preserve">Opérationnaliser des indicateurs sur les connaissances traditionnelles et l'utilisation coutumière durable (CSU), y compris par le biais des systèmes de surveillance et d'information communautaires (CBMIS); </w:t>
            </w:r>
          </w:p>
          <w:p w:rsidR="004464D8" w:rsidRPr="00F97A40" w:rsidRDefault="004464D8" w:rsidP="004464D8">
            <w:pPr>
              <w:pStyle w:val="ListParagraph"/>
              <w:ind w:left="360"/>
              <w:jc w:val="both"/>
              <w:rPr>
                <w:sz w:val="22"/>
                <w:szCs w:val="22"/>
                <w:lang w:val="fr-FR"/>
              </w:rPr>
            </w:pPr>
            <w:r w:rsidRPr="00F97A40">
              <w:rPr>
                <w:sz w:val="22"/>
                <w:szCs w:val="22"/>
                <w:lang w:val="fr-FR"/>
              </w:rPr>
              <w:t>et</w:t>
            </w:r>
          </w:p>
          <w:p w:rsidR="004464D8" w:rsidRPr="00F97A40" w:rsidRDefault="004464D8" w:rsidP="004464D8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fr-FR"/>
              </w:rPr>
            </w:pPr>
            <w:r w:rsidRPr="00F97A40">
              <w:rPr>
                <w:sz w:val="22"/>
                <w:szCs w:val="22"/>
                <w:lang w:val="fr-FR"/>
              </w:rPr>
              <w:t>Mettre en œuvre le Plan d'action mondial sur l'utilisation coutumière durable.</w:t>
            </w:r>
          </w:p>
          <w:p w:rsidR="00DF4EFB" w:rsidRPr="00F97A40" w:rsidRDefault="00DF4EFB" w:rsidP="00DF4EFB">
            <w:pPr>
              <w:spacing w:before="120" w:after="120"/>
              <w:ind w:left="360"/>
              <w:rPr>
                <w:kern w:val="22"/>
                <w:sz w:val="22"/>
                <w:szCs w:val="22"/>
                <w:lang w:val="fr-FR"/>
              </w:rPr>
            </w:pPr>
          </w:p>
        </w:tc>
        <w:tc>
          <w:tcPr>
            <w:tcW w:w="6800" w:type="dxa"/>
            <w:vAlign w:val="center"/>
          </w:tcPr>
          <w:p w:rsidR="00DF4EFB" w:rsidRPr="00F97A40" w:rsidRDefault="00DF4EFB" w:rsidP="00DF4EFB">
            <w:pPr>
              <w:snapToGrid w:val="0"/>
              <w:spacing w:before="120" w:after="120"/>
              <w:rPr>
                <w:noProof/>
                <w:kern w:val="22"/>
                <w:sz w:val="22"/>
                <w:szCs w:val="22"/>
                <w:lang w:val="fr-FR"/>
              </w:rPr>
            </w:pPr>
          </w:p>
          <w:p w:rsidR="00DF4EFB" w:rsidRPr="00F97A40" w:rsidRDefault="00DF4EFB" w:rsidP="00DF4EFB">
            <w:pPr>
              <w:snapToGrid w:val="0"/>
              <w:spacing w:before="120" w:after="120"/>
              <w:rPr>
                <w:noProof/>
                <w:kern w:val="22"/>
                <w:sz w:val="22"/>
                <w:szCs w:val="22"/>
                <w:lang w:val="fr-FR"/>
              </w:rPr>
            </w:pPr>
          </w:p>
        </w:tc>
      </w:tr>
      <w:tr w:rsidR="00DF4EFB" w:rsidRPr="001A62B6" w:rsidTr="00DF4EFB">
        <w:trPr>
          <w:cantSplit/>
        </w:trPr>
        <w:tc>
          <w:tcPr>
            <w:tcW w:w="2947" w:type="dxa"/>
            <w:vAlign w:val="center"/>
          </w:tcPr>
          <w:p w:rsidR="00DF4EFB" w:rsidRPr="00F97A40" w:rsidRDefault="004464D8" w:rsidP="00DF4EFB">
            <w:pPr>
              <w:numPr>
                <w:ilvl w:val="0"/>
                <w:numId w:val="3"/>
              </w:numPr>
              <w:spacing w:before="120" w:after="120"/>
              <w:rPr>
                <w:kern w:val="22"/>
                <w:sz w:val="22"/>
                <w:szCs w:val="22"/>
                <w:lang w:val="fr-FR"/>
              </w:rPr>
            </w:pPr>
            <w:r w:rsidRPr="00F97A40">
              <w:rPr>
                <w:kern w:val="22"/>
                <w:sz w:val="22"/>
                <w:szCs w:val="22"/>
                <w:lang w:val="fr-FR"/>
              </w:rPr>
              <w:t>Quelles seraient vos contributions spécifiques à l'atelier de formation?</w:t>
            </w:r>
          </w:p>
        </w:tc>
        <w:tc>
          <w:tcPr>
            <w:tcW w:w="6800" w:type="dxa"/>
            <w:vAlign w:val="center"/>
          </w:tcPr>
          <w:p w:rsidR="00DF4EFB" w:rsidRPr="00F97A40" w:rsidRDefault="00DF4EFB" w:rsidP="00DF4EFB">
            <w:pPr>
              <w:snapToGrid w:val="0"/>
              <w:spacing w:before="120" w:after="120"/>
              <w:rPr>
                <w:noProof/>
                <w:kern w:val="22"/>
                <w:sz w:val="22"/>
                <w:szCs w:val="22"/>
                <w:lang w:val="fr-FR"/>
              </w:rPr>
            </w:pPr>
          </w:p>
        </w:tc>
      </w:tr>
      <w:tr w:rsidR="00DF4EFB" w:rsidRPr="001A62B6" w:rsidTr="00DF4EFB">
        <w:trPr>
          <w:cantSplit/>
        </w:trPr>
        <w:tc>
          <w:tcPr>
            <w:tcW w:w="2947" w:type="dxa"/>
            <w:vAlign w:val="center"/>
          </w:tcPr>
          <w:p w:rsidR="00DF4EFB" w:rsidRPr="00F97A40" w:rsidRDefault="004464D8" w:rsidP="004464D8">
            <w:pPr>
              <w:numPr>
                <w:ilvl w:val="0"/>
                <w:numId w:val="3"/>
              </w:numPr>
              <w:spacing w:before="120" w:after="120"/>
              <w:rPr>
                <w:kern w:val="22"/>
                <w:sz w:val="22"/>
                <w:szCs w:val="22"/>
                <w:lang w:val="fr-FR"/>
              </w:rPr>
            </w:pPr>
            <w:r w:rsidRPr="00F97A40">
              <w:rPr>
                <w:kern w:val="22"/>
                <w:sz w:val="22"/>
                <w:szCs w:val="22"/>
                <w:lang w:val="fr-FR"/>
              </w:rPr>
              <w:lastRenderedPageBreak/>
              <w:t>Expérience spécifique dans l’organisation d’ateliers de formation au niveau local ou national ?</w:t>
            </w:r>
          </w:p>
        </w:tc>
        <w:tc>
          <w:tcPr>
            <w:tcW w:w="6800" w:type="dxa"/>
            <w:vAlign w:val="center"/>
          </w:tcPr>
          <w:p w:rsidR="00DF4EFB" w:rsidRPr="00F97A40" w:rsidRDefault="00DF4EFB" w:rsidP="00DF4EFB">
            <w:pPr>
              <w:snapToGrid w:val="0"/>
              <w:spacing w:before="120" w:after="120"/>
              <w:rPr>
                <w:noProof/>
                <w:kern w:val="22"/>
                <w:sz w:val="22"/>
                <w:szCs w:val="22"/>
                <w:lang w:val="fr-FR"/>
              </w:rPr>
            </w:pPr>
          </w:p>
        </w:tc>
      </w:tr>
      <w:tr w:rsidR="00DF4EFB" w:rsidRPr="00F97A40" w:rsidTr="00DF4EFB">
        <w:trPr>
          <w:cantSplit/>
        </w:trPr>
        <w:tc>
          <w:tcPr>
            <w:tcW w:w="2947" w:type="dxa"/>
            <w:vAlign w:val="center"/>
          </w:tcPr>
          <w:p w:rsidR="00DF4EFB" w:rsidRPr="00F97A40" w:rsidRDefault="004464D8" w:rsidP="00DF4EFB">
            <w:pPr>
              <w:numPr>
                <w:ilvl w:val="0"/>
                <w:numId w:val="3"/>
              </w:numPr>
              <w:spacing w:before="120" w:after="120"/>
              <w:rPr>
                <w:kern w:val="22"/>
                <w:sz w:val="22"/>
                <w:szCs w:val="22"/>
              </w:rPr>
            </w:pPr>
            <w:proofErr w:type="spellStart"/>
            <w:r w:rsidRPr="00F97A40">
              <w:rPr>
                <w:kern w:val="22"/>
                <w:sz w:val="22"/>
                <w:szCs w:val="22"/>
              </w:rPr>
              <w:t>Autres</w:t>
            </w:r>
            <w:proofErr w:type="spellEnd"/>
            <w:r w:rsidRPr="00F97A40">
              <w:rPr>
                <w:kern w:val="22"/>
                <w:sz w:val="22"/>
                <w:szCs w:val="22"/>
              </w:rPr>
              <w:t xml:space="preserve"> </w:t>
            </w:r>
            <w:proofErr w:type="spellStart"/>
            <w:r w:rsidRPr="00F97A40">
              <w:rPr>
                <w:kern w:val="22"/>
                <w:sz w:val="22"/>
                <w:szCs w:val="22"/>
              </w:rPr>
              <w:t>commentaires</w:t>
            </w:r>
            <w:proofErr w:type="spellEnd"/>
          </w:p>
        </w:tc>
        <w:tc>
          <w:tcPr>
            <w:tcW w:w="6800" w:type="dxa"/>
            <w:vAlign w:val="center"/>
          </w:tcPr>
          <w:p w:rsidR="00DF4EFB" w:rsidRPr="00F97A40" w:rsidRDefault="00DF4EFB" w:rsidP="00DF4EFB">
            <w:pPr>
              <w:snapToGrid w:val="0"/>
              <w:spacing w:before="120" w:after="120"/>
              <w:rPr>
                <w:noProof/>
                <w:kern w:val="22"/>
                <w:sz w:val="22"/>
                <w:szCs w:val="22"/>
              </w:rPr>
            </w:pPr>
          </w:p>
        </w:tc>
      </w:tr>
    </w:tbl>
    <w:p w:rsidR="00E034BA" w:rsidRPr="00F97A40" w:rsidRDefault="00E034BA" w:rsidP="00E034BA">
      <w:pPr>
        <w:rPr>
          <w:sz w:val="22"/>
          <w:szCs w:val="22"/>
          <w:lang w:val="fr-FR"/>
        </w:rPr>
      </w:pPr>
    </w:p>
    <w:sectPr w:rsidR="00E034BA" w:rsidRPr="00F97A40" w:rsidSect="00A312D8">
      <w:headerReference w:type="first" r:id="rId10"/>
      <w:footerReference w:type="first" r:id="rId11"/>
      <w:pgSz w:w="12240" w:h="15840" w:code="1"/>
      <w:pgMar w:top="1134" w:right="1418" w:bottom="1134" w:left="1418" w:header="340" w:footer="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5C8" w:rsidRDefault="00A955C8">
      <w:r>
        <w:separator/>
      </w:r>
    </w:p>
  </w:endnote>
  <w:endnote w:type="continuationSeparator" w:id="0">
    <w:p w:rsidR="00A955C8" w:rsidRDefault="00A95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57" w:type="dxa"/>
      <w:tblInd w:w="-743" w:type="dxa"/>
      <w:tblBorders>
        <w:insideH w:val="single" w:sz="4" w:space="0" w:color="auto"/>
      </w:tblBorders>
      <w:tblLayout w:type="fixed"/>
      <w:tblLook w:val="04A0"/>
    </w:tblPr>
    <w:tblGrid>
      <w:gridCol w:w="1277"/>
      <w:gridCol w:w="3118"/>
      <w:gridCol w:w="5528"/>
      <w:gridCol w:w="1134"/>
    </w:tblGrid>
    <w:tr w:rsidR="00A955C8" w:rsidRPr="00D5706D" w:rsidTr="00D23D36">
      <w:trPr>
        <w:trHeight w:val="1205"/>
      </w:trPr>
      <w:tc>
        <w:tcPr>
          <w:tcW w:w="11057" w:type="dxa"/>
          <w:gridSpan w:val="4"/>
          <w:shd w:val="clear" w:color="auto" w:fill="auto"/>
          <w:vAlign w:val="bottom"/>
        </w:tcPr>
        <w:p w:rsidR="00A955C8" w:rsidRDefault="00A955C8" w:rsidP="00491D31">
          <w:pPr>
            <w:jc w:val="both"/>
            <w:rPr>
              <w:sz w:val="21"/>
              <w:szCs w:val="21"/>
              <w:lang w:val="fr-FR"/>
            </w:rPr>
          </w:pPr>
          <w:r>
            <w:rPr>
              <w:sz w:val="21"/>
              <w:szCs w:val="21"/>
              <w:lang w:val="fr-FR"/>
            </w:rPr>
            <w:t xml:space="preserve">             </w:t>
          </w:r>
          <w:r w:rsidRPr="0028509B">
            <w:rPr>
              <w:sz w:val="21"/>
              <w:szCs w:val="21"/>
              <w:lang w:val="fr-FR"/>
            </w:rPr>
            <w:t>Pièce jointe</w:t>
          </w:r>
        </w:p>
        <w:p w:rsidR="00A955C8" w:rsidRPr="00D00F65" w:rsidRDefault="00A955C8" w:rsidP="00A6108E">
          <w:pPr>
            <w:ind w:firstLine="743"/>
            <w:rPr>
              <w:sz w:val="22"/>
              <w:szCs w:val="22"/>
              <w:lang w:val="fr-FR"/>
            </w:rPr>
          </w:pPr>
        </w:p>
        <w:p w:rsidR="00A955C8" w:rsidRPr="00D00F65" w:rsidRDefault="00A955C8" w:rsidP="00A6108E">
          <w:pPr>
            <w:ind w:firstLine="743"/>
            <w:rPr>
              <w:sz w:val="22"/>
              <w:szCs w:val="22"/>
              <w:lang w:val="fr-FR"/>
            </w:rPr>
          </w:pPr>
        </w:p>
        <w:p w:rsidR="00A955C8" w:rsidRPr="00D5706D" w:rsidRDefault="00A955C8" w:rsidP="00A6108E">
          <w:pPr>
            <w:ind w:firstLine="743"/>
            <w:rPr>
              <w:lang w:val="fr-FR"/>
            </w:rPr>
          </w:pPr>
        </w:p>
      </w:tc>
    </w:tr>
    <w:tr w:rsidR="00A955C8" w:rsidRPr="00D5706D" w:rsidTr="00D23D36">
      <w:trPr>
        <w:trHeight w:val="1205"/>
      </w:trPr>
      <w:tc>
        <w:tcPr>
          <w:tcW w:w="1277" w:type="dxa"/>
          <w:shd w:val="clear" w:color="auto" w:fill="auto"/>
          <w:vAlign w:val="bottom"/>
        </w:tcPr>
        <w:p w:rsidR="00A955C8" w:rsidRPr="00D5706D" w:rsidRDefault="00A955C8" w:rsidP="00600804">
          <w:pPr>
            <w:rPr>
              <w:lang w:val="fr-FR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532765" cy="628015"/>
                <wp:effectExtent l="19050" t="0" r="635" b="0"/>
                <wp:docPr id="2" name="Picture 2" descr="unep-fr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ep-fr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shd w:val="clear" w:color="auto" w:fill="auto"/>
          <w:vAlign w:val="bottom"/>
        </w:tcPr>
        <w:p w:rsidR="00A955C8" w:rsidRPr="00D5706D" w:rsidRDefault="00A955C8" w:rsidP="00600804">
          <w:pPr>
            <w:rPr>
              <w:lang w:val="fr-FR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725295" cy="643890"/>
                <wp:effectExtent l="19050" t="0" r="8255" b="0"/>
                <wp:docPr id="3" name="Picture 3" descr="CBD_logo_fr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fr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529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uto"/>
          <w:vAlign w:val="bottom"/>
        </w:tcPr>
        <w:p w:rsidR="00A955C8" w:rsidRPr="00D5706D" w:rsidRDefault="00A955C8" w:rsidP="00D5706D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D5706D">
            <w:rPr>
              <w:rFonts w:ascii="Arial" w:hAnsi="Arial" w:cs="Arial"/>
              <w:color w:val="7F7F7F"/>
              <w:sz w:val="16"/>
              <w:szCs w:val="16"/>
              <w:lang w:val="fr-FR"/>
            </w:rPr>
            <w:t>Secrétariat de la Convention sur la diversité biologique</w:t>
          </w:r>
        </w:p>
        <w:p w:rsidR="00A955C8" w:rsidRPr="00D5706D" w:rsidRDefault="00A955C8" w:rsidP="00D5706D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D5706D">
            <w:rPr>
              <w:rFonts w:ascii="Arial" w:hAnsi="Arial" w:cs="Arial"/>
              <w:color w:val="7F7F7F"/>
              <w:sz w:val="16"/>
              <w:szCs w:val="16"/>
              <w:lang w:val="fr-FR"/>
            </w:rPr>
            <w:t>Programme des Nations Unies pour l’</w:t>
          </w:r>
          <w:r>
            <w:rPr>
              <w:rFonts w:ascii="Arial" w:hAnsi="Arial" w:cs="Arial"/>
              <w:color w:val="7F7F7F"/>
              <w:sz w:val="16"/>
              <w:szCs w:val="16"/>
              <w:lang w:val="fr-FR"/>
            </w:rPr>
            <w:t>e</w:t>
          </w:r>
          <w:r w:rsidRPr="00D5706D">
            <w:rPr>
              <w:rFonts w:ascii="Arial" w:hAnsi="Arial" w:cs="Arial"/>
              <w:color w:val="7F7F7F"/>
              <w:sz w:val="16"/>
              <w:szCs w:val="16"/>
              <w:lang w:val="fr-FR"/>
            </w:rPr>
            <w:t>nvironnement</w:t>
          </w:r>
        </w:p>
        <w:p w:rsidR="00A955C8" w:rsidRPr="00D5706D" w:rsidRDefault="00A955C8" w:rsidP="00D5706D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D5706D">
            <w:rPr>
              <w:rFonts w:ascii="Arial" w:hAnsi="Arial" w:cs="Arial"/>
              <w:color w:val="7F7F7F"/>
              <w:sz w:val="16"/>
              <w:szCs w:val="16"/>
              <w:lang w:val="fr-FR"/>
            </w:rPr>
            <w:t xml:space="preserve">413 rue Saint-Jacques, </w:t>
          </w:r>
          <w:r>
            <w:rPr>
              <w:rFonts w:ascii="Arial" w:hAnsi="Arial" w:cs="Arial"/>
              <w:color w:val="7F7F7F"/>
              <w:sz w:val="16"/>
              <w:szCs w:val="16"/>
              <w:lang w:val="fr-FR"/>
            </w:rPr>
            <w:t>Bureau</w:t>
          </w:r>
          <w:r w:rsidRPr="00D5706D">
            <w:rPr>
              <w:rFonts w:ascii="Arial" w:hAnsi="Arial" w:cs="Arial"/>
              <w:color w:val="7F7F7F"/>
              <w:sz w:val="16"/>
              <w:szCs w:val="16"/>
              <w:lang w:val="fr-FR"/>
            </w:rPr>
            <w:t xml:space="preserve"> 800, Montréal, QC, H2Y 1N9, Canada</w:t>
          </w:r>
        </w:p>
        <w:p w:rsidR="00A955C8" w:rsidRPr="00D5706D" w:rsidRDefault="00A955C8" w:rsidP="00D5706D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D5706D">
            <w:rPr>
              <w:rFonts w:ascii="Arial" w:hAnsi="Arial" w:cs="Arial"/>
              <w:color w:val="7F7F7F"/>
              <w:sz w:val="16"/>
              <w:szCs w:val="16"/>
              <w:lang w:val="fr-FR"/>
            </w:rPr>
            <w:t>Tél : +1 514 288 2220,   Fax : +1 514 288 6588</w:t>
          </w:r>
        </w:p>
        <w:p w:rsidR="00A955C8" w:rsidRPr="00D5706D" w:rsidRDefault="002A3F50" w:rsidP="0000434A">
          <w:pPr>
            <w:ind w:left="317" w:hanging="284"/>
            <w:rPr>
              <w:lang w:val="fr-FR"/>
            </w:rPr>
          </w:pPr>
          <w:hyperlink r:id="rId3" w:history="1">
            <w:r w:rsidR="00A955C8" w:rsidRPr="00D5706D">
              <w:rPr>
                <w:rStyle w:val="Hyperlink"/>
                <w:rFonts w:ascii="Arial" w:hAnsi="Arial" w:cs="Arial"/>
                <w:sz w:val="16"/>
                <w:szCs w:val="16"/>
                <w:lang w:val="fr-FR"/>
              </w:rPr>
              <w:t>secretariat@cbd.int</w:t>
            </w:r>
          </w:hyperlink>
          <w:r w:rsidR="00A955C8" w:rsidRPr="00D5706D">
            <w:rPr>
              <w:rFonts w:ascii="Arial" w:hAnsi="Arial" w:cs="Arial"/>
              <w:color w:val="7F7F7F"/>
              <w:sz w:val="16"/>
              <w:szCs w:val="16"/>
              <w:lang w:val="fr-FR"/>
            </w:rPr>
            <w:t xml:space="preserve">                 </w:t>
          </w:r>
          <w:r>
            <w:fldChar w:fldCharType="begin"/>
          </w:r>
          <w:r w:rsidRPr="001A62B6">
            <w:rPr>
              <w:lang w:val="fr-FR"/>
            </w:rPr>
            <w:instrText>HYPERLINK "http://www.cbd.int"</w:instrText>
          </w:r>
          <w:r>
            <w:fldChar w:fldCharType="separate"/>
          </w:r>
          <w:r w:rsidR="00A955C8" w:rsidRPr="00D5706D">
            <w:rPr>
              <w:rStyle w:val="Hyperlink"/>
              <w:rFonts w:ascii="Arial" w:hAnsi="Arial" w:cs="Arial"/>
              <w:bCs/>
              <w:sz w:val="16"/>
              <w:szCs w:val="16"/>
              <w:lang w:val="fr-FR"/>
            </w:rPr>
            <w:t>www.cbd.int</w:t>
          </w:r>
          <w:r>
            <w:fldChar w:fldCharType="end"/>
          </w:r>
        </w:p>
      </w:tc>
      <w:tc>
        <w:tcPr>
          <w:tcW w:w="1134" w:type="dxa"/>
          <w:shd w:val="clear" w:color="auto" w:fill="auto"/>
          <w:vAlign w:val="bottom"/>
        </w:tcPr>
        <w:p w:rsidR="00A955C8" w:rsidRPr="00D5706D" w:rsidRDefault="00A955C8" w:rsidP="0000434A">
          <w:pPr>
            <w:jc w:val="right"/>
            <w:rPr>
              <w:lang w:val="fr-FR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580390" cy="620395"/>
                <wp:effectExtent l="19050" t="0" r="0" b="0"/>
                <wp:docPr id="4" name="Picture 4" descr="cop11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op11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039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955C8" w:rsidRPr="00D5706D" w:rsidRDefault="00A955C8">
    <w:pPr>
      <w:pStyle w:val="Footer"/>
      <w:rPr>
        <w:sz w:val="16"/>
        <w:szCs w:val="16"/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5C8" w:rsidRDefault="00A955C8">
      <w:r>
        <w:separator/>
      </w:r>
    </w:p>
  </w:footnote>
  <w:footnote w:type="continuationSeparator" w:id="0">
    <w:p w:rsidR="00A955C8" w:rsidRDefault="00A955C8">
      <w:r>
        <w:continuationSeparator/>
      </w:r>
    </w:p>
  </w:footnote>
  <w:footnote w:id="1">
    <w:p w:rsidR="00A955C8" w:rsidRDefault="00A955C8" w:rsidP="007F16A5">
      <w:pPr>
        <w:pStyle w:val="FootnoteText"/>
        <w:rPr>
          <w:lang w:val="fr-CA"/>
        </w:rPr>
      </w:pPr>
      <w:r>
        <w:rPr>
          <w:rStyle w:val="FootnoteReference"/>
        </w:rPr>
        <w:footnoteRef/>
      </w:r>
      <w:r w:rsidRPr="002D77C7">
        <w:rPr>
          <w:lang w:val="fr-FR"/>
        </w:rPr>
        <w:t xml:space="preserve"> </w:t>
      </w:r>
      <w:r>
        <w:rPr>
          <w:lang w:val="fr-CA"/>
        </w:rPr>
        <w:t xml:space="preserve">Cette traduction n’est pas officielle, c’est une courtoisie du Secrétariat. </w:t>
      </w:r>
    </w:p>
    <w:p w:rsidR="00A955C8" w:rsidRPr="007F4891" w:rsidRDefault="00A955C8" w:rsidP="007F16A5">
      <w:pPr>
        <w:pStyle w:val="FootnoteText"/>
        <w:rPr>
          <w:lang w:val="fr-CA"/>
        </w:rPr>
      </w:pPr>
      <w:r>
        <w:rPr>
          <w:lang w:val="fr-CA"/>
        </w:rPr>
        <w:t>Aux P</w:t>
      </w:r>
      <w:r w:rsidRPr="00BC369C">
        <w:rPr>
          <w:lang w:val="fr-CA"/>
        </w:rPr>
        <w:t>oints focaux nationaux</w:t>
      </w:r>
      <w:r>
        <w:rPr>
          <w:lang w:val="fr-CA"/>
        </w:rPr>
        <w:t xml:space="preserve"> de la CDB, du PN et d</w:t>
      </w:r>
      <w:r w:rsidRPr="00B24D00">
        <w:rPr>
          <w:lang w:val="fr-CA"/>
        </w:rPr>
        <w:t xml:space="preserve">es </w:t>
      </w:r>
      <w:r>
        <w:rPr>
          <w:lang w:val="fr-CA"/>
        </w:rPr>
        <w:t>CT de l’Afrique, des peuples autochtones et</w:t>
      </w:r>
      <w:r w:rsidRPr="0028509B">
        <w:rPr>
          <w:lang w:val="fr-CA"/>
        </w:rPr>
        <w:t xml:space="preserve"> </w:t>
      </w:r>
      <w:r>
        <w:rPr>
          <w:lang w:val="fr-CA"/>
        </w:rPr>
        <w:t>communautés locales ainsi qu’aux organisations internationales pertinentes.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5C8" w:rsidRPr="0079367D" w:rsidRDefault="00A955C8" w:rsidP="00E5687E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>
          <wp:extent cx="5494655" cy="1240155"/>
          <wp:effectExtent l="19050" t="0" r="0" b="0"/>
          <wp:docPr id="1" name="Picture 1" descr="UNDB+UN-logo-fr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fr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4655" cy="1240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6AA6"/>
    <w:multiLevelType w:val="hybridMultilevel"/>
    <w:tmpl w:val="02BEA8E2"/>
    <w:lvl w:ilvl="0" w:tplc="7AAA2D02">
      <w:start w:val="1"/>
      <w:numFmt w:val="lowerRoman"/>
      <w:lvlText w:val="(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2A2B76"/>
    <w:multiLevelType w:val="hybridMultilevel"/>
    <w:tmpl w:val="F4C4C6D2"/>
    <w:lvl w:ilvl="0" w:tplc="E380465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1913961"/>
    <w:multiLevelType w:val="hybridMultilevel"/>
    <w:tmpl w:val="619C28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997EB7"/>
    <w:multiLevelType w:val="hybridMultilevel"/>
    <w:tmpl w:val="02BEA8E2"/>
    <w:lvl w:ilvl="0" w:tplc="7AAA2D02">
      <w:start w:val="1"/>
      <w:numFmt w:val="lowerRoman"/>
      <w:lvlText w:val="(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410D1B"/>
    <w:rsid w:val="0000434A"/>
    <w:rsid w:val="0001655B"/>
    <w:rsid w:val="00020CB7"/>
    <w:rsid w:val="000520BF"/>
    <w:rsid w:val="00053583"/>
    <w:rsid w:val="00060F26"/>
    <w:rsid w:val="00082816"/>
    <w:rsid w:val="000A1EAF"/>
    <w:rsid w:val="000B3729"/>
    <w:rsid w:val="000B6228"/>
    <w:rsid w:val="000C7929"/>
    <w:rsid w:val="00170A3F"/>
    <w:rsid w:val="001771FC"/>
    <w:rsid w:val="001A62B6"/>
    <w:rsid w:val="001A7B51"/>
    <w:rsid w:val="001B7642"/>
    <w:rsid w:val="001D3754"/>
    <w:rsid w:val="001E3E11"/>
    <w:rsid w:val="00203867"/>
    <w:rsid w:val="002324A3"/>
    <w:rsid w:val="00244FE0"/>
    <w:rsid w:val="00247402"/>
    <w:rsid w:val="0028509B"/>
    <w:rsid w:val="002A3F50"/>
    <w:rsid w:val="002A6DA8"/>
    <w:rsid w:val="002C59EE"/>
    <w:rsid w:val="002D065D"/>
    <w:rsid w:val="00332A6E"/>
    <w:rsid w:val="0033392D"/>
    <w:rsid w:val="00333F18"/>
    <w:rsid w:val="003958A6"/>
    <w:rsid w:val="003F5EC1"/>
    <w:rsid w:val="00410D1B"/>
    <w:rsid w:val="0043164D"/>
    <w:rsid w:val="004464D8"/>
    <w:rsid w:val="00454CE8"/>
    <w:rsid w:val="00487C28"/>
    <w:rsid w:val="00491D31"/>
    <w:rsid w:val="004E4BCF"/>
    <w:rsid w:val="005469ED"/>
    <w:rsid w:val="00551004"/>
    <w:rsid w:val="00564AE5"/>
    <w:rsid w:val="005672C9"/>
    <w:rsid w:val="005824FC"/>
    <w:rsid w:val="00587166"/>
    <w:rsid w:val="005C3F60"/>
    <w:rsid w:val="005E2407"/>
    <w:rsid w:val="005F37D2"/>
    <w:rsid w:val="00600804"/>
    <w:rsid w:val="006056FD"/>
    <w:rsid w:val="00624C82"/>
    <w:rsid w:val="00626CE8"/>
    <w:rsid w:val="00661157"/>
    <w:rsid w:val="006618C3"/>
    <w:rsid w:val="006D5291"/>
    <w:rsid w:val="006E74C2"/>
    <w:rsid w:val="006F0DCB"/>
    <w:rsid w:val="006F40ED"/>
    <w:rsid w:val="00700AC5"/>
    <w:rsid w:val="007024B4"/>
    <w:rsid w:val="00763D47"/>
    <w:rsid w:val="0079367D"/>
    <w:rsid w:val="007953C3"/>
    <w:rsid w:val="007A117D"/>
    <w:rsid w:val="007A24E9"/>
    <w:rsid w:val="007C0C1B"/>
    <w:rsid w:val="007D13B8"/>
    <w:rsid w:val="007F16A5"/>
    <w:rsid w:val="007F4891"/>
    <w:rsid w:val="00801D1A"/>
    <w:rsid w:val="00804363"/>
    <w:rsid w:val="00832E1E"/>
    <w:rsid w:val="00840313"/>
    <w:rsid w:val="0085007C"/>
    <w:rsid w:val="00862AF6"/>
    <w:rsid w:val="008746CD"/>
    <w:rsid w:val="008911E7"/>
    <w:rsid w:val="008B0624"/>
    <w:rsid w:val="008D15CE"/>
    <w:rsid w:val="008E5267"/>
    <w:rsid w:val="0091192D"/>
    <w:rsid w:val="00945444"/>
    <w:rsid w:val="00952F39"/>
    <w:rsid w:val="00985B44"/>
    <w:rsid w:val="009B6299"/>
    <w:rsid w:val="009C4377"/>
    <w:rsid w:val="009D0254"/>
    <w:rsid w:val="00A14EEE"/>
    <w:rsid w:val="00A312D8"/>
    <w:rsid w:val="00A35A86"/>
    <w:rsid w:val="00A6108E"/>
    <w:rsid w:val="00A955C8"/>
    <w:rsid w:val="00AA2180"/>
    <w:rsid w:val="00AA45C5"/>
    <w:rsid w:val="00AC73F7"/>
    <w:rsid w:val="00AE6FEC"/>
    <w:rsid w:val="00B02B94"/>
    <w:rsid w:val="00B1707B"/>
    <w:rsid w:val="00B24D00"/>
    <w:rsid w:val="00B65D31"/>
    <w:rsid w:val="00B76BE3"/>
    <w:rsid w:val="00B93D50"/>
    <w:rsid w:val="00BB5A52"/>
    <w:rsid w:val="00BC09B3"/>
    <w:rsid w:val="00BC3D9A"/>
    <w:rsid w:val="00BD7949"/>
    <w:rsid w:val="00BE19C5"/>
    <w:rsid w:val="00BF43A4"/>
    <w:rsid w:val="00C0100A"/>
    <w:rsid w:val="00C65EF1"/>
    <w:rsid w:val="00C73F78"/>
    <w:rsid w:val="00C85696"/>
    <w:rsid w:val="00C9464F"/>
    <w:rsid w:val="00CA3CDA"/>
    <w:rsid w:val="00CA73E1"/>
    <w:rsid w:val="00CB04F5"/>
    <w:rsid w:val="00CF16C6"/>
    <w:rsid w:val="00D00F65"/>
    <w:rsid w:val="00D17C13"/>
    <w:rsid w:val="00D23D36"/>
    <w:rsid w:val="00D5253A"/>
    <w:rsid w:val="00D55CA7"/>
    <w:rsid w:val="00D5706D"/>
    <w:rsid w:val="00D72B8D"/>
    <w:rsid w:val="00D8033C"/>
    <w:rsid w:val="00D973FC"/>
    <w:rsid w:val="00DC1460"/>
    <w:rsid w:val="00DC466F"/>
    <w:rsid w:val="00DF4EFB"/>
    <w:rsid w:val="00E034BA"/>
    <w:rsid w:val="00E06863"/>
    <w:rsid w:val="00E14C4F"/>
    <w:rsid w:val="00E24AF7"/>
    <w:rsid w:val="00E5687E"/>
    <w:rsid w:val="00E6607A"/>
    <w:rsid w:val="00E74140"/>
    <w:rsid w:val="00EA18E2"/>
    <w:rsid w:val="00EB3AA0"/>
    <w:rsid w:val="00F22732"/>
    <w:rsid w:val="00F35F42"/>
    <w:rsid w:val="00F55E0E"/>
    <w:rsid w:val="00F60126"/>
    <w:rsid w:val="00F95DF2"/>
    <w:rsid w:val="00F97A40"/>
    <w:rsid w:val="00FD7120"/>
    <w:rsid w:val="00FE0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4C4F"/>
    <w:rPr>
      <w:sz w:val="24"/>
      <w:szCs w:val="24"/>
      <w:lang w:val="en-GB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rPr>
      <w:lang w:val="en-CA"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FootnoteText">
    <w:name w:val="footnote text"/>
    <w:basedOn w:val="Normal"/>
    <w:link w:val="FootnoteTextChar"/>
    <w:rsid w:val="007F16A5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7F16A5"/>
    <w:rPr>
      <w:lang w:val="en-GB"/>
    </w:rPr>
  </w:style>
  <w:style w:type="character" w:styleId="FootnoteReference">
    <w:name w:val="footnote reference"/>
    <w:basedOn w:val="DefaultParagraphFont"/>
    <w:rsid w:val="007F16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4A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8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1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8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0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7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8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03137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51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6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53632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2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6099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896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3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97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6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6634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113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43759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66348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4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539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3322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cbd.in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bd.int/meetings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Working%20Folders\Templates\2011-2020_COP11%20logo\templates\fr\letter-fr-undb-cop11-colour_rev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B547-2A16-45E9-A4CB-46B4D6B68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letter-fr-undb-cop11-colour_rev.dot</Template>
  <TotalTime>0</TotalTime>
  <Pages>4</Pages>
  <Words>666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4875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2015-11-19T16:41:00Z</dcterms:created>
  <dcterms:modified xsi:type="dcterms:W3CDTF">2015-11-19T19:35:00Z</dcterms:modified>
</cp:coreProperties>
</file>