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5D0" w:rsidRPr="00E66FE4" w:rsidRDefault="00A5271B" w:rsidP="005542ED">
      <w:pPr>
        <w:spacing w:beforeLines="50" w:afterLines="50"/>
        <w:ind w:left="-907" w:right="-1080"/>
        <w:jc w:val="both"/>
        <w:rPr>
          <w:rFonts w:ascii="Arial" w:hAnsi="Arial" w:cs="Arial"/>
          <w:b/>
        </w:rPr>
      </w:pPr>
      <w:r w:rsidRPr="00C92510">
        <w:rPr>
          <w:rFonts w:ascii="Arial" w:hAnsi="Arial" w:cs="Arial"/>
          <w:b/>
        </w:rPr>
        <w:t>Requests to</w:t>
      </w:r>
      <w:r w:rsidR="00C11398" w:rsidRPr="00C92510">
        <w:rPr>
          <w:rFonts w:ascii="Arial" w:hAnsi="Arial" w:cs="Arial"/>
          <w:b/>
        </w:rPr>
        <w:t xml:space="preserve"> Parties contained in </w:t>
      </w:r>
      <w:r w:rsidR="00615F80" w:rsidRPr="00C92510">
        <w:rPr>
          <w:rFonts w:ascii="Arial" w:hAnsi="Arial" w:cs="Arial"/>
          <w:b/>
          <w:color w:val="FF0000"/>
        </w:rPr>
        <w:t>COP</w:t>
      </w:r>
      <w:r w:rsidR="009544A1" w:rsidRPr="00C92510">
        <w:rPr>
          <w:rFonts w:ascii="Arial" w:hAnsi="Arial" w:cs="Arial"/>
          <w:b/>
          <w:color w:val="FF0000"/>
        </w:rPr>
        <w:t>-1</w:t>
      </w:r>
      <w:r w:rsidR="00892851">
        <w:rPr>
          <w:rFonts w:ascii="Arial" w:hAnsi="Arial" w:cs="Arial"/>
          <w:b/>
          <w:color w:val="FF0000"/>
        </w:rPr>
        <w:t>2</w:t>
      </w:r>
      <w:r w:rsidR="00615F80" w:rsidRPr="00C92510">
        <w:rPr>
          <w:rFonts w:ascii="Arial" w:hAnsi="Arial" w:cs="Arial"/>
          <w:b/>
        </w:rPr>
        <w:t xml:space="preserve"> </w:t>
      </w:r>
      <w:r w:rsidR="00BA4388" w:rsidRPr="00C92510">
        <w:rPr>
          <w:rFonts w:ascii="Arial" w:hAnsi="Arial" w:cs="Arial"/>
          <w:b/>
        </w:rPr>
        <w:t>d</w:t>
      </w:r>
      <w:r w:rsidR="00615F80" w:rsidRPr="00C92510">
        <w:rPr>
          <w:rFonts w:ascii="Arial" w:hAnsi="Arial" w:cs="Arial"/>
          <w:b/>
        </w:rPr>
        <w:t xml:space="preserve">ecisions </w:t>
      </w:r>
      <w:r w:rsidR="00C11398" w:rsidRPr="00C92510">
        <w:rPr>
          <w:rFonts w:ascii="Arial" w:hAnsi="Arial" w:cs="Arial"/>
          <w:b/>
        </w:rPr>
        <w:t xml:space="preserve">that </w:t>
      </w:r>
      <w:r w:rsidR="0011083D" w:rsidRPr="00C92510">
        <w:rPr>
          <w:rFonts w:ascii="Arial" w:hAnsi="Arial" w:cs="Arial"/>
          <w:b/>
        </w:rPr>
        <w:t>relate t</w:t>
      </w:r>
      <w:r w:rsidR="00892851">
        <w:rPr>
          <w:rFonts w:ascii="Arial" w:hAnsi="Arial" w:cs="Arial"/>
          <w:b/>
        </w:rPr>
        <w:t xml:space="preserve">o </w:t>
      </w:r>
      <w:r w:rsidR="00E86776" w:rsidRPr="00C92510">
        <w:rPr>
          <w:rFonts w:ascii="Arial" w:hAnsi="Arial" w:cs="Arial"/>
          <w:b/>
        </w:rPr>
        <w:t>n</w:t>
      </w:r>
      <w:r w:rsidR="00615F80" w:rsidRPr="00C92510">
        <w:rPr>
          <w:rFonts w:ascii="Arial" w:hAnsi="Arial" w:cs="Arial"/>
          <w:b/>
        </w:rPr>
        <w:t xml:space="preserve">ational </w:t>
      </w:r>
      <w:r w:rsidR="001E53BD" w:rsidRPr="00E66FE4">
        <w:rPr>
          <w:rFonts w:ascii="Arial" w:hAnsi="Arial" w:cs="Arial"/>
          <w:b/>
        </w:rPr>
        <w:t>report</w:t>
      </w:r>
      <w:r w:rsidR="008675DD">
        <w:rPr>
          <w:rFonts w:ascii="Arial" w:hAnsi="Arial" w:cs="Arial"/>
          <w:b/>
        </w:rPr>
        <w:t>ing (</w:t>
      </w:r>
      <w:r w:rsidR="00E753D5">
        <w:rPr>
          <w:rFonts w:ascii="Arial" w:hAnsi="Arial" w:cs="Arial"/>
          <w:b/>
        </w:rPr>
        <w:t xml:space="preserve">CBD </w:t>
      </w:r>
      <w:r w:rsidR="008675DD">
        <w:rPr>
          <w:rFonts w:ascii="Arial" w:hAnsi="Arial" w:cs="Arial"/>
          <w:b/>
        </w:rPr>
        <w:t>Article 26)</w:t>
      </w:r>
      <w:r w:rsidR="00F55BBC" w:rsidRPr="00C92510">
        <w:rPr>
          <w:rFonts w:ascii="Arial" w:hAnsi="Arial" w:cs="Arial"/>
          <w:b/>
        </w:rPr>
        <w:t xml:space="preserve"> </w:t>
      </w:r>
    </w:p>
    <w:tbl>
      <w:tblPr>
        <w:tblW w:w="15021" w:type="dxa"/>
        <w:tblCellSpacing w:w="7" w:type="dxa"/>
        <w:tblInd w:w="-792" w:type="dxa"/>
        <w:tblBorders>
          <w:top w:val="threeDEngrave" w:sz="12" w:space="0" w:color="FFFFFF"/>
          <w:left w:val="threeDEngrave" w:sz="12" w:space="0" w:color="FFFFFF"/>
          <w:bottom w:val="threeDEngrave" w:sz="12" w:space="0" w:color="FFFFFF"/>
          <w:right w:val="threeDEngrave" w:sz="12" w:space="0" w:color="FFFFFF"/>
          <w:insideH w:val="single" w:sz="4" w:space="0" w:color="808080"/>
          <w:insideV w:val="single" w:sz="4" w:space="0" w:color="808080"/>
        </w:tblBorders>
        <w:tblCellMar>
          <w:top w:w="115" w:type="dxa"/>
          <w:left w:w="115" w:type="dxa"/>
          <w:bottom w:w="115" w:type="dxa"/>
          <w:right w:w="115" w:type="dxa"/>
        </w:tblCellMar>
        <w:tblLook w:val="01E0"/>
      </w:tblPr>
      <w:tblGrid>
        <w:gridCol w:w="1838"/>
        <w:gridCol w:w="4140"/>
        <w:gridCol w:w="9043"/>
      </w:tblGrid>
      <w:tr w:rsidR="0091264B" w:rsidRPr="00640EA2" w:rsidTr="008725EC">
        <w:trPr>
          <w:trHeight w:val="271"/>
          <w:tblHeader/>
          <w:tblCellSpacing w:w="7" w:type="dxa"/>
        </w:trPr>
        <w:tc>
          <w:tcPr>
            <w:tcW w:w="1817" w:type="dxa"/>
            <w:tcBorders>
              <w:top w:val="threeDEngrave" w:sz="12" w:space="0" w:color="FFFFFF"/>
              <w:bottom w:val="single" w:sz="4" w:space="0" w:color="808080"/>
            </w:tcBorders>
            <w:shd w:val="clear" w:color="auto" w:fill="808080" w:themeFill="background1" w:themeFillShade="80"/>
            <w:tcMar>
              <w:top w:w="72" w:type="dxa"/>
              <w:left w:w="72" w:type="dxa"/>
              <w:bottom w:w="72" w:type="dxa"/>
              <w:right w:w="72" w:type="dxa"/>
            </w:tcMar>
          </w:tcPr>
          <w:p w:rsidR="005135D0" w:rsidRPr="008725EC" w:rsidRDefault="00C65377" w:rsidP="00640EA2">
            <w:pPr>
              <w:spacing w:beforeLines="20" w:afterLines="20"/>
              <w:rPr>
                <w:rFonts w:ascii="Arial" w:hAnsi="Arial" w:cs="Arial"/>
                <w:b/>
                <w:color w:val="F2F2F2" w:themeColor="background1" w:themeShade="F2"/>
                <w:sz w:val="22"/>
                <w:szCs w:val="22"/>
                <w:lang w:val="en-GB"/>
              </w:rPr>
            </w:pPr>
            <w:r w:rsidRPr="008725EC">
              <w:rPr>
                <w:rFonts w:ascii="Arial" w:hAnsi="Arial" w:cs="Arial"/>
                <w:b/>
                <w:color w:val="F2F2F2" w:themeColor="background1" w:themeShade="F2"/>
                <w:sz w:val="22"/>
                <w:szCs w:val="22"/>
              </w:rPr>
              <w:t xml:space="preserve">Decision </w:t>
            </w:r>
            <w:r w:rsidR="00343CF6" w:rsidRPr="008725EC">
              <w:rPr>
                <w:rFonts w:ascii="Arial" w:hAnsi="Arial" w:cs="Arial"/>
                <w:b/>
                <w:color w:val="F2F2F2" w:themeColor="background1" w:themeShade="F2"/>
                <w:sz w:val="22"/>
                <w:szCs w:val="22"/>
              </w:rPr>
              <w:t>No.</w:t>
            </w:r>
          </w:p>
        </w:tc>
        <w:tc>
          <w:tcPr>
            <w:tcW w:w="4126" w:type="dxa"/>
            <w:tcBorders>
              <w:top w:val="threeDEngrave" w:sz="12" w:space="0" w:color="FFFFFF"/>
              <w:bottom w:val="single" w:sz="4" w:space="0" w:color="808080"/>
            </w:tcBorders>
            <w:shd w:val="clear" w:color="auto" w:fill="808080" w:themeFill="background1" w:themeFillShade="80"/>
            <w:tcMar>
              <w:top w:w="72" w:type="dxa"/>
              <w:left w:w="72" w:type="dxa"/>
              <w:bottom w:w="72" w:type="dxa"/>
              <w:right w:w="72" w:type="dxa"/>
            </w:tcMar>
          </w:tcPr>
          <w:p w:rsidR="005135D0" w:rsidRPr="008725EC" w:rsidRDefault="00343CF6" w:rsidP="001F763F">
            <w:pPr>
              <w:spacing w:beforeLines="20" w:afterLines="20"/>
              <w:jc w:val="center"/>
              <w:rPr>
                <w:rFonts w:ascii="Arial" w:hAnsi="Arial" w:cs="Arial"/>
                <w:b/>
                <w:color w:val="F2F2F2" w:themeColor="background1" w:themeShade="F2"/>
                <w:sz w:val="22"/>
                <w:szCs w:val="22"/>
                <w:lang w:val="en-GB"/>
              </w:rPr>
            </w:pPr>
            <w:r w:rsidRPr="008725EC">
              <w:rPr>
                <w:rFonts w:ascii="Arial" w:hAnsi="Arial" w:cs="Arial"/>
                <w:b/>
                <w:color w:val="F2F2F2" w:themeColor="background1" w:themeShade="F2"/>
                <w:sz w:val="22"/>
                <w:szCs w:val="22"/>
              </w:rPr>
              <w:t>Title</w:t>
            </w:r>
          </w:p>
        </w:tc>
        <w:tc>
          <w:tcPr>
            <w:tcW w:w="9022" w:type="dxa"/>
            <w:tcBorders>
              <w:top w:val="threeDEngrave" w:sz="12" w:space="0" w:color="FFFFFF"/>
              <w:bottom w:val="single" w:sz="4" w:space="0" w:color="808080"/>
            </w:tcBorders>
            <w:shd w:val="clear" w:color="auto" w:fill="808080" w:themeFill="background1" w:themeFillShade="80"/>
            <w:tcMar>
              <w:top w:w="72" w:type="dxa"/>
              <w:left w:w="72" w:type="dxa"/>
              <w:bottom w:w="72" w:type="dxa"/>
              <w:right w:w="72" w:type="dxa"/>
            </w:tcMar>
          </w:tcPr>
          <w:p w:rsidR="00665AAC" w:rsidRPr="008725EC" w:rsidRDefault="00343CF6" w:rsidP="00640EA2">
            <w:pPr>
              <w:pStyle w:val="Para2"/>
              <w:numPr>
                <w:ilvl w:val="0"/>
                <w:numId w:val="0"/>
              </w:numPr>
              <w:jc w:val="left"/>
              <w:rPr>
                <w:rFonts w:ascii="Arial" w:hAnsi="Arial" w:cs="Arial"/>
                <w:b/>
                <w:color w:val="F2F2F2" w:themeColor="background1" w:themeShade="F2"/>
                <w:szCs w:val="22"/>
              </w:rPr>
            </w:pPr>
            <w:r w:rsidRPr="008725EC">
              <w:rPr>
                <w:rFonts w:ascii="Arial" w:hAnsi="Arial" w:cs="Arial"/>
                <w:b/>
                <w:color w:val="F2F2F2" w:themeColor="background1" w:themeShade="F2"/>
                <w:szCs w:val="22"/>
              </w:rPr>
              <w:t>Legal Text (extracted from decision</w:t>
            </w:r>
            <w:r w:rsidR="00AE6812" w:rsidRPr="008725EC">
              <w:rPr>
                <w:rFonts w:ascii="Arial" w:hAnsi="Arial" w:cs="Arial"/>
                <w:b/>
                <w:color w:val="F2F2F2" w:themeColor="background1" w:themeShade="F2"/>
                <w:szCs w:val="22"/>
              </w:rPr>
              <w:t>)</w:t>
            </w:r>
          </w:p>
        </w:tc>
      </w:tr>
      <w:tr w:rsidR="00892851" w:rsidRPr="00640EA2" w:rsidTr="008725EC">
        <w:trPr>
          <w:trHeight w:val="1756"/>
          <w:tblCellSpacing w:w="7" w:type="dxa"/>
        </w:trPr>
        <w:tc>
          <w:tcPr>
            <w:tcW w:w="1817" w:type="dxa"/>
            <w:tcBorders>
              <w:top w:val="single" w:sz="4" w:space="0" w:color="808080"/>
            </w:tcBorders>
            <w:tcMar>
              <w:top w:w="72" w:type="dxa"/>
              <w:left w:w="72" w:type="dxa"/>
              <w:bottom w:w="72" w:type="dxa"/>
              <w:right w:w="72" w:type="dxa"/>
            </w:tcMar>
          </w:tcPr>
          <w:p w:rsidR="00892851" w:rsidRPr="00640EA2" w:rsidRDefault="00FC3B62" w:rsidP="00640EA2">
            <w:pPr>
              <w:spacing w:beforeLines="20" w:afterLines="20"/>
            </w:pPr>
            <w:r w:rsidRPr="00640EA2">
              <w:t>XII/2</w:t>
            </w:r>
          </w:p>
        </w:tc>
        <w:tc>
          <w:tcPr>
            <w:tcW w:w="4126" w:type="dxa"/>
            <w:tcBorders>
              <w:top w:val="single" w:sz="4" w:space="0" w:color="808080"/>
            </w:tcBorders>
            <w:tcMar>
              <w:top w:w="72" w:type="dxa"/>
              <w:left w:w="72" w:type="dxa"/>
              <w:bottom w:w="72" w:type="dxa"/>
              <w:right w:w="72" w:type="dxa"/>
            </w:tcMar>
          </w:tcPr>
          <w:p w:rsidR="00892851" w:rsidRPr="00640EA2" w:rsidRDefault="00FC3B62" w:rsidP="00640EA2">
            <w:pPr>
              <w:spacing w:beforeLines="20" w:afterLines="20"/>
            </w:pPr>
            <w:r w:rsidRPr="00640EA2">
              <w:t>Review of progress in providing support in implementing the objectives of the Convention and the Strategic Plan for Biodiversity 2011-2020, and enhancement of capacity-building, technical and scientific cooperation and other initiatives to assist implementation</w:t>
            </w:r>
          </w:p>
        </w:tc>
        <w:tc>
          <w:tcPr>
            <w:tcW w:w="9022" w:type="dxa"/>
            <w:tcBorders>
              <w:top w:val="single" w:sz="4" w:space="0" w:color="808080"/>
            </w:tcBorders>
            <w:tcMar>
              <w:top w:w="72" w:type="dxa"/>
              <w:left w:w="72" w:type="dxa"/>
              <w:bottom w:w="72" w:type="dxa"/>
              <w:right w:w="72" w:type="dxa"/>
            </w:tcMar>
          </w:tcPr>
          <w:p w:rsidR="00310ED8" w:rsidRPr="00C82C53" w:rsidRDefault="00310ED8" w:rsidP="00640EA2">
            <w:pPr>
              <w:pStyle w:val="BodyText"/>
              <w:keepNext/>
              <w:spacing w:before="0" w:after="240"/>
              <w:ind w:firstLine="0"/>
              <w:jc w:val="left"/>
              <w:rPr>
                <w:b/>
                <w:sz w:val="24"/>
              </w:rPr>
            </w:pPr>
            <w:r w:rsidRPr="00C82C53">
              <w:rPr>
                <w:b/>
                <w:sz w:val="24"/>
              </w:rPr>
              <w:t>The (twelfth meeting of the) Conference of the Parties,</w:t>
            </w:r>
            <w:r w:rsidR="00DB07E2" w:rsidRPr="00C82C53">
              <w:rPr>
                <w:b/>
                <w:sz w:val="24"/>
              </w:rPr>
              <w:t xml:space="preserve"> </w:t>
            </w:r>
          </w:p>
          <w:p w:rsidR="00892851" w:rsidRPr="00640EA2" w:rsidRDefault="00FC3B62" w:rsidP="008725EC">
            <w:pPr>
              <w:spacing w:before="120" w:after="120"/>
              <w:rPr>
                <w:rFonts w:eastAsia="Calibri"/>
                <w:kern w:val="22"/>
              </w:rPr>
            </w:pPr>
            <w:r w:rsidRPr="00640EA2">
              <w:rPr>
                <w:rFonts w:eastAsia="Calibri"/>
                <w:kern w:val="22"/>
                <w:szCs w:val="22"/>
              </w:rPr>
              <w:t>4.</w:t>
            </w:r>
            <w:r w:rsidRPr="00640EA2">
              <w:rPr>
                <w:rFonts w:eastAsia="Calibri"/>
                <w:kern w:val="22"/>
                <w:szCs w:val="22"/>
              </w:rPr>
              <w:tab/>
            </w:r>
            <w:r w:rsidRPr="00640EA2">
              <w:rPr>
                <w:rFonts w:eastAsia="Calibri"/>
                <w:i/>
                <w:kern w:val="22"/>
                <w:szCs w:val="22"/>
              </w:rPr>
              <w:t>Urges</w:t>
            </w:r>
            <w:r w:rsidRPr="00640EA2">
              <w:rPr>
                <w:rFonts w:eastAsia="Calibri"/>
                <w:kern w:val="22"/>
                <w:szCs w:val="22"/>
              </w:rPr>
              <w:t xml:space="preserve"> those Parties that have not yet done so, to review and, as appropriate, update and revise their national biodiversity strategies and action plans in line with the Strategic Plan for Biodiversity 2011-2020, to adopt indicators at the national level as soon as possible and, in any event, no later than October 2015, and to submit their fifth national </w:t>
            </w:r>
            <w:r w:rsidR="00E23432" w:rsidRPr="00640EA2">
              <w:rPr>
                <w:rFonts w:eastAsia="Calibri"/>
                <w:kern w:val="22"/>
                <w:szCs w:val="22"/>
              </w:rPr>
              <w:t>report</w:t>
            </w:r>
            <w:r w:rsidRPr="00640EA2">
              <w:rPr>
                <w:rFonts w:eastAsia="Calibri"/>
                <w:kern w:val="22"/>
                <w:szCs w:val="22"/>
              </w:rPr>
              <w:t>s;</w:t>
            </w:r>
          </w:p>
        </w:tc>
      </w:tr>
      <w:tr w:rsidR="00892851" w:rsidRPr="00640EA2" w:rsidTr="008725EC">
        <w:trPr>
          <w:trHeight w:val="4501"/>
          <w:tblCellSpacing w:w="7" w:type="dxa"/>
        </w:trPr>
        <w:tc>
          <w:tcPr>
            <w:tcW w:w="1817" w:type="dxa"/>
            <w:tcBorders>
              <w:top w:val="single" w:sz="4" w:space="0" w:color="808080"/>
              <w:bottom w:val="single" w:sz="4" w:space="0" w:color="808080"/>
            </w:tcBorders>
            <w:tcMar>
              <w:top w:w="72" w:type="dxa"/>
              <w:left w:w="72" w:type="dxa"/>
              <w:bottom w:w="72" w:type="dxa"/>
              <w:right w:w="72" w:type="dxa"/>
            </w:tcMar>
          </w:tcPr>
          <w:p w:rsidR="00892851" w:rsidRPr="00640EA2" w:rsidRDefault="00FC3B62" w:rsidP="00640EA2">
            <w:pPr>
              <w:spacing w:beforeLines="20" w:afterLines="20"/>
            </w:pPr>
            <w:r w:rsidRPr="00640EA2">
              <w:t>XII/3</w:t>
            </w:r>
          </w:p>
        </w:tc>
        <w:tc>
          <w:tcPr>
            <w:tcW w:w="4126" w:type="dxa"/>
            <w:tcBorders>
              <w:top w:val="single" w:sz="4" w:space="0" w:color="808080"/>
              <w:bottom w:val="single" w:sz="4" w:space="0" w:color="808080"/>
            </w:tcBorders>
            <w:tcMar>
              <w:top w:w="72" w:type="dxa"/>
              <w:left w:w="72" w:type="dxa"/>
              <w:bottom w:w="72" w:type="dxa"/>
              <w:right w:w="72" w:type="dxa"/>
            </w:tcMar>
          </w:tcPr>
          <w:p w:rsidR="00FC3B62" w:rsidRPr="00640EA2" w:rsidRDefault="00FC3B62" w:rsidP="00640EA2">
            <w:pPr>
              <w:spacing w:beforeLines="20" w:afterLines="20"/>
            </w:pPr>
            <w:bookmarkStart w:id="0" w:name="_Toc404947535"/>
            <w:bookmarkStart w:id="1" w:name="_Toc398897295"/>
            <w:bookmarkStart w:id="2" w:name="DEC03"/>
            <w:r w:rsidRPr="00640EA2">
              <w:t>Resource mobilization</w:t>
            </w:r>
            <w:bookmarkEnd w:id="0"/>
          </w:p>
          <w:bookmarkEnd w:id="1"/>
          <w:bookmarkEnd w:id="2"/>
          <w:p w:rsidR="00892851" w:rsidRPr="00640EA2" w:rsidRDefault="00892851" w:rsidP="00640EA2">
            <w:pPr>
              <w:spacing w:beforeLines="20" w:afterLines="20"/>
            </w:pPr>
          </w:p>
        </w:tc>
        <w:tc>
          <w:tcPr>
            <w:tcW w:w="9022" w:type="dxa"/>
            <w:tcBorders>
              <w:top w:val="single" w:sz="4" w:space="0" w:color="808080"/>
              <w:bottom w:val="single" w:sz="4" w:space="0" w:color="808080"/>
            </w:tcBorders>
            <w:tcMar>
              <w:top w:w="72" w:type="dxa"/>
              <w:left w:w="72" w:type="dxa"/>
              <w:bottom w:w="72" w:type="dxa"/>
              <w:right w:w="72" w:type="dxa"/>
            </w:tcMar>
          </w:tcPr>
          <w:p w:rsidR="00FC3B62" w:rsidRPr="00640EA2" w:rsidRDefault="00FC3B62" w:rsidP="008725EC">
            <w:pPr>
              <w:keepNext/>
              <w:shd w:val="clear" w:color="auto" w:fill="FFFFFF"/>
              <w:spacing w:before="60" w:after="120"/>
              <w:rPr>
                <w:b/>
                <w:i/>
                <w:snapToGrid w:val="0"/>
              </w:rPr>
            </w:pPr>
            <w:r w:rsidRPr="00640EA2">
              <w:rPr>
                <w:b/>
                <w:i/>
                <w:snapToGrid w:val="0"/>
                <w:szCs w:val="22"/>
              </w:rPr>
              <w:t>Modalities and milestones for Aichi Biodiversity Target 3</w:t>
            </w:r>
          </w:p>
          <w:p w:rsidR="00FC3B62" w:rsidRPr="00640EA2" w:rsidRDefault="00FC3B62" w:rsidP="008725EC">
            <w:pPr>
              <w:shd w:val="clear" w:color="auto" w:fill="FFFFFF"/>
              <w:spacing w:before="120" w:after="120"/>
              <w:rPr>
                <w:snapToGrid w:val="0"/>
              </w:rPr>
            </w:pPr>
            <w:r w:rsidRPr="00640EA2">
              <w:rPr>
                <w:snapToGrid w:val="0"/>
              </w:rPr>
              <w:t>22.</w:t>
            </w:r>
            <w:r w:rsidRPr="00640EA2">
              <w:rPr>
                <w:snapToGrid w:val="0"/>
              </w:rPr>
              <w:tab/>
            </w:r>
            <w:r w:rsidRPr="00640EA2">
              <w:rPr>
                <w:i/>
                <w:snapToGrid w:val="0"/>
              </w:rPr>
              <w:t>Invites</w:t>
            </w:r>
            <w:r w:rsidRPr="00640EA2">
              <w:rPr>
                <w:snapToGrid w:val="0"/>
              </w:rPr>
              <w:t xml:space="preserve"> Parties to </w:t>
            </w:r>
            <w:r w:rsidR="00E23432" w:rsidRPr="00640EA2">
              <w:rPr>
                <w:snapToGrid w:val="0"/>
              </w:rPr>
              <w:t>report</w:t>
            </w:r>
            <w:r w:rsidRPr="00640EA2">
              <w:rPr>
                <w:snapToGrid w:val="0"/>
              </w:rPr>
              <w:t xml:space="preserve"> progress in achieving these milestones, as well as any additional milestones and timelines established at the national level, through their national </w:t>
            </w:r>
            <w:r w:rsidR="00E23432" w:rsidRPr="00640EA2">
              <w:rPr>
                <w:snapToGrid w:val="0"/>
              </w:rPr>
              <w:t>report</w:t>
            </w:r>
            <w:r w:rsidRPr="00640EA2">
              <w:rPr>
                <w:snapToGrid w:val="0"/>
              </w:rPr>
              <w:t xml:space="preserve">s or, as appropriate, through the online </w:t>
            </w:r>
            <w:r w:rsidR="00E23432" w:rsidRPr="00640EA2">
              <w:rPr>
                <w:snapToGrid w:val="0"/>
              </w:rPr>
              <w:t>report</w:t>
            </w:r>
            <w:r w:rsidRPr="00640EA2">
              <w:rPr>
                <w:snapToGrid w:val="0"/>
              </w:rPr>
              <w:t>ing framework on implementing the Strategic Plan for Biodiversity 2011-2020 and the Aichi Biodiversity Targets;</w:t>
            </w:r>
          </w:p>
          <w:p w:rsidR="001F558B" w:rsidRPr="00640EA2" w:rsidRDefault="00FC3B62" w:rsidP="008725EC">
            <w:pPr>
              <w:shd w:val="clear" w:color="auto" w:fill="FFFFFF"/>
            </w:pPr>
            <w:r w:rsidRPr="00640EA2">
              <w:t>23.</w:t>
            </w:r>
            <w:r w:rsidRPr="00640EA2">
              <w:tab/>
            </w:r>
            <w:r w:rsidRPr="00640EA2">
              <w:rPr>
                <w:i/>
              </w:rPr>
              <w:t xml:space="preserve">Invites </w:t>
            </w:r>
            <w:r w:rsidRPr="00640EA2">
              <w:t xml:space="preserve">Parties, in submitting to the Executive Secretary the information referred to in paragraph 28 below in their national </w:t>
            </w:r>
            <w:r w:rsidR="00E23432" w:rsidRPr="00640EA2">
              <w:t>report</w:t>
            </w:r>
            <w:r w:rsidRPr="00640EA2">
              <w:t>s, to include in particular information on practical experiences in the implementation of biodiversity-related positive incentives and lessons learned in applying options for overcoming obstacles encountered in implementing policies for addressing harmful incentives;</w:t>
            </w:r>
            <w:r w:rsidR="001F558B" w:rsidRPr="00640EA2">
              <w:t xml:space="preserve"> </w:t>
            </w:r>
          </w:p>
          <w:p w:rsidR="001F558B" w:rsidRPr="00640EA2" w:rsidRDefault="001F558B" w:rsidP="00640EA2">
            <w:pPr>
              <w:shd w:val="clear" w:color="auto" w:fill="FFFFFF"/>
              <w:ind w:firstLine="720"/>
            </w:pPr>
          </w:p>
          <w:p w:rsidR="00FC3B62" w:rsidRPr="00640EA2" w:rsidRDefault="00FC3B62" w:rsidP="008725EC">
            <w:pPr>
              <w:shd w:val="clear" w:color="auto" w:fill="FFFFFF"/>
              <w:spacing w:after="120"/>
              <w:rPr>
                <w:b/>
                <w:i/>
                <w:snapToGrid w:val="0"/>
              </w:rPr>
            </w:pPr>
            <w:r w:rsidRPr="00640EA2">
              <w:rPr>
                <w:b/>
                <w:i/>
                <w:snapToGrid w:val="0"/>
              </w:rPr>
              <w:t xml:space="preserve">Financial </w:t>
            </w:r>
            <w:r w:rsidR="00E23432" w:rsidRPr="00640EA2">
              <w:rPr>
                <w:b/>
                <w:i/>
                <w:snapToGrid w:val="0"/>
              </w:rPr>
              <w:t>report</w:t>
            </w:r>
            <w:r w:rsidRPr="00640EA2">
              <w:rPr>
                <w:b/>
                <w:i/>
                <w:snapToGrid w:val="0"/>
              </w:rPr>
              <w:t>ing, transparency and accessibility of information</w:t>
            </w:r>
            <w:r w:rsidR="008725EC">
              <w:rPr>
                <w:b/>
                <w:i/>
                <w:snapToGrid w:val="0"/>
              </w:rPr>
              <w:t xml:space="preserve"> </w:t>
            </w:r>
          </w:p>
          <w:p w:rsidR="00892851" w:rsidRPr="00640EA2" w:rsidRDefault="00FC3B62" w:rsidP="008725EC">
            <w:pPr>
              <w:shd w:val="clear" w:color="auto" w:fill="FFFFFF"/>
              <w:spacing w:before="120" w:after="120"/>
              <w:rPr>
                <w:b/>
              </w:rPr>
            </w:pPr>
            <w:r w:rsidRPr="00640EA2">
              <w:rPr>
                <w:snapToGrid w:val="0"/>
              </w:rPr>
              <w:t>28.</w:t>
            </w:r>
            <w:r w:rsidRPr="00640EA2">
              <w:rPr>
                <w:snapToGrid w:val="0"/>
              </w:rPr>
              <w:tab/>
            </w:r>
            <w:r w:rsidRPr="00640EA2">
              <w:rPr>
                <w:i/>
                <w:snapToGrid w:val="0"/>
              </w:rPr>
              <w:t xml:space="preserve">Urges </w:t>
            </w:r>
            <w:r w:rsidRPr="00640EA2">
              <w:rPr>
                <w:snapToGrid w:val="0"/>
              </w:rPr>
              <w:t xml:space="preserve">Parties and other Governments to </w:t>
            </w:r>
            <w:r w:rsidR="00E23432" w:rsidRPr="00640EA2">
              <w:rPr>
                <w:snapToGrid w:val="0"/>
              </w:rPr>
              <w:t>report</w:t>
            </w:r>
            <w:r w:rsidRPr="00640EA2">
              <w:rPr>
                <w:snapToGrid w:val="0"/>
              </w:rPr>
              <w:t xml:space="preserve"> on their contribution to the collective efforts to reach the global targets for resource mobilization, against the established baseline, in their sixth national </w:t>
            </w:r>
            <w:r w:rsidR="00E23432" w:rsidRPr="00640EA2">
              <w:rPr>
                <w:snapToGrid w:val="0"/>
              </w:rPr>
              <w:t>report</w:t>
            </w:r>
            <w:r w:rsidRPr="00640EA2">
              <w:rPr>
                <w:snapToGrid w:val="0"/>
              </w:rPr>
              <w:t xml:space="preserve">s as well as subsequent national </w:t>
            </w:r>
            <w:r w:rsidR="00E23432" w:rsidRPr="00640EA2">
              <w:rPr>
                <w:snapToGrid w:val="0"/>
              </w:rPr>
              <w:t>report</w:t>
            </w:r>
            <w:r w:rsidRPr="00640EA2">
              <w:rPr>
                <w:snapToGrid w:val="0"/>
              </w:rPr>
              <w:t>s;</w:t>
            </w:r>
          </w:p>
        </w:tc>
      </w:tr>
      <w:tr w:rsidR="0042028B" w:rsidRPr="00640EA2" w:rsidTr="00C82C53">
        <w:trPr>
          <w:trHeight w:val="271"/>
          <w:tblCellSpacing w:w="7" w:type="dxa"/>
        </w:trPr>
        <w:tc>
          <w:tcPr>
            <w:tcW w:w="1817" w:type="dxa"/>
            <w:tcBorders>
              <w:top w:val="single" w:sz="4" w:space="0" w:color="808080"/>
              <w:bottom w:val="single" w:sz="4" w:space="0" w:color="808080"/>
            </w:tcBorders>
            <w:tcMar>
              <w:top w:w="72" w:type="dxa"/>
              <w:left w:w="72" w:type="dxa"/>
              <w:bottom w:w="72" w:type="dxa"/>
              <w:right w:w="72" w:type="dxa"/>
            </w:tcMar>
          </w:tcPr>
          <w:p w:rsidR="0042028B" w:rsidRPr="00640EA2" w:rsidRDefault="0042028B" w:rsidP="00640EA2">
            <w:pPr>
              <w:spacing w:beforeLines="20" w:afterLines="20"/>
              <w:rPr>
                <w:kern w:val="22"/>
              </w:rPr>
            </w:pPr>
            <w:r w:rsidRPr="00640EA2">
              <w:rPr>
                <w:szCs w:val="22"/>
              </w:rPr>
              <w:t>XII/5</w:t>
            </w:r>
          </w:p>
        </w:tc>
        <w:tc>
          <w:tcPr>
            <w:tcW w:w="4126" w:type="dxa"/>
            <w:tcBorders>
              <w:top w:val="single" w:sz="4" w:space="0" w:color="808080"/>
              <w:bottom w:val="single" w:sz="4" w:space="0" w:color="808080"/>
            </w:tcBorders>
            <w:tcMar>
              <w:top w:w="72" w:type="dxa"/>
              <w:left w:w="72" w:type="dxa"/>
              <w:bottom w:w="72" w:type="dxa"/>
              <w:right w:w="72" w:type="dxa"/>
            </w:tcMar>
          </w:tcPr>
          <w:p w:rsidR="0042028B" w:rsidRPr="00640EA2" w:rsidRDefault="0042028B" w:rsidP="00640EA2">
            <w:pPr>
              <w:spacing w:beforeLines="20" w:afterLines="20"/>
            </w:pPr>
            <w:r w:rsidRPr="00640EA2">
              <w:t>Biodiversity for poverty eradication and sustainable development</w:t>
            </w:r>
          </w:p>
          <w:p w:rsidR="0042028B" w:rsidRPr="00640EA2" w:rsidRDefault="0042028B" w:rsidP="00640EA2">
            <w:pPr>
              <w:keepNext/>
              <w:shd w:val="clear" w:color="auto" w:fill="FFFFFF"/>
              <w:spacing w:before="120" w:after="120"/>
              <w:ind w:left="706"/>
              <w:rPr>
                <w:b/>
                <w:i/>
                <w:snapToGrid w:val="0"/>
                <w:kern w:val="22"/>
              </w:rPr>
            </w:pPr>
          </w:p>
        </w:tc>
        <w:tc>
          <w:tcPr>
            <w:tcW w:w="9022" w:type="dxa"/>
            <w:tcBorders>
              <w:top w:val="single" w:sz="4" w:space="0" w:color="808080"/>
              <w:bottom w:val="single" w:sz="4" w:space="0" w:color="808080"/>
            </w:tcBorders>
            <w:tcMar>
              <w:top w:w="72" w:type="dxa"/>
              <w:left w:w="72" w:type="dxa"/>
              <w:bottom w:w="72" w:type="dxa"/>
              <w:right w:w="72" w:type="dxa"/>
            </w:tcMar>
          </w:tcPr>
          <w:p w:rsidR="0042028B" w:rsidRPr="00640EA2" w:rsidRDefault="001E53BD" w:rsidP="008725EC">
            <w:pPr>
              <w:shd w:val="clear" w:color="auto" w:fill="FFFFFF"/>
              <w:autoSpaceDE w:val="0"/>
              <w:autoSpaceDN w:val="0"/>
              <w:adjustRightInd w:val="0"/>
              <w:spacing w:after="120"/>
              <w:rPr>
                <w:b/>
                <w:i/>
                <w:snapToGrid w:val="0"/>
                <w:kern w:val="22"/>
              </w:rPr>
            </w:pPr>
            <w:r w:rsidRPr="00640EA2">
              <w:rPr>
                <w:szCs w:val="22"/>
              </w:rPr>
              <w:t>3.</w:t>
            </w:r>
            <w:r w:rsidRPr="00640EA2">
              <w:rPr>
                <w:szCs w:val="22"/>
              </w:rPr>
              <w:tab/>
            </w:r>
            <w:r w:rsidRPr="00640EA2">
              <w:rPr>
                <w:i/>
                <w:szCs w:val="22"/>
              </w:rPr>
              <w:t xml:space="preserve">Encourages </w:t>
            </w:r>
            <w:r w:rsidRPr="00640EA2">
              <w:rPr>
                <w:szCs w:val="22"/>
              </w:rPr>
              <w:t xml:space="preserve">Parties to integrate biodiversity and nature’s benefits to people, including ecosystem services and functions, into poverty eradication and development strategies, initiatives and processes at all levels, and vice versa, to integrate poverty eradication and development concerns and priorities into national biodiversity strategies and action plans and other appropriate plans, policies and </w:t>
            </w:r>
            <w:proofErr w:type="spellStart"/>
            <w:r w:rsidRPr="00640EA2">
              <w:rPr>
                <w:szCs w:val="22"/>
              </w:rPr>
              <w:t>programmes</w:t>
            </w:r>
            <w:proofErr w:type="spellEnd"/>
            <w:r w:rsidRPr="00640EA2">
              <w:rPr>
                <w:szCs w:val="22"/>
              </w:rPr>
              <w:t xml:space="preserve"> for the implementation of the Strategic Plan for Biodiversity 2011-2020 and the achievement of the Aichi Biodiversity Targets, and to monitor, evaluate and </w:t>
            </w:r>
            <w:r w:rsidR="00E23432" w:rsidRPr="00640EA2">
              <w:rPr>
                <w:szCs w:val="22"/>
              </w:rPr>
              <w:t>report</w:t>
            </w:r>
            <w:r w:rsidRPr="00640EA2">
              <w:rPr>
                <w:szCs w:val="22"/>
              </w:rPr>
              <w:t xml:space="preserve"> on these integration efforts, through appropriate indicators and tools, and include this information, inter alia, in their national </w:t>
            </w:r>
            <w:r w:rsidR="00E23432" w:rsidRPr="00640EA2">
              <w:rPr>
                <w:szCs w:val="22"/>
              </w:rPr>
              <w:t>report</w:t>
            </w:r>
            <w:r w:rsidRPr="00640EA2">
              <w:rPr>
                <w:szCs w:val="22"/>
              </w:rPr>
              <w:t>;</w:t>
            </w:r>
          </w:p>
        </w:tc>
      </w:tr>
      <w:tr w:rsidR="001E53BD" w:rsidRPr="00640EA2" w:rsidTr="008725EC">
        <w:trPr>
          <w:trHeight w:val="2881"/>
          <w:tblCellSpacing w:w="7" w:type="dxa"/>
        </w:trPr>
        <w:tc>
          <w:tcPr>
            <w:tcW w:w="1817" w:type="dxa"/>
            <w:tcBorders>
              <w:top w:val="single" w:sz="4" w:space="0" w:color="808080"/>
              <w:bottom w:val="single" w:sz="4" w:space="0" w:color="808080"/>
            </w:tcBorders>
            <w:tcMar>
              <w:top w:w="72" w:type="dxa"/>
              <w:left w:w="72" w:type="dxa"/>
              <w:bottom w:w="72" w:type="dxa"/>
              <w:right w:w="72" w:type="dxa"/>
            </w:tcMar>
          </w:tcPr>
          <w:p w:rsidR="001E53BD" w:rsidRPr="00640EA2" w:rsidRDefault="001E53BD" w:rsidP="00640EA2">
            <w:pPr>
              <w:spacing w:beforeLines="20" w:afterLines="20"/>
              <w:rPr>
                <w:kern w:val="22"/>
              </w:rPr>
            </w:pPr>
            <w:bookmarkStart w:id="3" w:name="_Toc404947544"/>
            <w:r w:rsidRPr="00640EA2">
              <w:rPr>
                <w:szCs w:val="22"/>
              </w:rPr>
              <w:lastRenderedPageBreak/>
              <w:t>XII/12</w:t>
            </w:r>
            <w:bookmarkEnd w:id="3"/>
          </w:p>
        </w:tc>
        <w:tc>
          <w:tcPr>
            <w:tcW w:w="4126" w:type="dxa"/>
            <w:tcBorders>
              <w:top w:val="single" w:sz="4" w:space="0" w:color="808080"/>
              <w:bottom w:val="single" w:sz="4" w:space="0" w:color="808080"/>
            </w:tcBorders>
            <w:tcMar>
              <w:top w:w="72" w:type="dxa"/>
              <w:left w:w="72" w:type="dxa"/>
              <w:bottom w:w="72" w:type="dxa"/>
              <w:right w:w="72" w:type="dxa"/>
            </w:tcMar>
          </w:tcPr>
          <w:p w:rsidR="001E53BD" w:rsidRPr="00640EA2" w:rsidRDefault="001E53BD" w:rsidP="00640EA2">
            <w:pPr>
              <w:spacing w:beforeLines="20" w:afterLines="20"/>
            </w:pPr>
            <w:r w:rsidRPr="00640EA2">
              <w:t>Article 8(j) and related provisions</w:t>
            </w:r>
          </w:p>
          <w:p w:rsidR="001E53BD" w:rsidRPr="00640EA2" w:rsidRDefault="001E53BD" w:rsidP="00640EA2">
            <w:pPr>
              <w:spacing w:beforeLines="20" w:afterLines="20"/>
              <w:rPr>
                <w:kern w:val="22"/>
              </w:rPr>
            </w:pPr>
          </w:p>
        </w:tc>
        <w:tc>
          <w:tcPr>
            <w:tcW w:w="9022" w:type="dxa"/>
            <w:tcBorders>
              <w:top w:val="single" w:sz="4" w:space="0" w:color="808080"/>
              <w:bottom w:val="single" w:sz="4" w:space="0" w:color="808080"/>
            </w:tcBorders>
            <w:tcMar>
              <w:top w:w="72" w:type="dxa"/>
              <w:left w:w="72" w:type="dxa"/>
              <w:bottom w:w="72" w:type="dxa"/>
              <w:right w:w="72" w:type="dxa"/>
            </w:tcMar>
          </w:tcPr>
          <w:p w:rsidR="00BF2134" w:rsidRPr="008725EC" w:rsidRDefault="00BF2134" w:rsidP="008725EC">
            <w:pPr>
              <w:pStyle w:val="ListParagraph"/>
              <w:numPr>
                <w:ilvl w:val="0"/>
                <w:numId w:val="18"/>
              </w:numPr>
              <w:tabs>
                <w:tab w:val="left" w:pos="346"/>
              </w:tabs>
              <w:spacing w:before="60" w:after="240"/>
              <w:ind w:left="0" w:firstLine="0"/>
              <w:jc w:val="both"/>
              <w:rPr>
                <w:b/>
                <w:i/>
                <w:kern w:val="22"/>
                <w:szCs w:val="22"/>
              </w:rPr>
            </w:pPr>
            <w:r w:rsidRPr="008725EC">
              <w:rPr>
                <w:b/>
                <w:i/>
                <w:kern w:val="22"/>
                <w:szCs w:val="22"/>
              </w:rPr>
              <w:t xml:space="preserve">Progress report on the implementation of the </w:t>
            </w:r>
            <w:proofErr w:type="spellStart"/>
            <w:r w:rsidRPr="008725EC">
              <w:rPr>
                <w:b/>
                <w:i/>
                <w:kern w:val="22"/>
                <w:szCs w:val="22"/>
              </w:rPr>
              <w:t>programme</w:t>
            </w:r>
            <w:proofErr w:type="spellEnd"/>
            <w:r w:rsidRPr="008725EC">
              <w:rPr>
                <w:b/>
                <w:i/>
                <w:kern w:val="22"/>
                <w:szCs w:val="22"/>
              </w:rPr>
              <w:t xml:space="preserve"> of work on Article 8(j) and related provisions and mechanisms to promote the effective participation of indigenous and local communities in the work of the Convention</w:t>
            </w:r>
            <w:r w:rsidR="008725EC">
              <w:rPr>
                <w:b/>
                <w:i/>
                <w:kern w:val="22"/>
                <w:szCs w:val="22"/>
              </w:rPr>
              <w:t xml:space="preserve"> </w:t>
            </w:r>
          </w:p>
          <w:p w:rsidR="001E53BD" w:rsidRDefault="001E53BD" w:rsidP="008725EC">
            <w:pPr>
              <w:spacing w:before="120" w:after="120"/>
              <w:rPr>
                <w:szCs w:val="22"/>
              </w:rPr>
            </w:pPr>
            <w:r w:rsidRPr="00640EA2">
              <w:rPr>
                <w:szCs w:val="22"/>
              </w:rPr>
              <w:t>9.</w:t>
            </w:r>
            <w:r w:rsidRPr="00640EA2">
              <w:rPr>
                <w:i/>
                <w:szCs w:val="22"/>
              </w:rPr>
              <w:tab/>
              <w:t xml:space="preserve">Encourages </w:t>
            </w:r>
            <w:r w:rsidRPr="00640EA2">
              <w:rPr>
                <w:szCs w:val="22"/>
              </w:rPr>
              <w:t xml:space="preserve">Parties and indigenous and local communities to consider how indigenous and local communities might effectively participate in the development, collection and analysis of data, including through Community-Based Monitoring, and further explore how indigenous and local communities’ Community-Based Monitoring and Information Systems can contribute to monitoring of Aichi Target indicators, and how a Multiple Evidence Base approach be applied for validation of such data generated from diverse knowledge systems on equal terms. These efforts might contribute to future </w:t>
            </w:r>
            <w:r w:rsidRPr="002F3FC6">
              <w:rPr>
                <w:szCs w:val="22"/>
              </w:rPr>
              <w:t xml:space="preserve">national </w:t>
            </w:r>
            <w:r w:rsidR="00E23432" w:rsidRPr="002F3FC6">
              <w:rPr>
                <w:szCs w:val="22"/>
              </w:rPr>
              <w:t>report</w:t>
            </w:r>
            <w:r w:rsidRPr="002F3FC6">
              <w:rPr>
                <w:szCs w:val="22"/>
              </w:rPr>
              <w:t>s and the review of the implementation of the Strategic Plan for Biodiversity 2011</w:t>
            </w:r>
            <w:r w:rsidRPr="002F3FC6">
              <w:rPr>
                <w:szCs w:val="22"/>
              </w:rPr>
              <w:noBreakHyphen/>
              <w:t>2020 and the achievement of the Aichi Biodiversity Targets, in particular Target 18;</w:t>
            </w:r>
          </w:p>
          <w:p w:rsidR="00C82C53" w:rsidRPr="00705B04" w:rsidRDefault="00C6484C" w:rsidP="008725EC">
            <w:pPr>
              <w:pStyle w:val="Para1"/>
              <w:numPr>
                <w:ilvl w:val="0"/>
                <w:numId w:val="0"/>
              </w:numPr>
              <w:spacing w:before="200" w:after="240"/>
              <w:rPr>
                <w:i/>
                <w:kern w:val="22"/>
                <w:szCs w:val="22"/>
              </w:rPr>
            </w:pPr>
            <w:r w:rsidRPr="002D0D87">
              <w:rPr>
                <w:i/>
                <w:kern w:val="22"/>
                <w:szCs w:val="22"/>
              </w:rPr>
              <w:t>In-depth dialogue on thematic area</w:t>
            </w:r>
            <w:r w:rsidRPr="00705B04">
              <w:rPr>
                <w:i/>
                <w:kern w:val="22"/>
                <w:szCs w:val="22"/>
              </w:rPr>
              <w:t>s and other cross-cutting issues</w:t>
            </w:r>
          </w:p>
          <w:p w:rsidR="001E53BD" w:rsidRPr="00966F8E" w:rsidRDefault="001E53BD" w:rsidP="008725EC">
            <w:pPr>
              <w:autoSpaceDE w:val="0"/>
              <w:autoSpaceDN w:val="0"/>
              <w:adjustRightInd w:val="0"/>
              <w:spacing w:before="120" w:after="240"/>
              <w:rPr>
                <w:rFonts w:eastAsia="MS Mincho"/>
                <w:iCs/>
                <w:lang w:eastAsia="ja-JP"/>
              </w:rPr>
            </w:pPr>
            <w:r w:rsidRPr="00640EA2">
              <w:rPr>
                <w:rFonts w:eastAsia="MS Mincho"/>
                <w:iCs/>
                <w:szCs w:val="22"/>
                <w:lang w:eastAsia="ja-JP"/>
              </w:rPr>
              <w:t>14.</w:t>
            </w:r>
            <w:r w:rsidRPr="00640EA2">
              <w:rPr>
                <w:rFonts w:eastAsia="MS Mincho"/>
                <w:i/>
                <w:iCs/>
                <w:szCs w:val="22"/>
                <w:lang w:eastAsia="ja-JP"/>
              </w:rPr>
              <w:tab/>
              <w:t xml:space="preserve">Encourages </w:t>
            </w:r>
            <w:r w:rsidRPr="00640EA2">
              <w:rPr>
                <w:rFonts w:eastAsia="MS Mincho"/>
                <w:iCs/>
                <w:szCs w:val="22"/>
                <w:lang w:eastAsia="ja-JP"/>
              </w:rPr>
              <w:t>Parties, other Governments, relevant international organizations, indigenous and local communities and interested stakeholders, and</w:t>
            </w:r>
            <w:r w:rsidRPr="00640EA2">
              <w:rPr>
                <w:rFonts w:eastAsia="MS Mincho"/>
                <w:i/>
                <w:iCs/>
                <w:szCs w:val="22"/>
                <w:lang w:eastAsia="ja-JP"/>
              </w:rPr>
              <w:t xml:space="preserve"> requests </w:t>
            </w:r>
            <w:r w:rsidRPr="00640EA2">
              <w:rPr>
                <w:rFonts w:eastAsia="MS Mincho"/>
                <w:iCs/>
                <w:szCs w:val="22"/>
                <w:lang w:eastAsia="ja-JP"/>
              </w:rPr>
              <w:t>the Executive Secretary to consider the advice and recommendations of the in-depth dialogue on: “</w:t>
            </w:r>
            <w:r w:rsidRPr="00640EA2">
              <w:rPr>
                <w:rFonts w:eastAsia="MS Mincho"/>
                <w:i/>
                <w:iCs/>
                <w:szCs w:val="22"/>
                <w:lang w:eastAsia="ja-JP"/>
              </w:rPr>
              <w:t>Connecting traditional knowledge systems and science, such as under IPBES, including gender dimensions”</w:t>
            </w:r>
            <w:r w:rsidRPr="00640EA2">
              <w:rPr>
                <w:rFonts w:eastAsia="MS Mincho"/>
                <w:iCs/>
                <w:szCs w:val="22"/>
                <w:lang w:eastAsia="ja-JP"/>
              </w:rPr>
              <w:t xml:space="preserve"> when implementing the relevant areas of work of the </w:t>
            </w:r>
            <w:r w:rsidRPr="00966F8E">
              <w:rPr>
                <w:rFonts w:eastAsia="MS Mincho"/>
                <w:iCs/>
                <w:szCs w:val="22"/>
                <w:lang w:eastAsia="ja-JP"/>
              </w:rPr>
              <w:t xml:space="preserve">Convention; and </w:t>
            </w:r>
            <w:r w:rsidRPr="00966F8E">
              <w:rPr>
                <w:rFonts w:eastAsia="MS Mincho"/>
                <w:i/>
                <w:iCs/>
                <w:szCs w:val="22"/>
                <w:lang w:eastAsia="ja-JP"/>
              </w:rPr>
              <w:t xml:space="preserve">further encourages </w:t>
            </w:r>
            <w:r w:rsidRPr="00966F8E">
              <w:rPr>
                <w:rFonts w:eastAsia="MS Mincho"/>
                <w:iCs/>
                <w:szCs w:val="22"/>
                <w:lang w:eastAsia="ja-JP"/>
              </w:rPr>
              <w:t xml:space="preserve">Parties to consider </w:t>
            </w:r>
            <w:r w:rsidR="00E23432" w:rsidRPr="00966F8E">
              <w:rPr>
                <w:rFonts w:eastAsia="MS Mincho"/>
                <w:iCs/>
                <w:szCs w:val="22"/>
                <w:lang w:eastAsia="ja-JP"/>
              </w:rPr>
              <w:t>report</w:t>
            </w:r>
            <w:r w:rsidRPr="00966F8E">
              <w:rPr>
                <w:rFonts w:eastAsia="MS Mincho"/>
                <w:iCs/>
                <w:szCs w:val="22"/>
                <w:lang w:eastAsia="ja-JP"/>
              </w:rPr>
              <w:t xml:space="preserve">ing on progress in future national </w:t>
            </w:r>
            <w:r w:rsidR="00E23432" w:rsidRPr="00966F8E">
              <w:rPr>
                <w:rFonts w:eastAsia="MS Mincho"/>
                <w:iCs/>
                <w:szCs w:val="22"/>
                <w:lang w:eastAsia="ja-JP"/>
              </w:rPr>
              <w:t>report</w:t>
            </w:r>
            <w:r w:rsidRPr="00966F8E">
              <w:rPr>
                <w:rFonts w:eastAsia="MS Mincho"/>
                <w:iCs/>
                <w:szCs w:val="22"/>
                <w:lang w:eastAsia="ja-JP"/>
              </w:rPr>
              <w:t>s;</w:t>
            </w:r>
            <w:r w:rsidR="00C82C53">
              <w:rPr>
                <w:rFonts w:eastAsia="MS Mincho"/>
                <w:iCs/>
                <w:szCs w:val="22"/>
                <w:lang w:eastAsia="ja-JP"/>
              </w:rPr>
              <w:t xml:space="preserve"> </w:t>
            </w:r>
          </w:p>
          <w:p w:rsidR="001E53BD" w:rsidRPr="008725EC" w:rsidRDefault="001E53BD" w:rsidP="008725EC">
            <w:pPr>
              <w:pStyle w:val="ListParagraph"/>
              <w:keepNext/>
              <w:keepLines/>
              <w:numPr>
                <w:ilvl w:val="0"/>
                <w:numId w:val="18"/>
              </w:numPr>
              <w:tabs>
                <w:tab w:val="left" w:pos="436"/>
              </w:tabs>
              <w:spacing w:before="120" w:after="240"/>
              <w:ind w:left="1" w:firstLine="0"/>
              <w:rPr>
                <w:b/>
                <w:i/>
              </w:rPr>
            </w:pPr>
            <w:r w:rsidRPr="008725EC">
              <w:rPr>
                <w:b/>
                <w:i/>
                <w:szCs w:val="22"/>
              </w:rPr>
              <w:t xml:space="preserve">Article 10, with a focus on Article 10(c), as major component of the </w:t>
            </w:r>
            <w:proofErr w:type="spellStart"/>
            <w:r w:rsidRPr="008725EC">
              <w:rPr>
                <w:b/>
                <w:i/>
                <w:szCs w:val="22"/>
              </w:rPr>
              <w:t>programme</w:t>
            </w:r>
            <w:proofErr w:type="spellEnd"/>
            <w:r w:rsidRPr="008725EC">
              <w:rPr>
                <w:b/>
                <w:i/>
                <w:szCs w:val="22"/>
              </w:rPr>
              <w:t xml:space="preserve"> of work on Article 8(j) and related provisions of the Convention</w:t>
            </w:r>
            <w:r w:rsidR="00C82C53" w:rsidRPr="008725EC">
              <w:rPr>
                <w:b/>
                <w:i/>
                <w:szCs w:val="22"/>
              </w:rPr>
              <w:t xml:space="preserve"> </w:t>
            </w:r>
          </w:p>
          <w:p w:rsidR="001E53BD" w:rsidRPr="004703EE" w:rsidRDefault="001E53BD" w:rsidP="008725EC">
            <w:pPr>
              <w:spacing w:before="120" w:after="240"/>
            </w:pPr>
            <w:r w:rsidRPr="004703EE">
              <w:rPr>
                <w:szCs w:val="22"/>
              </w:rPr>
              <w:t>2</w:t>
            </w:r>
            <w:r w:rsidRPr="004703EE">
              <w:rPr>
                <w:i/>
                <w:szCs w:val="22"/>
              </w:rPr>
              <w:t>.</w:t>
            </w:r>
            <w:r w:rsidRPr="004703EE">
              <w:rPr>
                <w:i/>
                <w:szCs w:val="22"/>
              </w:rPr>
              <w:tab/>
              <w:t>Invites</w:t>
            </w:r>
            <w:r w:rsidRPr="004703EE">
              <w:rPr>
                <w:szCs w:val="22"/>
              </w:rPr>
              <w:t xml:space="preserve"> Parties, other Governments, relevant organizations, indigenous and local communities and stakeholders to implement the plan of action on customary sustainable use of biological diversity, taking into account diverse national circumstances including legal and policy regimes, and to </w:t>
            </w:r>
            <w:r w:rsidR="00E23432" w:rsidRPr="004703EE">
              <w:rPr>
                <w:szCs w:val="22"/>
              </w:rPr>
              <w:t>report</w:t>
            </w:r>
            <w:r w:rsidRPr="004703EE">
              <w:rPr>
                <w:szCs w:val="22"/>
              </w:rPr>
              <w:t xml:space="preserve"> on progress to the Executive Secretary as well as through the national </w:t>
            </w:r>
            <w:r w:rsidR="00E23432" w:rsidRPr="004703EE">
              <w:rPr>
                <w:szCs w:val="22"/>
              </w:rPr>
              <w:t>report</w:t>
            </w:r>
            <w:r w:rsidRPr="004703EE">
              <w:rPr>
                <w:szCs w:val="22"/>
              </w:rPr>
              <w:t>ing process;</w:t>
            </w:r>
            <w:r w:rsidR="00A7077B" w:rsidRPr="004703EE">
              <w:rPr>
                <w:szCs w:val="22"/>
              </w:rPr>
              <w:t xml:space="preserve"> </w:t>
            </w:r>
          </w:p>
          <w:p w:rsidR="00A7077B" w:rsidRPr="00640EA2" w:rsidRDefault="00A7077B" w:rsidP="008725EC">
            <w:pPr>
              <w:tabs>
                <w:tab w:val="left" w:pos="361"/>
              </w:tabs>
              <w:spacing w:before="120" w:after="120"/>
              <w:rPr>
                <w:b/>
                <w:caps/>
                <w:snapToGrid w:val="0"/>
              </w:rPr>
            </w:pPr>
            <w:r w:rsidRPr="00640EA2">
              <w:rPr>
                <w:b/>
                <w:caps/>
                <w:snapToGrid w:val="0"/>
              </w:rPr>
              <w:t>V.</w:t>
            </w:r>
            <w:r w:rsidRPr="00640EA2">
              <w:rPr>
                <w:b/>
                <w:caps/>
                <w:snapToGrid w:val="0"/>
              </w:rPr>
              <w:tab/>
              <w:t>elements of the first phase of THE Draft Plan of Action on Customary Sustainable Use of Biological Diversity</w:t>
            </w:r>
          </w:p>
          <w:p w:rsidR="00D81A90" w:rsidRDefault="00D81A90" w:rsidP="008725EC">
            <w:pPr>
              <w:shd w:val="clear" w:color="auto" w:fill="FFFFFF"/>
              <w:autoSpaceDE w:val="0"/>
              <w:autoSpaceDN w:val="0"/>
              <w:adjustRightInd w:val="0"/>
              <w:spacing w:before="120" w:after="240"/>
              <w:rPr>
                <w:szCs w:val="22"/>
              </w:rPr>
            </w:pPr>
            <w:r>
              <w:rPr>
                <w:szCs w:val="22"/>
              </w:rPr>
              <w:t>(Several elements of the Draft Plan relate to national reporting)</w:t>
            </w:r>
          </w:p>
          <w:p w:rsidR="00D81A90" w:rsidRDefault="00D81A90" w:rsidP="008725EC">
            <w:pPr>
              <w:spacing w:before="120" w:after="120"/>
              <w:rPr>
                <w:b/>
                <w:caps/>
                <w:snapToGrid w:val="0"/>
              </w:rPr>
            </w:pPr>
            <w:r w:rsidRPr="00D81A90">
              <w:rPr>
                <w:b/>
                <w:caps/>
                <w:snapToGrid w:val="0"/>
              </w:rPr>
              <w:t>VI.  GUIDANCE FOR POSSIBLE ACTIONS</w:t>
            </w:r>
          </w:p>
          <w:p w:rsidR="004669C7" w:rsidRDefault="004669C7" w:rsidP="008725EC">
            <w:pPr>
              <w:shd w:val="clear" w:color="auto" w:fill="FFFFFF"/>
              <w:autoSpaceDE w:val="0"/>
              <w:autoSpaceDN w:val="0"/>
              <w:adjustRightInd w:val="0"/>
              <w:spacing w:before="120" w:after="240"/>
              <w:rPr>
                <w:szCs w:val="22"/>
              </w:rPr>
            </w:pPr>
            <w:r>
              <w:rPr>
                <w:szCs w:val="22"/>
              </w:rPr>
              <w:t>(</w:t>
            </w:r>
            <w:r w:rsidR="00D45BFD">
              <w:rPr>
                <w:szCs w:val="22"/>
              </w:rPr>
              <w:t xml:space="preserve">Tasks 1 and 2 </w:t>
            </w:r>
            <w:r>
              <w:rPr>
                <w:szCs w:val="22"/>
              </w:rPr>
              <w:t>relate to national reporting)</w:t>
            </w:r>
            <w:r w:rsidR="00C82C53">
              <w:rPr>
                <w:szCs w:val="22"/>
              </w:rPr>
              <w:t xml:space="preserve"> </w:t>
            </w:r>
          </w:p>
          <w:p w:rsidR="00C82C53" w:rsidRPr="008725EC" w:rsidRDefault="00C82C53" w:rsidP="008725EC">
            <w:pPr>
              <w:keepNext/>
              <w:keepLines/>
              <w:spacing w:before="120" w:after="240"/>
              <w:rPr>
                <w:b/>
                <w:i/>
                <w:szCs w:val="22"/>
              </w:rPr>
            </w:pPr>
            <w:r w:rsidRPr="008725EC">
              <w:rPr>
                <w:b/>
                <w:i/>
                <w:szCs w:val="22"/>
              </w:rPr>
              <w:lastRenderedPageBreak/>
              <w:t>E.  Sui generis systems for the protection, preservation and promotion of traditional knowledge, innovations and practices</w:t>
            </w:r>
          </w:p>
          <w:p w:rsidR="00CA797A" w:rsidRPr="00C82C53" w:rsidRDefault="00C82C53" w:rsidP="008725EC">
            <w:pPr>
              <w:tabs>
                <w:tab w:val="left" w:pos="721"/>
              </w:tabs>
              <w:spacing w:before="120" w:after="120"/>
              <w:ind w:left="1"/>
              <w:rPr>
                <w:kern w:val="22"/>
              </w:rPr>
            </w:pPr>
            <w:r>
              <w:rPr>
                <w:i/>
                <w:szCs w:val="22"/>
              </w:rPr>
              <w:t xml:space="preserve">6. </w:t>
            </w:r>
            <w:r w:rsidR="008725EC">
              <w:rPr>
                <w:i/>
                <w:szCs w:val="22"/>
              </w:rPr>
              <w:t xml:space="preserve">      </w:t>
            </w:r>
            <w:r w:rsidR="00C65377" w:rsidRPr="00C82C53">
              <w:rPr>
                <w:i/>
                <w:szCs w:val="22"/>
              </w:rPr>
              <w:t>Urges</w:t>
            </w:r>
            <w:r w:rsidR="00C65377" w:rsidRPr="00C82C53">
              <w:rPr>
                <w:szCs w:val="22"/>
              </w:rPr>
              <w:t xml:space="preserve"> Parties and other Governments to recognize, support and encourage the development of local </w:t>
            </w:r>
            <w:r w:rsidR="00C65377" w:rsidRPr="00C82C53">
              <w:rPr>
                <w:i/>
                <w:szCs w:val="22"/>
              </w:rPr>
              <w:t>sui generis</w:t>
            </w:r>
            <w:r w:rsidR="00C65377" w:rsidRPr="00C82C53">
              <w:rPr>
                <w:szCs w:val="22"/>
              </w:rPr>
              <w:t xml:space="preserve"> systems by indigenous and local communities, including through the development of community protocols, as part of national action plans for the protection, preservation and promotion of traditional knowledge, innovations and practices within national biodiversity strategies and action plans, and </w:t>
            </w:r>
            <w:r w:rsidR="00C65377" w:rsidRPr="00C82C53">
              <w:rPr>
                <w:i/>
                <w:szCs w:val="22"/>
              </w:rPr>
              <w:t>invites</w:t>
            </w:r>
            <w:r w:rsidR="00C65377" w:rsidRPr="00C82C53">
              <w:rPr>
                <w:szCs w:val="22"/>
              </w:rPr>
              <w:t xml:space="preserve"> Parties and other Governments to </w:t>
            </w:r>
            <w:r w:rsidR="00E23432" w:rsidRPr="00C82C53">
              <w:rPr>
                <w:szCs w:val="22"/>
              </w:rPr>
              <w:t>report</w:t>
            </w:r>
            <w:r w:rsidR="00C65377" w:rsidRPr="00C82C53">
              <w:rPr>
                <w:szCs w:val="22"/>
              </w:rPr>
              <w:t xml:space="preserve"> on these initiatives through the national </w:t>
            </w:r>
            <w:r w:rsidR="00E23432" w:rsidRPr="00C82C53">
              <w:rPr>
                <w:szCs w:val="22"/>
              </w:rPr>
              <w:t>report</w:t>
            </w:r>
            <w:r w:rsidR="00C65377" w:rsidRPr="00C82C53">
              <w:rPr>
                <w:szCs w:val="22"/>
              </w:rPr>
              <w:t>ing process, the Working Group on Article 8(j) and Related Provisions, and through the Traditional Knowledge Information Portal of the Convention;</w:t>
            </w:r>
          </w:p>
        </w:tc>
      </w:tr>
      <w:tr w:rsidR="007B229A" w:rsidRPr="00640EA2" w:rsidTr="008725EC">
        <w:trPr>
          <w:trHeight w:val="1378"/>
          <w:tblCellSpacing w:w="7" w:type="dxa"/>
        </w:trPr>
        <w:tc>
          <w:tcPr>
            <w:tcW w:w="1817" w:type="dxa"/>
            <w:tcBorders>
              <w:top w:val="single" w:sz="4" w:space="0" w:color="808080"/>
              <w:bottom w:val="single" w:sz="4" w:space="0" w:color="808080"/>
            </w:tcBorders>
            <w:tcMar>
              <w:top w:w="43" w:type="dxa"/>
              <w:left w:w="72" w:type="dxa"/>
              <w:bottom w:w="72" w:type="dxa"/>
              <w:right w:w="72" w:type="dxa"/>
            </w:tcMar>
          </w:tcPr>
          <w:p w:rsidR="005542ED" w:rsidRPr="00640EA2" w:rsidRDefault="005542ED" w:rsidP="008725EC">
            <w:pPr>
              <w:suppressAutoHyphens/>
              <w:spacing w:before="60" w:after="120"/>
            </w:pPr>
            <w:bookmarkStart w:id="4" w:name="_Toc404947545"/>
            <w:bookmarkStart w:id="5" w:name="DEC13"/>
            <w:r w:rsidRPr="00640EA2">
              <w:lastRenderedPageBreak/>
              <w:t>XII/13</w:t>
            </w:r>
            <w:bookmarkEnd w:id="4"/>
          </w:p>
          <w:bookmarkEnd w:id="5"/>
          <w:p w:rsidR="007B229A" w:rsidRPr="00640EA2" w:rsidRDefault="007B229A" w:rsidP="008725EC">
            <w:pPr>
              <w:suppressAutoHyphens/>
              <w:spacing w:before="60" w:after="120"/>
              <w:rPr>
                <w:kern w:val="22"/>
              </w:rPr>
            </w:pPr>
          </w:p>
        </w:tc>
        <w:tc>
          <w:tcPr>
            <w:tcW w:w="4126" w:type="dxa"/>
            <w:tcBorders>
              <w:top w:val="single" w:sz="4" w:space="0" w:color="808080"/>
              <w:bottom w:val="single" w:sz="4" w:space="0" w:color="808080"/>
            </w:tcBorders>
            <w:tcMar>
              <w:top w:w="43" w:type="dxa"/>
              <w:left w:w="72" w:type="dxa"/>
              <w:bottom w:w="72" w:type="dxa"/>
              <w:right w:w="72" w:type="dxa"/>
            </w:tcMar>
          </w:tcPr>
          <w:p w:rsidR="007B229A" w:rsidRPr="00640EA2" w:rsidRDefault="005542ED" w:rsidP="008725EC">
            <w:pPr>
              <w:suppressAutoHyphens/>
              <w:spacing w:before="60" w:after="120"/>
              <w:rPr>
                <w:kern w:val="22"/>
              </w:rPr>
            </w:pPr>
            <w:r w:rsidRPr="00640EA2">
              <w:t>Access and benefit-sharing</w:t>
            </w:r>
          </w:p>
        </w:tc>
        <w:tc>
          <w:tcPr>
            <w:tcW w:w="9022" w:type="dxa"/>
            <w:tcBorders>
              <w:top w:val="single" w:sz="4" w:space="0" w:color="808080"/>
              <w:bottom w:val="single" w:sz="4" w:space="0" w:color="808080"/>
            </w:tcBorders>
            <w:tcMar>
              <w:top w:w="43" w:type="dxa"/>
              <w:left w:w="72" w:type="dxa"/>
              <w:bottom w:w="72" w:type="dxa"/>
              <w:right w:w="72" w:type="dxa"/>
            </w:tcMar>
          </w:tcPr>
          <w:p w:rsidR="007B229A" w:rsidRPr="00640EA2" w:rsidRDefault="005542ED" w:rsidP="008725EC">
            <w:pPr>
              <w:suppressAutoHyphens/>
              <w:spacing w:before="60" w:after="120"/>
              <w:rPr>
                <w:kern w:val="22"/>
              </w:rPr>
            </w:pPr>
            <w:r w:rsidRPr="00640EA2">
              <w:t>3.</w:t>
            </w:r>
            <w:r w:rsidRPr="00640EA2">
              <w:tab/>
            </w:r>
            <w:r w:rsidRPr="00D45BFD">
              <w:rPr>
                <w:i/>
              </w:rPr>
              <w:t>Recalls</w:t>
            </w:r>
            <w:r w:rsidRPr="00640EA2">
              <w:t xml:space="preserve"> Article 26 of the Convention, which requires Parties to report on measures taken for the implementation of the provisions of the Convention, and </w:t>
            </w:r>
            <w:r w:rsidRPr="00D45BFD">
              <w:rPr>
                <w:i/>
              </w:rPr>
              <w:t>also recalls</w:t>
            </w:r>
            <w:r w:rsidRPr="00640EA2">
              <w:t xml:space="preserve"> that these reports should include information on measures taken in relation to the access and benefit-sharing and related provisions of the Convention, in particular in relation to Article 15 of the Convention;</w:t>
            </w:r>
          </w:p>
        </w:tc>
      </w:tr>
      <w:tr w:rsidR="007B229A" w:rsidRPr="00640EA2" w:rsidTr="008725EC">
        <w:trPr>
          <w:trHeight w:val="1828"/>
          <w:tblCellSpacing w:w="7" w:type="dxa"/>
        </w:trPr>
        <w:tc>
          <w:tcPr>
            <w:tcW w:w="1817" w:type="dxa"/>
            <w:tcBorders>
              <w:top w:val="single" w:sz="4" w:space="0" w:color="808080"/>
              <w:bottom w:val="single" w:sz="4" w:space="0" w:color="808080"/>
            </w:tcBorders>
            <w:tcMar>
              <w:top w:w="43" w:type="dxa"/>
              <w:left w:w="72" w:type="dxa"/>
              <w:bottom w:w="72" w:type="dxa"/>
              <w:right w:w="72" w:type="dxa"/>
            </w:tcMar>
          </w:tcPr>
          <w:p w:rsidR="007B229A" w:rsidRPr="00640EA2" w:rsidRDefault="00804228" w:rsidP="008725EC">
            <w:pPr>
              <w:suppressAutoHyphens/>
              <w:spacing w:beforeLines="60" w:after="120"/>
              <w:rPr>
                <w:kern w:val="22"/>
              </w:rPr>
            </w:pPr>
            <w:r w:rsidRPr="00640EA2">
              <w:t>XII/15</w:t>
            </w:r>
          </w:p>
        </w:tc>
        <w:tc>
          <w:tcPr>
            <w:tcW w:w="4126" w:type="dxa"/>
            <w:tcBorders>
              <w:top w:val="single" w:sz="4" w:space="0" w:color="808080"/>
              <w:bottom w:val="single" w:sz="4" w:space="0" w:color="808080"/>
            </w:tcBorders>
            <w:tcMar>
              <w:top w:w="43" w:type="dxa"/>
              <w:left w:w="72" w:type="dxa"/>
              <w:bottom w:w="72" w:type="dxa"/>
              <w:right w:w="72" w:type="dxa"/>
            </w:tcMar>
          </w:tcPr>
          <w:p w:rsidR="007B229A" w:rsidRPr="00640EA2" w:rsidRDefault="00BE79B5" w:rsidP="008725EC">
            <w:pPr>
              <w:spacing w:beforeLines="60" w:afterLines="20"/>
              <w:rPr>
                <w:kern w:val="22"/>
              </w:rPr>
            </w:pPr>
            <w:r w:rsidRPr="00640EA2">
              <w:t>Global Strategy for Plant Conservation 2011-2020</w:t>
            </w:r>
          </w:p>
        </w:tc>
        <w:tc>
          <w:tcPr>
            <w:tcW w:w="9022" w:type="dxa"/>
            <w:tcBorders>
              <w:top w:val="single" w:sz="4" w:space="0" w:color="808080"/>
              <w:bottom w:val="single" w:sz="4" w:space="0" w:color="808080"/>
            </w:tcBorders>
            <w:tcMar>
              <w:top w:w="43" w:type="dxa"/>
              <w:left w:w="72" w:type="dxa"/>
              <w:bottom w:w="72" w:type="dxa"/>
              <w:right w:w="72" w:type="dxa"/>
            </w:tcMar>
          </w:tcPr>
          <w:p w:rsidR="007B229A" w:rsidRPr="00640EA2" w:rsidRDefault="00804228" w:rsidP="008725EC">
            <w:pPr>
              <w:pStyle w:val="ListParagraph"/>
              <w:numPr>
                <w:ilvl w:val="0"/>
                <w:numId w:val="16"/>
              </w:numPr>
              <w:suppressLineNumbers/>
              <w:suppressAutoHyphens/>
              <w:autoSpaceDE w:val="0"/>
              <w:autoSpaceDN w:val="0"/>
              <w:spacing w:beforeLines="60" w:after="120"/>
              <w:ind w:left="1" w:firstLine="0"/>
              <w:rPr>
                <w:i/>
                <w:kern w:val="22"/>
              </w:rPr>
            </w:pPr>
            <w:r w:rsidRPr="00640EA2">
              <w:rPr>
                <w:i/>
              </w:rPr>
              <w:t xml:space="preserve">Encourages </w:t>
            </w:r>
            <w:r w:rsidRPr="00640EA2">
              <w:t>Parties, other Governments and relevant organizations to continue sharing relevant examples and case studies, including those made available by Parties through their fifth national reports, through the Global Strategy for Plant Conservation toolkit (</w:t>
            </w:r>
            <w:hyperlink r:id="rId8" w:history="1">
              <w:r w:rsidRPr="00640EA2">
                <w:t>www.plants2020.net</w:t>
              </w:r>
            </w:hyperlink>
            <w:r w:rsidRPr="00640EA2">
              <w:t>) and the clearing</w:t>
            </w:r>
            <w:r w:rsidRPr="00640EA2">
              <w:rPr>
                <w:lang w:eastAsia="ko-KR"/>
              </w:rPr>
              <w:t>-</w:t>
            </w:r>
            <w:r w:rsidRPr="00640EA2">
              <w:t>house mechanism of the Convention and to draw on the available tools and guidance when planning and implementing plant conservation, as appropriate.</w:t>
            </w:r>
          </w:p>
        </w:tc>
      </w:tr>
      <w:tr w:rsidR="00EE591B" w:rsidRPr="00640EA2" w:rsidTr="008725EC">
        <w:trPr>
          <w:trHeight w:val="3268"/>
          <w:tblCellSpacing w:w="7" w:type="dxa"/>
        </w:trPr>
        <w:tc>
          <w:tcPr>
            <w:tcW w:w="1817" w:type="dxa"/>
            <w:tcBorders>
              <w:top w:val="single" w:sz="4" w:space="0" w:color="808080"/>
              <w:bottom w:val="single" w:sz="4" w:space="0" w:color="808080"/>
            </w:tcBorders>
            <w:tcMar>
              <w:top w:w="43" w:type="dxa"/>
              <w:left w:w="72" w:type="dxa"/>
              <w:bottom w:w="72" w:type="dxa"/>
              <w:right w:w="72" w:type="dxa"/>
            </w:tcMar>
          </w:tcPr>
          <w:p w:rsidR="00EE591B" w:rsidRPr="00640EA2" w:rsidRDefault="00EE591B" w:rsidP="00EE591B">
            <w:pPr>
              <w:suppressAutoHyphens/>
              <w:spacing w:before="120" w:after="120"/>
            </w:pPr>
            <w:bookmarkStart w:id="6" w:name="_Toc404947561"/>
            <w:bookmarkStart w:id="7" w:name="DEC29"/>
            <w:r w:rsidRPr="00EE591B">
              <w:t>XII/29</w:t>
            </w:r>
            <w:bookmarkEnd w:id="6"/>
            <w:bookmarkEnd w:id="7"/>
          </w:p>
        </w:tc>
        <w:tc>
          <w:tcPr>
            <w:tcW w:w="4126" w:type="dxa"/>
            <w:tcBorders>
              <w:top w:val="single" w:sz="4" w:space="0" w:color="808080"/>
              <w:bottom w:val="single" w:sz="4" w:space="0" w:color="808080"/>
            </w:tcBorders>
            <w:tcMar>
              <w:top w:w="43" w:type="dxa"/>
              <w:left w:w="72" w:type="dxa"/>
              <w:bottom w:w="72" w:type="dxa"/>
              <w:right w:w="72" w:type="dxa"/>
            </w:tcMar>
          </w:tcPr>
          <w:p w:rsidR="00EE591B" w:rsidRPr="00EE591B" w:rsidRDefault="00EE591B" w:rsidP="00EE591B">
            <w:pPr>
              <w:spacing w:beforeLines="20" w:afterLines="20"/>
            </w:pPr>
            <w:r w:rsidRPr="00EE591B">
              <w:t>Improving the efficiency of structures and processes under the Convention: other matters</w:t>
            </w:r>
          </w:p>
          <w:p w:rsidR="00EE591B" w:rsidRPr="00640EA2" w:rsidRDefault="00EE591B" w:rsidP="00640EA2">
            <w:pPr>
              <w:spacing w:beforeLines="20" w:afterLines="20"/>
            </w:pPr>
          </w:p>
        </w:tc>
        <w:tc>
          <w:tcPr>
            <w:tcW w:w="9022" w:type="dxa"/>
            <w:tcBorders>
              <w:top w:val="single" w:sz="4" w:space="0" w:color="808080"/>
              <w:bottom w:val="single" w:sz="4" w:space="0" w:color="808080"/>
            </w:tcBorders>
            <w:tcMar>
              <w:top w:w="43" w:type="dxa"/>
              <w:left w:w="72" w:type="dxa"/>
              <w:bottom w:w="72" w:type="dxa"/>
              <w:right w:w="72" w:type="dxa"/>
            </w:tcMar>
          </w:tcPr>
          <w:p w:rsidR="00EE591B" w:rsidRPr="00EE591B" w:rsidRDefault="00EE591B" w:rsidP="008725EC">
            <w:pPr>
              <w:tabs>
                <w:tab w:val="num" w:pos="0"/>
                <w:tab w:val="left" w:pos="631"/>
              </w:tabs>
              <w:suppressAutoHyphens/>
              <w:spacing w:before="120" w:after="120"/>
              <w:rPr>
                <w:i/>
              </w:rPr>
            </w:pPr>
            <w:r w:rsidRPr="00487A09">
              <w:rPr>
                <w:rFonts w:eastAsia="MS Mincho"/>
                <w:kern w:val="22"/>
                <w:szCs w:val="22"/>
                <w:lang w:eastAsia="ko-KR"/>
              </w:rPr>
              <w:t>4</w:t>
            </w:r>
            <w:r w:rsidRPr="00487A09">
              <w:rPr>
                <w:rFonts w:eastAsia="MS Mincho"/>
                <w:kern w:val="22"/>
                <w:szCs w:val="22"/>
              </w:rPr>
              <w:t>.</w:t>
            </w:r>
            <w:r w:rsidRPr="00487A09">
              <w:rPr>
                <w:rFonts w:eastAsia="MS Mincho"/>
                <w:kern w:val="22"/>
                <w:szCs w:val="22"/>
              </w:rPr>
              <w:tab/>
              <w:t xml:space="preserve">With a view to enabling the Conference of the Parties, at each of its meetings through 2020, to review progress in the implementation of the Strategic Plan for Biodiversity 2011–2020 and the achievement of the Aichi Biodiversity Targets and in line with paragraph 3 (e) of decision X/2, </w:t>
            </w:r>
            <w:r w:rsidRPr="00487A09">
              <w:rPr>
                <w:rFonts w:eastAsia="MS Mincho"/>
                <w:i/>
                <w:iCs/>
                <w:kern w:val="22"/>
                <w:szCs w:val="22"/>
              </w:rPr>
              <w:t>requests</w:t>
            </w:r>
            <w:r w:rsidRPr="00487A09">
              <w:rPr>
                <w:rFonts w:eastAsia="MS Mincho"/>
                <w:iCs/>
                <w:kern w:val="22"/>
                <w:szCs w:val="22"/>
              </w:rPr>
              <w:t xml:space="preserve"> the Executive Secretary to make the online reporting tool of the clearing-house mechanism fully operational as soon as possible, </w:t>
            </w:r>
            <w:r w:rsidRPr="00487A09">
              <w:rPr>
                <w:rFonts w:eastAsia="MS Mincho"/>
                <w:i/>
                <w:iCs/>
                <w:kern w:val="22"/>
                <w:szCs w:val="22"/>
              </w:rPr>
              <w:t>invites</w:t>
            </w:r>
            <w:r w:rsidRPr="00487A09">
              <w:rPr>
                <w:rFonts w:eastAsia="MS Mincho"/>
                <w:iCs/>
                <w:kern w:val="22"/>
                <w:szCs w:val="22"/>
              </w:rPr>
              <w:t xml:space="preserve"> Parties and other Governments, on a voluntary basis, to make available information on progress towards the achievement of the Aichi Biodiversity Targets and related national targets and on indicators and approaches towards assessing progress, including through use of the online reporting tool of the clearing-house mechanism, and </w:t>
            </w:r>
            <w:r w:rsidRPr="00487A09">
              <w:rPr>
                <w:rFonts w:eastAsia="MS Mincho"/>
                <w:i/>
                <w:iCs/>
                <w:kern w:val="22"/>
                <w:szCs w:val="22"/>
              </w:rPr>
              <w:t>requests</w:t>
            </w:r>
            <w:r w:rsidRPr="00487A09">
              <w:rPr>
                <w:rFonts w:eastAsia="MS Mincho"/>
                <w:iCs/>
                <w:kern w:val="22"/>
                <w:szCs w:val="22"/>
              </w:rPr>
              <w:t xml:space="preserve"> the Executive Secretary to report on progress on the use of the online reporting tool by Parties and other Governments, and the information submitted therein, to the Conference of the Parties at its thirteenth meeting;</w:t>
            </w:r>
          </w:p>
        </w:tc>
      </w:tr>
    </w:tbl>
    <w:p w:rsidR="00B337ED" w:rsidRPr="00310ED8" w:rsidRDefault="00B337ED" w:rsidP="008725EC">
      <w:pPr>
        <w:rPr>
          <w:b/>
          <w:color w:val="4F81BD" w:themeColor="accent1"/>
          <w:sz w:val="20"/>
          <w:szCs w:val="20"/>
        </w:rPr>
      </w:pPr>
    </w:p>
    <w:sectPr w:rsidR="00B337ED" w:rsidRPr="00310ED8" w:rsidSect="002A3366">
      <w:pgSz w:w="15840" w:h="12240" w:orient="landscape"/>
      <w:pgMar w:top="180" w:right="144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194" w:rsidRDefault="00E87194" w:rsidP="00BA08D8">
      <w:r>
        <w:separator/>
      </w:r>
    </w:p>
  </w:endnote>
  <w:endnote w:type="continuationSeparator" w:id="0">
    <w:p w:rsidR="00E87194" w:rsidRDefault="00E87194" w:rsidP="00BA0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194" w:rsidRDefault="00E87194" w:rsidP="00BA08D8">
      <w:r>
        <w:separator/>
      </w:r>
    </w:p>
  </w:footnote>
  <w:footnote w:type="continuationSeparator" w:id="0">
    <w:p w:rsidR="00E87194" w:rsidRDefault="00E87194" w:rsidP="00BA08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56EAC8A0"/>
    <w:name w:val="WW8Num16"/>
    <w:lvl w:ilvl="0">
      <w:start w:val="1"/>
      <w:numFmt w:val="decimal"/>
      <w:lvlText w:val="%1."/>
      <w:lvlJc w:val="left"/>
      <w:pPr>
        <w:tabs>
          <w:tab w:val="num" w:pos="0"/>
        </w:tabs>
        <w:ind w:left="720" w:hanging="360"/>
      </w:pPr>
      <w:rPr>
        <w:i w:val="0"/>
      </w:rPr>
    </w:lvl>
  </w:abstractNum>
  <w:abstractNum w:abstractNumId="1">
    <w:nsid w:val="115934B7"/>
    <w:multiLevelType w:val="hybridMultilevel"/>
    <w:tmpl w:val="C0C285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857474"/>
    <w:multiLevelType w:val="hybridMultilevel"/>
    <w:tmpl w:val="CAF48692"/>
    <w:lvl w:ilvl="0" w:tplc="E850E18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B930EC"/>
    <w:multiLevelType w:val="hybridMultilevel"/>
    <w:tmpl w:val="6AFE2754"/>
    <w:lvl w:ilvl="0" w:tplc="3C5ACE26">
      <w:start w:val="1"/>
      <w:numFmt w:val="decimal"/>
      <w:lvlText w:val="%1."/>
      <w:lvlJc w:val="left"/>
      <w:pPr>
        <w:ind w:left="360" w:hanging="360"/>
      </w:pPr>
      <w:rPr>
        <w:rFonts w:hint="default"/>
        <w:i w:val="0"/>
      </w:rPr>
    </w:lvl>
    <w:lvl w:ilvl="1" w:tplc="10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37B71447"/>
    <w:multiLevelType w:val="hybridMultilevel"/>
    <w:tmpl w:val="E0C2F508"/>
    <w:lvl w:ilvl="0" w:tplc="D7DCA6A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6">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7">
    <w:nsid w:val="49A91B1E"/>
    <w:multiLevelType w:val="hybridMultilevel"/>
    <w:tmpl w:val="071C31D0"/>
    <w:lvl w:ilvl="0" w:tplc="981E32E6">
      <w:start w:val="8"/>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0442B4"/>
    <w:multiLevelType w:val="multilevel"/>
    <w:tmpl w:val="A9303690"/>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pStyle w:val="Heading2longmultiline"/>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FF24EDB"/>
    <w:multiLevelType w:val="hybridMultilevel"/>
    <w:tmpl w:val="F8EC3434"/>
    <w:lvl w:ilvl="0" w:tplc="35E60AB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2636E9"/>
    <w:multiLevelType w:val="hybridMultilevel"/>
    <w:tmpl w:val="68F61994"/>
    <w:lvl w:ilvl="0" w:tplc="E140E20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5C271BBF"/>
    <w:multiLevelType w:val="hybridMultilevel"/>
    <w:tmpl w:val="06CC200E"/>
    <w:lvl w:ilvl="0" w:tplc="C65EA51E">
      <w:start w:val="6"/>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7C5685"/>
    <w:multiLevelType w:val="hybridMultilevel"/>
    <w:tmpl w:val="8AB0289C"/>
    <w:lvl w:ilvl="0" w:tplc="5F7EEAB0">
      <w:start w:val="9"/>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7E6D51"/>
    <w:multiLevelType w:val="hybridMultilevel"/>
    <w:tmpl w:val="3428385A"/>
    <w:lvl w:ilvl="0" w:tplc="04090001">
      <w:start w:val="1"/>
      <w:numFmt w:val="bullet"/>
      <w:pStyle w:val="Para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7FC69FF"/>
    <w:multiLevelType w:val="hybridMultilevel"/>
    <w:tmpl w:val="312A9686"/>
    <w:lvl w:ilvl="0" w:tplc="38C07B5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AE7667"/>
    <w:multiLevelType w:val="hybridMultilevel"/>
    <w:tmpl w:val="D382A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4F31D5"/>
    <w:multiLevelType w:val="hybridMultilevel"/>
    <w:tmpl w:val="9B0A4994"/>
    <w:lvl w:ilvl="0" w:tplc="1BF27FAE">
      <w:start w:val="8"/>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4"/>
  </w:num>
  <w:num w:numId="4">
    <w:abstractNumId w:val="12"/>
  </w:num>
  <w:num w:numId="5">
    <w:abstractNumId w:val="8"/>
  </w:num>
  <w:num w:numId="6">
    <w:abstractNumId w:val="1"/>
  </w:num>
  <w:num w:numId="7">
    <w:abstractNumId w:val="5"/>
  </w:num>
  <w:num w:numId="8">
    <w:abstractNumId w:val="6"/>
  </w:num>
  <w:num w:numId="9">
    <w:abstractNumId w:val="9"/>
  </w:num>
  <w:num w:numId="10">
    <w:abstractNumId w:val="14"/>
  </w:num>
  <w:num w:numId="11">
    <w:abstractNumId w:val="2"/>
  </w:num>
  <w:num w:numId="12">
    <w:abstractNumId w:val="3"/>
  </w:num>
  <w:num w:numId="13">
    <w:abstractNumId w:val="16"/>
  </w:num>
  <w:num w:numId="14">
    <w:abstractNumId w:val="0"/>
  </w:num>
  <w:num w:numId="15">
    <w:abstractNumId w:val="11"/>
  </w:num>
  <w:num w:numId="16">
    <w:abstractNumId w:val="7"/>
  </w:num>
  <w:num w:numId="17">
    <w:abstractNumId w:val="1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15F80"/>
    <w:rsid w:val="00016CEA"/>
    <w:rsid w:val="0003513F"/>
    <w:rsid w:val="000360E5"/>
    <w:rsid w:val="00041169"/>
    <w:rsid w:val="0006271E"/>
    <w:rsid w:val="0011083D"/>
    <w:rsid w:val="0012202D"/>
    <w:rsid w:val="001470D7"/>
    <w:rsid w:val="00156C14"/>
    <w:rsid w:val="00160D15"/>
    <w:rsid w:val="00162826"/>
    <w:rsid w:val="0017019F"/>
    <w:rsid w:val="001A0786"/>
    <w:rsid w:val="001A53BE"/>
    <w:rsid w:val="001B49B6"/>
    <w:rsid w:val="001E53BD"/>
    <w:rsid w:val="001F558B"/>
    <w:rsid w:val="001F763F"/>
    <w:rsid w:val="00231311"/>
    <w:rsid w:val="00274CAC"/>
    <w:rsid w:val="002870D4"/>
    <w:rsid w:val="002A3366"/>
    <w:rsid w:val="002B4ED5"/>
    <w:rsid w:val="002C2E3A"/>
    <w:rsid w:val="002D3779"/>
    <w:rsid w:val="002F3FC6"/>
    <w:rsid w:val="002F4EDE"/>
    <w:rsid w:val="00310ED8"/>
    <w:rsid w:val="00323DE8"/>
    <w:rsid w:val="00325146"/>
    <w:rsid w:val="003273E4"/>
    <w:rsid w:val="00343CF6"/>
    <w:rsid w:val="0036650A"/>
    <w:rsid w:val="00367917"/>
    <w:rsid w:val="003870B7"/>
    <w:rsid w:val="00387E59"/>
    <w:rsid w:val="003B6559"/>
    <w:rsid w:val="003C1E54"/>
    <w:rsid w:val="003E06DD"/>
    <w:rsid w:val="003F3EE4"/>
    <w:rsid w:val="00401EF3"/>
    <w:rsid w:val="0042028B"/>
    <w:rsid w:val="00431931"/>
    <w:rsid w:val="00462BA9"/>
    <w:rsid w:val="004669C7"/>
    <w:rsid w:val="00467371"/>
    <w:rsid w:val="004703EE"/>
    <w:rsid w:val="00475B5C"/>
    <w:rsid w:val="00496A0E"/>
    <w:rsid w:val="004A592A"/>
    <w:rsid w:val="004D71F3"/>
    <w:rsid w:val="004E1230"/>
    <w:rsid w:val="004E2B37"/>
    <w:rsid w:val="005079B9"/>
    <w:rsid w:val="005135D0"/>
    <w:rsid w:val="00524FFF"/>
    <w:rsid w:val="005278F6"/>
    <w:rsid w:val="00532622"/>
    <w:rsid w:val="005409A0"/>
    <w:rsid w:val="005542ED"/>
    <w:rsid w:val="005808BA"/>
    <w:rsid w:val="00593BA4"/>
    <w:rsid w:val="00597E22"/>
    <w:rsid w:val="005C0C36"/>
    <w:rsid w:val="005C3A21"/>
    <w:rsid w:val="00615F80"/>
    <w:rsid w:val="00625CBE"/>
    <w:rsid w:val="00640EA2"/>
    <w:rsid w:val="00665AAC"/>
    <w:rsid w:val="0069641C"/>
    <w:rsid w:val="006B5603"/>
    <w:rsid w:val="00715464"/>
    <w:rsid w:val="007545D3"/>
    <w:rsid w:val="00773B75"/>
    <w:rsid w:val="0078393F"/>
    <w:rsid w:val="00792AF6"/>
    <w:rsid w:val="007935D5"/>
    <w:rsid w:val="007B0BE8"/>
    <w:rsid w:val="007B229A"/>
    <w:rsid w:val="007B4D67"/>
    <w:rsid w:val="007D7FCE"/>
    <w:rsid w:val="007E1EAC"/>
    <w:rsid w:val="007F3838"/>
    <w:rsid w:val="00803EB1"/>
    <w:rsid w:val="00804228"/>
    <w:rsid w:val="00827F4C"/>
    <w:rsid w:val="008409FE"/>
    <w:rsid w:val="00861AFE"/>
    <w:rsid w:val="008675DD"/>
    <w:rsid w:val="008725EC"/>
    <w:rsid w:val="008905B9"/>
    <w:rsid w:val="00892851"/>
    <w:rsid w:val="008945BD"/>
    <w:rsid w:val="008A4C4B"/>
    <w:rsid w:val="008F6BF8"/>
    <w:rsid w:val="00903FED"/>
    <w:rsid w:val="0091264B"/>
    <w:rsid w:val="00915688"/>
    <w:rsid w:val="00934188"/>
    <w:rsid w:val="00950AFC"/>
    <w:rsid w:val="0095308C"/>
    <w:rsid w:val="009544A1"/>
    <w:rsid w:val="00964B90"/>
    <w:rsid w:val="00966ABC"/>
    <w:rsid w:val="00966C32"/>
    <w:rsid w:val="00966F8E"/>
    <w:rsid w:val="00981A3C"/>
    <w:rsid w:val="009851C4"/>
    <w:rsid w:val="009A1ECD"/>
    <w:rsid w:val="009B435F"/>
    <w:rsid w:val="009C7ED4"/>
    <w:rsid w:val="009D6033"/>
    <w:rsid w:val="009E5892"/>
    <w:rsid w:val="009F2CEA"/>
    <w:rsid w:val="00A12301"/>
    <w:rsid w:val="00A13E38"/>
    <w:rsid w:val="00A4343C"/>
    <w:rsid w:val="00A5271B"/>
    <w:rsid w:val="00A7077B"/>
    <w:rsid w:val="00A82ECE"/>
    <w:rsid w:val="00A8575C"/>
    <w:rsid w:val="00A86E07"/>
    <w:rsid w:val="00AB6F0A"/>
    <w:rsid w:val="00AD5038"/>
    <w:rsid w:val="00AE6812"/>
    <w:rsid w:val="00AF7B2A"/>
    <w:rsid w:val="00B046ED"/>
    <w:rsid w:val="00B337ED"/>
    <w:rsid w:val="00B6560A"/>
    <w:rsid w:val="00B70064"/>
    <w:rsid w:val="00B7415A"/>
    <w:rsid w:val="00B97D7E"/>
    <w:rsid w:val="00BA08D8"/>
    <w:rsid w:val="00BA4388"/>
    <w:rsid w:val="00BB1D72"/>
    <w:rsid w:val="00BE79B5"/>
    <w:rsid w:val="00BF19AD"/>
    <w:rsid w:val="00BF2134"/>
    <w:rsid w:val="00C11398"/>
    <w:rsid w:val="00C14788"/>
    <w:rsid w:val="00C23F49"/>
    <w:rsid w:val="00C4288D"/>
    <w:rsid w:val="00C6278C"/>
    <w:rsid w:val="00C6484C"/>
    <w:rsid w:val="00C65377"/>
    <w:rsid w:val="00C666C9"/>
    <w:rsid w:val="00C709A1"/>
    <w:rsid w:val="00C81A64"/>
    <w:rsid w:val="00C82816"/>
    <w:rsid w:val="00C82C53"/>
    <w:rsid w:val="00C85864"/>
    <w:rsid w:val="00C92510"/>
    <w:rsid w:val="00CA797A"/>
    <w:rsid w:val="00CC0E4E"/>
    <w:rsid w:val="00CC1E22"/>
    <w:rsid w:val="00CE13F7"/>
    <w:rsid w:val="00D16DDC"/>
    <w:rsid w:val="00D23EB3"/>
    <w:rsid w:val="00D45BFD"/>
    <w:rsid w:val="00D66409"/>
    <w:rsid w:val="00D81A90"/>
    <w:rsid w:val="00D85B03"/>
    <w:rsid w:val="00DA3FA3"/>
    <w:rsid w:val="00DB07E2"/>
    <w:rsid w:val="00DC3D29"/>
    <w:rsid w:val="00DF62E1"/>
    <w:rsid w:val="00DF75D7"/>
    <w:rsid w:val="00E06B72"/>
    <w:rsid w:val="00E12190"/>
    <w:rsid w:val="00E23432"/>
    <w:rsid w:val="00E54F32"/>
    <w:rsid w:val="00E64D84"/>
    <w:rsid w:val="00E66FE4"/>
    <w:rsid w:val="00E753D5"/>
    <w:rsid w:val="00E86776"/>
    <w:rsid w:val="00E87194"/>
    <w:rsid w:val="00E942D1"/>
    <w:rsid w:val="00EC09A2"/>
    <w:rsid w:val="00EC45CC"/>
    <w:rsid w:val="00ED3CFB"/>
    <w:rsid w:val="00EE591B"/>
    <w:rsid w:val="00F076C0"/>
    <w:rsid w:val="00F07AA7"/>
    <w:rsid w:val="00F16AA2"/>
    <w:rsid w:val="00F359D4"/>
    <w:rsid w:val="00F55BBC"/>
    <w:rsid w:val="00F70A1C"/>
    <w:rsid w:val="00F91192"/>
    <w:rsid w:val="00FA3974"/>
    <w:rsid w:val="00FC3B62"/>
    <w:rsid w:val="00FC7213"/>
    <w:rsid w:val="00FC72B9"/>
    <w:rsid w:val="00FD5197"/>
    <w:rsid w:val="00FE47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80"/>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uiPriority w:val="9"/>
    <w:semiHidden/>
    <w:unhideWhenUsed/>
    <w:qFormat/>
    <w:rsid w:val="00475B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367917"/>
    <w:pPr>
      <w:keepNext/>
      <w:numPr>
        <w:ilvl w:val="4"/>
        <w:numId w:val="3"/>
      </w:numPr>
      <w:spacing w:before="120" w:after="120"/>
      <w:outlineLvl w:val="4"/>
    </w:pPr>
    <w:rPr>
      <w:rFonts w:eastAsia="Malgun Gothic"/>
      <w:bCs/>
      <w:i/>
      <w:sz w:val="22"/>
      <w:szCs w:val="26"/>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ar"/>
    <w:basedOn w:val="Normal"/>
    <w:link w:val="BodyTextChar"/>
    <w:rsid w:val="00615F80"/>
    <w:pPr>
      <w:spacing w:before="120" w:after="120"/>
      <w:ind w:firstLine="720"/>
      <w:jc w:val="both"/>
    </w:pPr>
    <w:rPr>
      <w:rFonts w:eastAsia="Times New Roman"/>
      <w:iCs/>
      <w:sz w:val="22"/>
      <w:lang w:val="en-GB" w:eastAsia="en-US"/>
    </w:rPr>
  </w:style>
  <w:style w:type="character" w:customStyle="1" w:styleId="BodyTextChar">
    <w:name w:val="Body Text Char"/>
    <w:aliases w:val=" Car Char1"/>
    <w:basedOn w:val="DefaultParagraphFont"/>
    <w:link w:val="BodyText"/>
    <w:rsid w:val="00615F80"/>
    <w:rPr>
      <w:rFonts w:ascii="Times New Roman" w:eastAsia="Times New Roman" w:hAnsi="Times New Roman" w:cs="Times New Roman"/>
      <w:iCs/>
      <w:szCs w:val="24"/>
      <w:lang w:val="en-GB"/>
    </w:rPr>
  </w:style>
  <w:style w:type="paragraph" w:customStyle="1" w:styleId="Para2">
    <w:name w:val="Para2"/>
    <w:basedOn w:val="Normal"/>
    <w:rsid w:val="00615F80"/>
    <w:pPr>
      <w:numPr>
        <w:numId w:val="1"/>
      </w:numPr>
      <w:autoSpaceDE w:val="0"/>
      <w:autoSpaceDN w:val="0"/>
      <w:spacing w:before="120" w:after="120"/>
      <w:jc w:val="both"/>
    </w:pPr>
    <w:rPr>
      <w:rFonts w:eastAsia="Times New Roman"/>
      <w:snapToGrid w:val="0"/>
      <w:sz w:val="22"/>
      <w:szCs w:val="18"/>
      <w:lang w:val="en-GB" w:eastAsia="en-US"/>
    </w:rPr>
  </w:style>
  <w:style w:type="paragraph" w:customStyle="1" w:styleId="bodytextnoindent">
    <w:name w:val="body text (no indent)"/>
    <w:basedOn w:val="Normal"/>
    <w:rsid w:val="00615F80"/>
    <w:pPr>
      <w:spacing w:before="120" w:after="120"/>
      <w:jc w:val="both"/>
    </w:pPr>
    <w:rPr>
      <w:rFonts w:eastAsia="Times New Roman"/>
      <w:sz w:val="22"/>
      <w:lang w:val="en-GB" w:eastAsia="en-US"/>
    </w:rPr>
  </w:style>
  <w:style w:type="character" w:customStyle="1" w:styleId="BodyTextChar1">
    <w:name w:val="Body Text Char1"/>
    <w:aliases w:val=" Car Char"/>
    <w:basedOn w:val="DefaultParagraphFont"/>
    <w:rsid w:val="00343CF6"/>
    <w:rPr>
      <w:iCs/>
      <w:sz w:val="22"/>
      <w:szCs w:val="24"/>
      <w:lang w:val="en-GB" w:eastAsia="en-US" w:bidi="ar-SA"/>
    </w:rPr>
  </w:style>
  <w:style w:type="paragraph" w:customStyle="1" w:styleId="Decheadmuliline">
    <w:name w:val="Dec_head muliline"/>
    <w:basedOn w:val="BodyText"/>
    <w:next w:val="BodyText"/>
    <w:rsid w:val="00343CF6"/>
    <w:pPr>
      <w:ind w:left="2127" w:hanging="1276"/>
    </w:pPr>
    <w:rPr>
      <w:b/>
      <w:i/>
    </w:rPr>
  </w:style>
  <w:style w:type="paragraph" w:customStyle="1" w:styleId="Para1">
    <w:name w:val="Para1"/>
    <w:basedOn w:val="Normal"/>
    <w:link w:val="Para1Char"/>
    <w:rsid w:val="00915688"/>
    <w:pPr>
      <w:numPr>
        <w:numId w:val="2"/>
      </w:numPr>
      <w:spacing w:before="120" w:after="120"/>
      <w:jc w:val="both"/>
    </w:pPr>
    <w:rPr>
      <w:rFonts w:eastAsia="Times New Roman"/>
      <w:snapToGrid w:val="0"/>
      <w:sz w:val="22"/>
      <w:szCs w:val="18"/>
      <w:lang w:val="en-GB" w:eastAsia="en-US"/>
    </w:rPr>
  </w:style>
  <w:style w:type="character" w:customStyle="1" w:styleId="Para1Char">
    <w:name w:val="Para1 Char"/>
    <w:basedOn w:val="DefaultParagraphFont"/>
    <w:link w:val="Para1"/>
    <w:rsid w:val="00915688"/>
    <w:rPr>
      <w:rFonts w:ascii="Times New Roman" w:eastAsia="Times New Roman" w:hAnsi="Times New Roman" w:cs="Times New Roman"/>
      <w:snapToGrid w:val="0"/>
      <w:szCs w:val="18"/>
      <w:lang w:val="en-GB"/>
    </w:rPr>
  </w:style>
  <w:style w:type="paragraph" w:customStyle="1" w:styleId="Heading2longmultiline">
    <w:name w:val="Heading 2 (long multiline)"/>
    <w:basedOn w:val="Normal"/>
    <w:rsid w:val="00915688"/>
    <w:pPr>
      <w:keepNext/>
      <w:numPr>
        <w:ilvl w:val="7"/>
        <w:numId w:val="2"/>
      </w:numPr>
      <w:tabs>
        <w:tab w:val="left" w:pos="720"/>
      </w:tabs>
      <w:spacing w:before="120" w:after="120"/>
      <w:ind w:right="998"/>
      <w:outlineLvl w:val="0"/>
    </w:pPr>
    <w:rPr>
      <w:rFonts w:eastAsia="Times New Roman"/>
      <w:b/>
      <w:i/>
      <w:iCs/>
      <w:sz w:val="22"/>
      <w:lang w:val="en-GB" w:eastAsia="en-US"/>
    </w:rPr>
  </w:style>
  <w:style w:type="paragraph" w:customStyle="1" w:styleId="Dec-titleoneline">
    <w:name w:val="Dec-title one line"/>
    <w:basedOn w:val="Heading2"/>
    <w:rsid w:val="00475B5C"/>
    <w:pPr>
      <w:keepLines w:val="0"/>
      <w:tabs>
        <w:tab w:val="left" w:pos="720"/>
      </w:tabs>
      <w:spacing w:before="120" w:after="120"/>
      <w:jc w:val="center"/>
    </w:pPr>
    <w:rPr>
      <w:rFonts w:ascii="Times New Roman" w:eastAsia="Times New Roman" w:hAnsi="Times New Roman" w:cs="Times New Roman"/>
      <w:i/>
      <w:iCs/>
      <w:color w:val="auto"/>
      <w:sz w:val="22"/>
      <w:szCs w:val="24"/>
      <w:lang w:val="en-GB" w:eastAsia="en-US"/>
    </w:rPr>
  </w:style>
  <w:style w:type="character" w:customStyle="1" w:styleId="Heading2Char">
    <w:name w:val="Heading 2 Char"/>
    <w:basedOn w:val="DefaultParagraphFont"/>
    <w:link w:val="Heading2"/>
    <w:uiPriority w:val="9"/>
    <w:semiHidden/>
    <w:rsid w:val="00475B5C"/>
    <w:rPr>
      <w:rFonts w:asciiTheme="majorHAnsi" w:eastAsiaTheme="majorEastAsia" w:hAnsiTheme="majorHAnsi" w:cstheme="majorBidi"/>
      <w:b/>
      <w:bCs/>
      <w:color w:val="4F81BD" w:themeColor="accent1"/>
      <w:sz w:val="26"/>
      <w:szCs w:val="26"/>
      <w:lang w:eastAsia="zh-CN"/>
    </w:rPr>
  </w:style>
  <w:style w:type="paragraph" w:customStyle="1" w:styleId="Headingrecmultiline1">
    <w:name w:val="Heading rec (multiline1)"/>
    <w:basedOn w:val="Normal"/>
    <w:rsid w:val="00DA3FA3"/>
    <w:pPr>
      <w:keepNext/>
      <w:tabs>
        <w:tab w:val="left" w:pos="720"/>
      </w:tabs>
      <w:spacing w:before="120" w:after="120"/>
      <w:ind w:left="1440" w:right="720" w:hanging="720"/>
      <w:outlineLvl w:val="1"/>
    </w:pPr>
    <w:rPr>
      <w:rFonts w:eastAsia="Times New Roman"/>
      <w:b/>
      <w:bCs/>
      <w:i/>
      <w:iCs/>
      <w:sz w:val="22"/>
      <w:lang w:val="en-GB" w:eastAsia="en-US"/>
    </w:rPr>
  </w:style>
  <w:style w:type="paragraph" w:customStyle="1" w:styleId="hEADINGREC">
    <w:name w:val="hEADING REC"/>
    <w:basedOn w:val="Heading2"/>
    <w:qFormat/>
    <w:rsid w:val="00387E59"/>
    <w:pPr>
      <w:keepLines w:val="0"/>
      <w:tabs>
        <w:tab w:val="left" w:pos="720"/>
      </w:tabs>
      <w:spacing w:before="120" w:after="120"/>
      <w:jc w:val="center"/>
    </w:pPr>
    <w:rPr>
      <w:rFonts w:ascii="Times New Roman" w:eastAsia="Times New Roman" w:hAnsi="Times New Roman" w:cs="Times New Roman"/>
      <w:i/>
      <w:iCs/>
      <w:color w:val="auto"/>
      <w:sz w:val="22"/>
      <w:szCs w:val="24"/>
      <w:lang w:val="en-GB" w:eastAsia="en-US"/>
    </w:rPr>
  </w:style>
  <w:style w:type="character" w:customStyle="1" w:styleId="Heading5Char">
    <w:name w:val="Heading 5 Char"/>
    <w:basedOn w:val="DefaultParagraphFont"/>
    <w:link w:val="Heading5"/>
    <w:rsid w:val="00367917"/>
    <w:rPr>
      <w:rFonts w:ascii="Times New Roman" w:eastAsia="Malgun Gothic" w:hAnsi="Times New Roman" w:cs="Times New Roman"/>
      <w:bCs/>
      <w:i/>
      <w:szCs w:val="26"/>
      <w:lang w:val="en-CA"/>
    </w:rPr>
  </w:style>
  <w:style w:type="paragraph" w:customStyle="1" w:styleId="recommendations">
    <w:name w:val="recommendations"/>
    <w:basedOn w:val="Heading2longmultiline"/>
    <w:qFormat/>
    <w:rsid w:val="00367917"/>
    <w:pPr>
      <w:keepLines/>
      <w:numPr>
        <w:ilvl w:val="0"/>
        <w:numId w:val="0"/>
      </w:numPr>
      <w:ind w:right="0"/>
      <w:jc w:val="center"/>
    </w:pPr>
    <w:rPr>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rsid w:val="00BA08D8"/>
    <w:pPr>
      <w:keepLines/>
      <w:spacing w:after="60"/>
      <w:ind w:firstLine="720"/>
      <w:jc w:val="both"/>
    </w:pPr>
    <w:rPr>
      <w:rFonts w:eastAsia="Malgun Gothic"/>
      <w:sz w:val="18"/>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A08D8"/>
    <w:rPr>
      <w:rFonts w:ascii="Times New Roman" w:eastAsia="Malgun Gothic" w:hAnsi="Times New Roman" w:cs="Times New Roman"/>
      <w:sz w:val="18"/>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BA08D8"/>
    <w:rPr>
      <w:sz w:val="18"/>
      <w:u w:val="single"/>
      <w:vertAlign w:val="baseline"/>
    </w:rPr>
  </w:style>
  <w:style w:type="character" w:styleId="CommentReference">
    <w:name w:val="annotation reference"/>
    <w:basedOn w:val="DefaultParagraphFont"/>
    <w:uiPriority w:val="99"/>
    <w:semiHidden/>
    <w:unhideWhenUsed/>
    <w:rsid w:val="00773B75"/>
    <w:rPr>
      <w:sz w:val="16"/>
      <w:szCs w:val="16"/>
    </w:rPr>
  </w:style>
  <w:style w:type="paragraph" w:styleId="CommentText">
    <w:name w:val="annotation text"/>
    <w:basedOn w:val="Normal"/>
    <w:link w:val="CommentTextChar"/>
    <w:uiPriority w:val="99"/>
    <w:semiHidden/>
    <w:unhideWhenUsed/>
    <w:rsid w:val="00773B75"/>
    <w:rPr>
      <w:sz w:val="20"/>
      <w:szCs w:val="20"/>
    </w:rPr>
  </w:style>
  <w:style w:type="character" w:customStyle="1" w:styleId="CommentTextChar">
    <w:name w:val="Comment Text Char"/>
    <w:basedOn w:val="DefaultParagraphFont"/>
    <w:link w:val="CommentText"/>
    <w:uiPriority w:val="99"/>
    <w:semiHidden/>
    <w:rsid w:val="00773B75"/>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773B75"/>
    <w:rPr>
      <w:b/>
      <w:bCs/>
    </w:rPr>
  </w:style>
  <w:style w:type="character" w:customStyle="1" w:styleId="CommentSubjectChar">
    <w:name w:val="Comment Subject Char"/>
    <w:basedOn w:val="CommentTextChar"/>
    <w:link w:val="CommentSubject"/>
    <w:uiPriority w:val="99"/>
    <w:semiHidden/>
    <w:rsid w:val="00773B75"/>
    <w:rPr>
      <w:b/>
      <w:bCs/>
    </w:rPr>
  </w:style>
  <w:style w:type="paragraph" w:styleId="BalloonText">
    <w:name w:val="Balloon Text"/>
    <w:basedOn w:val="Normal"/>
    <w:link w:val="BalloonTextChar"/>
    <w:uiPriority w:val="99"/>
    <w:semiHidden/>
    <w:unhideWhenUsed/>
    <w:rsid w:val="00773B75"/>
    <w:rPr>
      <w:rFonts w:ascii="Tahoma" w:hAnsi="Tahoma" w:cs="Tahoma"/>
      <w:sz w:val="16"/>
      <w:szCs w:val="16"/>
    </w:rPr>
  </w:style>
  <w:style w:type="character" w:customStyle="1" w:styleId="BalloonTextChar">
    <w:name w:val="Balloon Text Char"/>
    <w:basedOn w:val="DefaultParagraphFont"/>
    <w:link w:val="BalloonText"/>
    <w:uiPriority w:val="99"/>
    <w:semiHidden/>
    <w:rsid w:val="00773B75"/>
    <w:rPr>
      <w:rFonts w:ascii="Tahoma" w:eastAsia="SimSun" w:hAnsi="Tahoma" w:cs="Tahoma"/>
      <w:sz w:val="16"/>
      <w:szCs w:val="16"/>
      <w:lang w:eastAsia="zh-CN"/>
    </w:rPr>
  </w:style>
  <w:style w:type="paragraph" w:customStyle="1" w:styleId="CharChar2">
    <w:name w:val="Char Char2"/>
    <w:basedOn w:val="Normal"/>
    <w:rsid w:val="00B7415A"/>
    <w:pPr>
      <w:tabs>
        <w:tab w:val="num" w:pos="360"/>
      </w:tabs>
      <w:jc w:val="both"/>
    </w:pPr>
    <w:rPr>
      <w:rFonts w:eastAsia="Times New Roman"/>
      <w:sz w:val="22"/>
      <w:lang w:val="en-GB" w:eastAsia="en-US"/>
    </w:rPr>
  </w:style>
  <w:style w:type="paragraph" w:customStyle="1" w:styleId="heading-rec-multi">
    <w:name w:val="heading-rec-multi"/>
    <w:basedOn w:val="Normal"/>
    <w:qFormat/>
    <w:rsid w:val="00B97D7E"/>
    <w:pPr>
      <w:keepNext/>
      <w:tabs>
        <w:tab w:val="left" w:pos="720"/>
      </w:tabs>
      <w:spacing w:before="120" w:after="120"/>
      <w:ind w:left="1843" w:right="998" w:hanging="567"/>
      <w:outlineLvl w:val="0"/>
    </w:pPr>
    <w:rPr>
      <w:rFonts w:ascii="Times New Roman Bold" w:eastAsia="Times New Roman" w:hAnsi="Times New Roman Bold"/>
      <w:b/>
      <w:i/>
      <w:iCs/>
      <w:sz w:val="22"/>
      <w:lang w:val="en-GB"/>
    </w:rPr>
  </w:style>
  <w:style w:type="character" w:styleId="Hyperlink">
    <w:name w:val="Hyperlink"/>
    <w:basedOn w:val="DefaultParagraphFont"/>
    <w:uiPriority w:val="99"/>
    <w:unhideWhenUsed/>
    <w:rsid w:val="00F55BBC"/>
    <w:rPr>
      <w:color w:val="0000FF" w:themeColor="hyperlink"/>
      <w:u w:val="single"/>
    </w:rPr>
  </w:style>
  <w:style w:type="paragraph" w:customStyle="1" w:styleId="Default">
    <w:name w:val="Default"/>
    <w:rsid w:val="00DC3D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commendationheaderlong">
    <w:name w:val="recommendation header long"/>
    <w:basedOn w:val="Heading2longmultiline"/>
    <w:qFormat/>
    <w:rsid w:val="00FC3B62"/>
    <w:pPr>
      <w:numPr>
        <w:ilvl w:val="0"/>
        <w:numId w:val="0"/>
      </w:numPr>
      <w:ind w:left="2127" w:hanging="1276"/>
    </w:pPr>
  </w:style>
  <w:style w:type="paragraph" w:customStyle="1" w:styleId="recommendation">
    <w:name w:val="recommendation"/>
    <w:basedOn w:val="Heading2"/>
    <w:qFormat/>
    <w:rsid w:val="00FC3B62"/>
    <w:pPr>
      <w:keepLines w:val="0"/>
      <w:tabs>
        <w:tab w:val="left" w:pos="720"/>
      </w:tabs>
      <w:spacing w:before="120" w:after="120"/>
      <w:jc w:val="center"/>
    </w:pPr>
    <w:rPr>
      <w:rFonts w:ascii="Times New Roman" w:eastAsia="Times New Roman" w:hAnsi="Times New Roman" w:cs="Times New Roman"/>
      <w:i/>
      <w:iCs/>
      <w:color w:val="auto"/>
      <w:sz w:val="22"/>
      <w:szCs w:val="24"/>
      <w:lang w:val="en-GB"/>
    </w:rPr>
  </w:style>
  <w:style w:type="paragraph" w:customStyle="1" w:styleId="recommendationheader">
    <w:name w:val="recommendation header"/>
    <w:basedOn w:val="Heading2"/>
    <w:qFormat/>
    <w:rsid w:val="0042028B"/>
    <w:pPr>
      <w:keepLines w:val="0"/>
      <w:tabs>
        <w:tab w:val="left" w:pos="720"/>
      </w:tabs>
      <w:spacing w:before="120" w:after="120"/>
      <w:jc w:val="center"/>
    </w:pPr>
    <w:rPr>
      <w:rFonts w:ascii="Times New Roman" w:eastAsia="Times New Roman" w:hAnsi="Times New Roman" w:cs="Times New Roman"/>
      <w:i/>
      <w:iCs/>
      <w:color w:val="auto"/>
      <w:sz w:val="22"/>
      <w:szCs w:val="24"/>
      <w:lang w:val="en-GB"/>
    </w:rPr>
  </w:style>
  <w:style w:type="paragraph" w:customStyle="1" w:styleId="Paranum">
    <w:name w:val="Paranum"/>
    <w:basedOn w:val="Para1"/>
    <w:rsid w:val="001E53BD"/>
    <w:pPr>
      <w:numPr>
        <w:numId w:val="8"/>
      </w:numPr>
      <w:spacing w:line="240" w:lineRule="exact"/>
    </w:pPr>
    <w:rPr>
      <w:rFonts w:eastAsia="Malgun Gothic"/>
      <w:snapToGrid/>
      <w:szCs w:val="20"/>
      <w:lang w:val="en-US"/>
    </w:rPr>
  </w:style>
  <w:style w:type="paragraph" w:styleId="ListParagraph">
    <w:name w:val="List Paragraph"/>
    <w:basedOn w:val="Normal"/>
    <w:uiPriority w:val="34"/>
    <w:qFormat/>
    <w:rsid w:val="001E53BD"/>
    <w:pPr>
      <w:ind w:left="720"/>
      <w:contextualSpacing/>
    </w:pPr>
  </w:style>
  <w:style w:type="character" w:customStyle="1" w:styleId="a">
    <w:name w:val="脚注番号"/>
    <w:rsid w:val="00C65377"/>
    <w:rPr>
      <w:position w:val="0"/>
      <w:sz w:val="18"/>
      <w:u w:val="single"/>
      <w:vertAlign w:val="baseli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ts2020.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DAC3D-D200-4EF6-9271-9D09D987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dcterms:created xsi:type="dcterms:W3CDTF">2015-02-10T20:54:00Z</dcterms:created>
  <dcterms:modified xsi:type="dcterms:W3CDTF">2015-02-11T16:37:00Z</dcterms:modified>
</cp:coreProperties>
</file>