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DBD" w:rsidRDefault="00624DBD" w:rsidP="00624DBD">
      <w:pPr>
        <w:pStyle w:val="Title"/>
      </w:pPr>
      <w:r>
        <w:t xml:space="preserve">Action Plan for Implementing the Convention on Biological Diversity’s </w:t>
      </w:r>
    </w:p>
    <w:p w:rsidR="00624DBD" w:rsidRDefault="00624DBD" w:rsidP="00624DBD">
      <w:pPr>
        <w:pStyle w:val="Title"/>
      </w:pPr>
      <w:r>
        <w:t>Programme of Work on Protected Areas</w:t>
      </w:r>
    </w:p>
    <w:p w:rsidR="00624DBD" w:rsidRDefault="0086062D">
      <w:bookmarkStart w:id="0" w:name="_GoBack"/>
      <w:bookmarkEnd w:id="0"/>
      <w:r>
        <w:rPr>
          <w:noProof/>
        </w:rPr>
        <w:pict>
          <v:roundrect id="Rounded Rectangle 1" o:spid="_x0000_s1026" style="position:absolute;margin-left:-.85pt;margin-top:10.85pt;width:446.75pt;height:280.2pt;z-index:2516592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zcgwIAAFIFAAAOAAAAZHJzL2Uyb0RvYy54bWysVE1PGzEQvVfqf7B8L5uEhI+IDYpAVJUQ&#10;REDF2Xjt7Eq2xx072aS/vmPvZkGAeqiag2N7Zt7MvH3ji8udNWyrMDTgSj4+GnGmnISqceuS/3y6&#10;+XbGWYjCVcKAUyXfq8AvF1+/XLR+riZQg6kUMgJxYd76ktcx+nlRBFkrK8IReOXIqAGtiHTEdVGh&#10;aAndmmIyGp0ULWDlEaQKgW6vOyNfZHytlYz3WgcVmSk51Rbzinl9SWuxuBDzNQpfN7IvQ/xDFVY0&#10;jpIOUNciCrbB5gOUbSRCAB2PJNgCtG6kyj1QN+PRu24ea+FV7oXICX6gKfw/WHm3XSFrKvp2nDlh&#10;6RM9wMZVqmIPRJ5wa6PYONHU+jAn70e/wv4UaJt63mm06Z+6YbtM7X6gVu0ik3Q5Ozk9Pjk75UyS&#10;7Xg2O5tOzxNq8RruMcTvCixLm5JjKiPVkHkV29sQO/+DX0rp4KYxJt2n8rqC8i7ujUoOxj0oTf1R&#10;CZMMlJWlrgyyrSBNCCmVi+POVItKddezEf36+oaIXG0GTMiaEg/YPUBS7UfsruzeP4WqLMwhePS3&#10;wrrgISJnBheHYNs4wM8ADHXVZ+78DyR11CSWXqDa09dH6MYieHnTEPe3IsSVQJoDmhia7XhPizbQ&#10;lhz6HWc14O/P7pM/yZOsnLU0VyUPvzYCFWfmhyPhno+n0zSI+TCdnU7ogG8tL28tbmOvgD4TiZOq&#10;y9vkH81hqxHsMz0By5SVTMJJyl1yGfFwuIrdvNMjItVymd1o+LyIt+7RywSeWE2yeto9C/S9ACNp&#10;9w4OMyjm7yTY+aZIB8tNBN1kfb7y2vNNg5uF0z8y6WV4e85er0/h4g8AAAD//wMAUEsDBBQABgAI&#10;AAAAIQCa+30N3gAAAAkBAAAPAAAAZHJzL2Rvd25yZXYueG1sTI/BTsMwEETvSPyDtUhcUOskUJqm&#10;2VSAhAQ3GvgAN94mUeN1sN02/D3uCU6r0Yxm35SbyQziRM73lhHSeQKCuLG65xbh6/N1loPwQbFW&#10;g2VC+CEPm+r6qlSFtmfe0qkOrYgl7AuF0IUwFlL6piOj/NyOxNHbW2dUiNK1Ujt1juVmkFmSPEqj&#10;eo4fOjXSS0fNoT4aBJe+7e+/+cGtso+FPLyb7Z2unxFvb6anNYhAU/gLwwU/okMVmXb2yNqLAWGW&#10;LmMSIbvc6OerNE7ZISzyLAVZlfL/guoXAAD//wMAUEsBAi0AFAAGAAgAAAAhALaDOJL+AAAA4QEA&#10;ABMAAAAAAAAAAAAAAAAAAAAAAFtDb250ZW50X1R5cGVzXS54bWxQSwECLQAUAAYACAAAACEAOP0h&#10;/9YAAACUAQAACwAAAAAAAAAAAAAAAAAvAQAAX3JlbHMvLnJlbHNQSwECLQAUAAYACAAAACEALAGM&#10;3IMCAABSBQAADgAAAAAAAAAAAAAAAAAuAgAAZHJzL2Uyb0RvYy54bWxQSwECLQAUAAYACAAAACEA&#10;mvt9Dd4AAAAJAQAADwAAAAAAAAAAAAAAAADdBAAAZHJzL2Rvd25yZXYueG1sUEsFBgAAAAAEAAQA&#10;8wAAAOgFAAAAAA==&#10;" filled="f" strokecolor="#243f60 [1604]" strokeweight="2pt"/>
        </w:pict>
      </w:r>
    </w:p>
    <w:p w:rsidR="00624DBD" w:rsidRDefault="00624DBD"/>
    <w:p w:rsidR="00624DBD" w:rsidRDefault="00624DBD"/>
    <w:p w:rsidR="00624DBD" w:rsidRDefault="00624DBD"/>
    <w:p w:rsidR="00624DBD" w:rsidRDefault="00624DBD"/>
    <w:p w:rsidR="00624DBD" w:rsidRDefault="00624DBD"/>
    <w:p w:rsidR="00624DBD" w:rsidRDefault="00624DBD"/>
    <w:p w:rsidR="00624DBD" w:rsidRDefault="00624DBD"/>
    <w:p w:rsidR="00624DBD" w:rsidRDefault="00624DBD"/>
    <w:p w:rsidR="00624DBD" w:rsidRDefault="00624DBD"/>
    <w:p w:rsidR="00624DBD" w:rsidRDefault="00624DBD"/>
    <w:p w:rsidR="00624DBD" w:rsidRDefault="00624DBD"/>
    <w:p w:rsidR="00624DBD" w:rsidRDefault="00624DBD"/>
    <w:p w:rsidR="00624DBD" w:rsidRDefault="00624DBD"/>
    <w:p w:rsidR="00624DBD" w:rsidRPr="00624DBD" w:rsidRDefault="003D1FFB" w:rsidP="00624DBD">
      <w:pPr>
        <w:jc w:val="center"/>
        <w:rPr>
          <w:rFonts w:asciiTheme="majorHAnsi" w:hAnsiTheme="majorHAnsi"/>
          <w:sz w:val="50"/>
          <w:szCs w:val="50"/>
        </w:rPr>
      </w:pPr>
      <w:r>
        <w:rPr>
          <w:rFonts w:asciiTheme="majorHAnsi" w:hAnsiTheme="majorHAnsi"/>
          <w:sz w:val="50"/>
          <w:szCs w:val="50"/>
        </w:rPr>
        <w:t>Fiji</w:t>
      </w:r>
    </w:p>
    <w:p w:rsidR="00624DBD" w:rsidRDefault="00624DBD"/>
    <w:p w:rsidR="00624DBD" w:rsidRPr="00624DBD" w:rsidRDefault="00624DBD" w:rsidP="00624DBD">
      <w:pPr>
        <w:jc w:val="center"/>
        <w:rPr>
          <w:rFonts w:asciiTheme="majorHAnsi" w:hAnsiTheme="majorHAnsi"/>
        </w:rPr>
      </w:pPr>
      <w:r w:rsidRPr="00624DBD">
        <w:rPr>
          <w:rFonts w:asciiTheme="majorHAnsi" w:hAnsiTheme="majorHAnsi"/>
        </w:rPr>
        <w:t>Submitted to the Secretariat of the Convention on Biological Diversity October 6, 2011</w:t>
      </w:r>
    </w:p>
    <w:p w:rsidR="00624DBD" w:rsidRDefault="00624DBD"/>
    <w:p w:rsidR="00624DBD" w:rsidRDefault="00624DBD"/>
    <w:p w:rsidR="004A3391" w:rsidRDefault="004A3391"/>
    <w:p w:rsidR="0003270F" w:rsidRDefault="00624DBD" w:rsidP="00624DBD">
      <w:pPr>
        <w:pStyle w:val="Title"/>
      </w:pPr>
      <w:r>
        <w:lastRenderedPageBreak/>
        <w:t>Protected area information:</w:t>
      </w:r>
    </w:p>
    <w:p w:rsidR="00624DBD" w:rsidRDefault="00624DBD">
      <w:pPr>
        <w:rPr>
          <w:rStyle w:val="Heading1Char"/>
        </w:rPr>
      </w:pPr>
    </w:p>
    <w:p w:rsidR="003D1FFB" w:rsidRPr="003D1FFB" w:rsidRDefault="00624DBD" w:rsidP="003D1FFB">
      <w:pPr>
        <w:shd w:val="clear" w:color="auto" w:fill="FFFFFF"/>
        <w:spacing w:after="0" w:line="240" w:lineRule="auto"/>
        <w:rPr>
          <w:rFonts w:ascii="Arial" w:hAnsi="Arial" w:cs="Arial"/>
          <w:color w:val="333333"/>
          <w:sz w:val="20"/>
          <w:szCs w:val="20"/>
        </w:rPr>
      </w:pPr>
      <w:r w:rsidRPr="00624DBD">
        <w:rPr>
          <w:rStyle w:val="Heading1Char"/>
        </w:rPr>
        <w:t>PoWPA Focal Point</w:t>
      </w:r>
      <w:r w:rsidR="003D1FFB">
        <w:t xml:space="preserve">: </w:t>
      </w:r>
      <w:r w:rsidR="003D1FFB" w:rsidRPr="003D1FFB">
        <w:rPr>
          <w:rStyle w:val="name2"/>
          <w:rFonts w:ascii="Arial" w:hAnsi="Arial" w:cs="Arial"/>
          <w:color w:val="333333"/>
          <w:sz w:val="20"/>
          <w:szCs w:val="20"/>
        </w:rPr>
        <w:t>Ms. Elizabeth Erasito</w:t>
      </w:r>
      <w:r w:rsidR="003D1FFB" w:rsidRPr="003D1FFB">
        <w:rPr>
          <w:rFonts w:ascii="Arial" w:hAnsi="Arial" w:cs="Arial"/>
          <w:color w:val="333333"/>
          <w:sz w:val="20"/>
          <w:szCs w:val="20"/>
        </w:rPr>
        <w:t xml:space="preserve"> </w:t>
      </w:r>
    </w:p>
    <w:p w:rsidR="003D1FFB" w:rsidRPr="003D1FFB" w:rsidRDefault="003D1FFB" w:rsidP="003D1FFB">
      <w:pPr>
        <w:shd w:val="clear" w:color="auto" w:fill="FFFFFF"/>
        <w:spacing w:after="0" w:line="240" w:lineRule="auto"/>
        <w:rPr>
          <w:rFonts w:ascii="Arial" w:hAnsi="Arial" w:cs="Arial"/>
          <w:color w:val="333333"/>
          <w:sz w:val="20"/>
          <w:szCs w:val="20"/>
        </w:rPr>
      </w:pPr>
      <w:r w:rsidRPr="003D1FFB">
        <w:rPr>
          <w:rFonts w:ascii="Arial" w:hAnsi="Arial" w:cs="Arial"/>
          <w:color w:val="333333"/>
          <w:sz w:val="20"/>
          <w:szCs w:val="20"/>
        </w:rPr>
        <w:tab/>
      </w:r>
      <w:r w:rsidRPr="003D1FFB">
        <w:rPr>
          <w:rFonts w:ascii="Arial" w:hAnsi="Arial" w:cs="Arial"/>
          <w:color w:val="333333"/>
          <w:sz w:val="20"/>
          <w:szCs w:val="20"/>
        </w:rPr>
        <w:tab/>
      </w:r>
      <w:r w:rsidRPr="003D1FFB">
        <w:rPr>
          <w:rFonts w:ascii="Arial" w:hAnsi="Arial" w:cs="Arial"/>
          <w:color w:val="333333"/>
          <w:sz w:val="20"/>
          <w:szCs w:val="20"/>
        </w:rPr>
        <w:tab/>
      </w:r>
      <w:r w:rsidRPr="003D1FFB">
        <w:rPr>
          <w:rFonts w:ascii="Arial" w:hAnsi="Arial" w:cs="Arial"/>
          <w:color w:val="333333"/>
          <w:sz w:val="20"/>
          <w:szCs w:val="20"/>
        </w:rPr>
        <w:tab/>
        <w:t>Director</w:t>
      </w:r>
    </w:p>
    <w:p w:rsidR="003D1FFB" w:rsidRPr="003D1FFB" w:rsidRDefault="003D1FFB" w:rsidP="003D1FFB">
      <w:pPr>
        <w:shd w:val="clear" w:color="auto" w:fill="FFFFFF"/>
        <w:spacing w:after="0" w:line="240" w:lineRule="auto"/>
        <w:rPr>
          <w:rFonts w:ascii="Arial" w:hAnsi="Arial" w:cs="Arial"/>
          <w:color w:val="333333"/>
          <w:sz w:val="20"/>
          <w:szCs w:val="20"/>
        </w:rPr>
      </w:pPr>
      <w:r w:rsidRPr="003D1FFB">
        <w:rPr>
          <w:rFonts w:ascii="Arial" w:hAnsi="Arial" w:cs="Arial"/>
          <w:color w:val="333333"/>
          <w:sz w:val="20"/>
          <w:szCs w:val="20"/>
        </w:rPr>
        <w:tab/>
      </w:r>
      <w:r w:rsidRPr="003D1FFB">
        <w:rPr>
          <w:rFonts w:ascii="Arial" w:hAnsi="Arial" w:cs="Arial"/>
          <w:color w:val="333333"/>
          <w:sz w:val="20"/>
          <w:szCs w:val="20"/>
        </w:rPr>
        <w:tab/>
      </w:r>
      <w:r w:rsidRPr="003D1FFB">
        <w:rPr>
          <w:rFonts w:ascii="Arial" w:hAnsi="Arial" w:cs="Arial"/>
          <w:color w:val="333333"/>
          <w:sz w:val="20"/>
          <w:szCs w:val="20"/>
        </w:rPr>
        <w:tab/>
      </w:r>
      <w:r w:rsidRPr="003D1FFB">
        <w:rPr>
          <w:rFonts w:ascii="Arial" w:hAnsi="Arial" w:cs="Arial"/>
          <w:color w:val="333333"/>
          <w:sz w:val="20"/>
          <w:szCs w:val="20"/>
        </w:rPr>
        <w:tab/>
        <w:t>National Trust of Fiji</w:t>
      </w:r>
    </w:p>
    <w:p w:rsidR="003D1FFB" w:rsidRPr="003D1FFB" w:rsidRDefault="003D1FFB" w:rsidP="003D1FFB">
      <w:pPr>
        <w:shd w:val="clear" w:color="auto" w:fill="FFFFFF"/>
        <w:spacing w:after="0" w:line="240" w:lineRule="auto"/>
        <w:rPr>
          <w:rFonts w:ascii="Arial" w:hAnsi="Arial" w:cs="Arial"/>
          <w:color w:val="333333"/>
          <w:sz w:val="20"/>
          <w:szCs w:val="20"/>
        </w:rPr>
      </w:pPr>
      <w:r w:rsidRPr="003D1FFB">
        <w:rPr>
          <w:rFonts w:ascii="Arial" w:hAnsi="Arial" w:cs="Arial"/>
          <w:color w:val="333333"/>
          <w:sz w:val="20"/>
          <w:szCs w:val="20"/>
        </w:rPr>
        <w:tab/>
      </w:r>
      <w:r w:rsidRPr="003D1FFB">
        <w:rPr>
          <w:rFonts w:ascii="Arial" w:hAnsi="Arial" w:cs="Arial"/>
          <w:color w:val="333333"/>
          <w:sz w:val="20"/>
          <w:szCs w:val="20"/>
        </w:rPr>
        <w:tab/>
      </w:r>
      <w:r w:rsidRPr="003D1FFB">
        <w:rPr>
          <w:rFonts w:ascii="Arial" w:hAnsi="Arial" w:cs="Arial"/>
          <w:color w:val="333333"/>
          <w:sz w:val="20"/>
          <w:szCs w:val="20"/>
        </w:rPr>
        <w:tab/>
      </w:r>
      <w:r w:rsidRPr="003D1FFB">
        <w:rPr>
          <w:rFonts w:ascii="Arial" w:hAnsi="Arial" w:cs="Arial"/>
          <w:color w:val="333333"/>
          <w:sz w:val="20"/>
          <w:szCs w:val="20"/>
        </w:rPr>
        <w:tab/>
        <w:t xml:space="preserve">Suva, Fiji </w:t>
      </w:r>
    </w:p>
    <w:p w:rsidR="003D1FFB" w:rsidRPr="003D1FFB" w:rsidRDefault="003D1FFB" w:rsidP="003D1FFB">
      <w:pPr>
        <w:shd w:val="clear" w:color="auto" w:fill="FFFFFF"/>
        <w:spacing w:after="0" w:line="240" w:lineRule="auto"/>
        <w:rPr>
          <w:rFonts w:ascii="Arial" w:hAnsi="Arial" w:cs="Arial"/>
          <w:color w:val="333333"/>
          <w:sz w:val="20"/>
          <w:szCs w:val="20"/>
        </w:rPr>
      </w:pPr>
      <w:r w:rsidRPr="003D1FFB">
        <w:rPr>
          <w:rFonts w:ascii="Arial" w:hAnsi="Arial" w:cs="Arial"/>
          <w:color w:val="333333"/>
          <w:sz w:val="20"/>
          <w:szCs w:val="20"/>
        </w:rPr>
        <w:tab/>
      </w:r>
      <w:r w:rsidRPr="003D1FFB">
        <w:rPr>
          <w:rFonts w:ascii="Arial" w:hAnsi="Arial" w:cs="Arial"/>
          <w:color w:val="333333"/>
          <w:sz w:val="20"/>
          <w:szCs w:val="20"/>
        </w:rPr>
        <w:tab/>
      </w:r>
      <w:r w:rsidRPr="003D1FFB">
        <w:rPr>
          <w:rFonts w:ascii="Arial" w:hAnsi="Arial" w:cs="Arial"/>
          <w:color w:val="333333"/>
          <w:sz w:val="20"/>
          <w:szCs w:val="20"/>
        </w:rPr>
        <w:tab/>
      </w:r>
      <w:r w:rsidRPr="003D1FFB">
        <w:rPr>
          <w:rFonts w:ascii="Arial" w:hAnsi="Arial" w:cs="Arial"/>
          <w:color w:val="333333"/>
          <w:sz w:val="20"/>
          <w:szCs w:val="20"/>
        </w:rPr>
        <w:tab/>
        <w:t xml:space="preserve">E-Mail: </w:t>
      </w:r>
      <w:hyperlink r:id="rId8" w:history="1">
        <w:r w:rsidRPr="003D1FFB">
          <w:rPr>
            <w:rStyle w:val="Hyperlink"/>
            <w:rFonts w:ascii="Arial" w:hAnsi="Arial" w:cs="Arial"/>
            <w:sz w:val="20"/>
            <w:szCs w:val="20"/>
          </w:rPr>
          <w:t>eerasito@nationaltrust.org.fiji</w:t>
        </w:r>
      </w:hyperlink>
    </w:p>
    <w:p w:rsidR="00624DBD" w:rsidRPr="003D1FFB" w:rsidRDefault="00624DBD" w:rsidP="003D1FFB">
      <w:pPr>
        <w:spacing w:after="0" w:line="240" w:lineRule="auto"/>
        <w:rPr>
          <w:sz w:val="20"/>
          <w:szCs w:val="20"/>
        </w:rPr>
      </w:pPr>
    </w:p>
    <w:p w:rsidR="00624DBD" w:rsidRDefault="00624DBD" w:rsidP="003D1FFB">
      <w:pPr>
        <w:spacing w:after="0"/>
      </w:pPr>
    </w:p>
    <w:p w:rsidR="00624DBD" w:rsidRDefault="00624DBD">
      <w:pPr>
        <w:rPr>
          <w:rStyle w:val="Heading1Char"/>
        </w:rPr>
      </w:pPr>
    </w:p>
    <w:p w:rsidR="00624DBD" w:rsidRDefault="00624DBD">
      <w:r w:rsidRPr="00624DBD">
        <w:rPr>
          <w:rStyle w:val="Heading1Char"/>
        </w:rPr>
        <w:t>Lead implementing agency</w:t>
      </w:r>
      <w:r>
        <w:t xml:space="preserve">: </w:t>
      </w:r>
      <w:r w:rsidR="003D1FFB">
        <w:t>Department of Environment</w:t>
      </w:r>
    </w:p>
    <w:p w:rsidR="00624DBD" w:rsidRDefault="00624DBD"/>
    <w:p w:rsidR="00624DBD" w:rsidRDefault="00624DBD">
      <w:pPr>
        <w:rPr>
          <w:rStyle w:val="Heading1Char"/>
        </w:rPr>
      </w:pPr>
    </w:p>
    <w:p w:rsidR="00624DBD" w:rsidRDefault="00624DBD">
      <w:r w:rsidRPr="00624DBD">
        <w:rPr>
          <w:rStyle w:val="Heading1Char"/>
        </w:rPr>
        <w:t>Multi-stakeholder committee</w:t>
      </w:r>
      <w:r w:rsidR="003D1FFB">
        <w:t xml:space="preserve">: </w:t>
      </w:r>
    </w:p>
    <w:p w:rsidR="003D1FFB" w:rsidRDefault="003D1FFB" w:rsidP="003D1FFB">
      <w:pPr>
        <w:autoSpaceDE w:val="0"/>
        <w:autoSpaceDN w:val="0"/>
        <w:adjustRightInd w:val="0"/>
        <w:jc w:val="both"/>
      </w:pPr>
      <w:r w:rsidRPr="00CD0AAF">
        <w:t xml:space="preserve">The Fiji national Protected Area Committee (PAC) was established in 2008 under section 8(2) of </w:t>
      </w:r>
      <w:smartTag w:uri="urn:schemas-microsoft-com:office:smarttags" w:element="country-region">
        <w:r w:rsidRPr="00CD0AAF">
          <w:t>Fiji</w:t>
        </w:r>
      </w:smartTag>
      <w:r w:rsidRPr="00CD0AAF">
        <w:t xml:space="preserve">'s </w:t>
      </w:r>
      <w:r w:rsidRPr="00CD0AAF">
        <w:rPr>
          <w:i/>
          <w:iCs/>
        </w:rPr>
        <w:t xml:space="preserve">Environment Management Act 2005 </w:t>
      </w:r>
      <w:r w:rsidRPr="00CD0AAF">
        <w:t xml:space="preserve">in order to advance </w:t>
      </w:r>
      <w:smartTag w:uri="urn:schemas-microsoft-com:office:smarttags" w:element="place">
        <w:smartTag w:uri="urn:schemas-microsoft-com:office:smarttags" w:element="country-region">
          <w:r w:rsidRPr="00CD0AAF">
            <w:t>Fiji</w:t>
          </w:r>
        </w:smartTag>
      </w:smartTag>
      <w:r w:rsidRPr="00CD0AAF">
        <w:t xml:space="preserve">'s commitments under the Convention on Biological Diversity (CBD)'s Programme of Work on Protected Areas (PoWPA). To date, the PAC has: established national targets for conservation and management; collated existing and new data on species and habitats; identified current protected area boundaries; and determined how much of </w:t>
      </w:r>
      <w:smartTag w:uri="urn:schemas-microsoft-com:office:smarttags" w:element="country-region">
        <w:smartTag w:uri="urn:schemas-microsoft-com:office:smarttags" w:element="place">
          <w:r w:rsidRPr="00CD0AAF">
            <w:t>Fiji</w:t>
          </w:r>
        </w:smartTag>
      </w:smartTag>
      <w:r w:rsidRPr="00CD0AAF">
        <w:t>'s biodiversity is currently protected through terrestrial and marine gap analyses.</w:t>
      </w:r>
    </w:p>
    <w:p w:rsidR="003D1FFB" w:rsidRDefault="003D1FFB" w:rsidP="003D1FFB">
      <w:pPr>
        <w:autoSpaceDE w:val="0"/>
        <w:autoSpaceDN w:val="0"/>
        <w:adjustRightInd w:val="0"/>
        <w:jc w:val="both"/>
      </w:pPr>
    </w:p>
    <w:p w:rsidR="00624DBD" w:rsidRDefault="00624DBD"/>
    <w:p w:rsidR="00A67B93" w:rsidRDefault="00A67B93">
      <w:pPr>
        <w:rPr>
          <w:rStyle w:val="Heading1Char"/>
        </w:rPr>
      </w:pPr>
      <w:r>
        <w:rPr>
          <w:rStyle w:val="Heading1Char"/>
        </w:rPr>
        <w:br w:type="page"/>
      </w:r>
    </w:p>
    <w:p w:rsidR="00A06786" w:rsidRDefault="00A06786" w:rsidP="00A06786">
      <w:pPr>
        <w:pStyle w:val="Title"/>
      </w:pPr>
      <w:r>
        <w:lastRenderedPageBreak/>
        <w:t>Description of protected area system</w:t>
      </w:r>
    </w:p>
    <w:p w:rsidR="00A06786" w:rsidRDefault="00A06786" w:rsidP="00A06786">
      <w:pPr>
        <w:pStyle w:val="Heading1"/>
      </w:pPr>
      <w:r>
        <w:t xml:space="preserve">National Targets and Vision for Protected Areas </w:t>
      </w:r>
    </w:p>
    <w:p w:rsidR="00A06786" w:rsidRPr="009446B3" w:rsidRDefault="00A06786" w:rsidP="00A06786">
      <w:pPr>
        <w:rPr>
          <w:i/>
        </w:rPr>
      </w:pPr>
      <w:r w:rsidRPr="009446B3">
        <w:rPr>
          <w:i/>
        </w:rPr>
        <w:t>(Insert national targets for protected areas/Target 11 of the Aichi Targets. Include rationale from protected area gap assessment, if completed, along with any additional information about the vision for the protected area system, including statements about the value of the protected area system to the country)</w:t>
      </w:r>
    </w:p>
    <w:p w:rsidR="009446B3" w:rsidRDefault="009446B3" w:rsidP="009446B3">
      <w:pPr>
        <w:spacing w:before="100" w:beforeAutospacing="1" w:after="100" w:afterAutospacing="1"/>
      </w:pPr>
      <w:r>
        <w:rPr>
          <w:rFonts w:ascii="Calibri" w:hAnsi="Calibri" w:cs="Calibri"/>
          <w:lang w:val="en-GB"/>
        </w:rPr>
        <w:t xml:space="preserve">Fiji has a rudimentary system of protected areas, however, none of the areas have been selected on the basis of ecological knowledge or biodiversity values. Nonetheless, these sites in combination with other priority sites which have been identified for their biodiversity values, have the potential to provide the basis of a representative system of protected areas. The intention is for the representative system of protected areas to be augmented by a large number and variety of protected areas which are important at the provincial or local level. </w:t>
      </w:r>
    </w:p>
    <w:p w:rsidR="009446B3" w:rsidRDefault="009446B3" w:rsidP="009446B3">
      <w:pPr>
        <w:pStyle w:val="BodyText2"/>
      </w:pPr>
      <w:r>
        <w:rPr>
          <w:rFonts w:ascii="Calibri" w:hAnsi="Calibri" w:cs="Calibri"/>
          <w:sz w:val="22"/>
          <w:szCs w:val="22"/>
          <w:lang w:val="en-GB"/>
        </w:rPr>
        <w:t>Most of the priority sites have been identified for a long time but progress in the development of the proposals has been very slow. One of the major constraints is that at least five government departments or agencies are involved in protected area management. A priority clearly is to establish a practical institutional arrangement with clearly defined responsibilities. It is important that the landowners and/or traditional fishing rights owners (TFROs) are directly involved in the management and development of these sites. The current interest in and expansion in the number of ecotourism developments has the potential to deliver such benefits directly to landowners and TFROs.</w:t>
      </w:r>
    </w:p>
    <w:p w:rsidR="003D1FFB" w:rsidRPr="00E31AF6" w:rsidRDefault="003D1FFB" w:rsidP="003D1FFB">
      <w:r w:rsidRPr="00892D65">
        <w:t>According to World data base on Protected Areas, as on 2010 while 1.34% of Fiji’s terrestrial</w:t>
      </w:r>
      <w:r w:rsidRPr="00E31AF6">
        <w:t xml:space="preserve"> </w:t>
      </w:r>
      <w:r w:rsidRPr="00892D65">
        <w:t>surface</w:t>
      </w:r>
      <w:r w:rsidRPr="00E31AF6">
        <w:t xml:space="preserve"> is  </w:t>
      </w:r>
      <w:r w:rsidRPr="00892D65">
        <w:t>protected</w:t>
      </w:r>
      <w:r w:rsidRPr="00E31AF6">
        <w:t xml:space="preserve">  </w:t>
      </w:r>
      <w:r w:rsidRPr="00892D65">
        <w:t>only</w:t>
      </w:r>
      <w:r w:rsidRPr="00E31AF6">
        <w:t xml:space="preserve"> 0.06% </w:t>
      </w:r>
      <w:r w:rsidRPr="00892D65">
        <w:t>of</w:t>
      </w:r>
      <w:r w:rsidRPr="00E31AF6">
        <w:t xml:space="preserve"> </w:t>
      </w:r>
      <w:r w:rsidRPr="00892D65">
        <w:t>its</w:t>
      </w:r>
      <w:r w:rsidRPr="00E31AF6">
        <w:t xml:space="preserve"> territorial Waters are </w:t>
      </w:r>
      <w:r w:rsidRPr="00892D65">
        <w:t>protected</w:t>
      </w:r>
      <w:r w:rsidRPr="00E31AF6">
        <w:t>.</w:t>
      </w:r>
    </w:p>
    <w:p w:rsidR="003D1FFB" w:rsidRPr="00E31AF6" w:rsidRDefault="003D1FFB" w:rsidP="003D1FFB">
      <w:r w:rsidRPr="00892D65">
        <w:t>Based</w:t>
      </w:r>
      <w:r w:rsidRPr="00E31AF6">
        <w:t xml:space="preserve"> </w:t>
      </w:r>
      <w:r w:rsidRPr="00892D65">
        <w:t>on</w:t>
      </w:r>
      <w:r w:rsidRPr="00E31AF6">
        <w:t xml:space="preserve"> </w:t>
      </w:r>
      <w:r w:rsidRPr="00892D65">
        <w:t>ecological</w:t>
      </w:r>
      <w:r w:rsidRPr="00E31AF6">
        <w:t xml:space="preserve">  </w:t>
      </w:r>
      <w:r w:rsidRPr="005433EC">
        <w:t>gap</w:t>
      </w:r>
      <w:r w:rsidRPr="00E31AF6">
        <w:t xml:space="preserve"> análisis </w:t>
      </w:r>
      <w:r w:rsidRPr="005433EC">
        <w:t>and</w:t>
      </w:r>
      <w:r w:rsidRPr="00E31AF6">
        <w:t xml:space="preserve"> </w:t>
      </w:r>
      <w:r w:rsidRPr="005433EC">
        <w:t>other</w:t>
      </w:r>
      <w:r w:rsidRPr="00E31AF6">
        <w:t xml:space="preserve"> </w:t>
      </w:r>
      <w:r w:rsidRPr="005433EC">
        <w:t>assessments</w:t>
      </w:r>
      <w:r w:rsidRPr="00E31AF6">
        <w:t xml:space="preserve">  </w:t>
      </w:r>
      <w:r w:rsidRPr="005433EC">
        <w:t>conducted</w:t>
      </w:r>
      <w:r w:rsidRPr="00E31AF6">
        <w:t xml:space="preserve"> </w:t>
      </w:r>
      <w:r w:rsidRPr="005433EC">
        <w:t>under</w:t>
      </w:r>
      <w:r w:rsidRPr="00E31AF6">
        <w:t xml:space="preserve"> </w:t>
      </w:r>
      <w:r w:rsidRPr="005433EC">
        <w:t>PoWPA</w:t>
      </w:r>
      <w:r w:rsidRPr="00E31AF6">
        <w:t xml:space="preserve"> </w:t>
      </w:r>
      <w:r w:rsidRPr="005433EC">
        <w:t>the</w:t>
      </w:r>
      <w:r w:rsidRPr="00E31AF6">
        <w:t xml:space="preserve"> </w:t>
      </w:r>
      <w:r w:rsidRPr="005433EC">
        <w:t>realistic</w:t>
      </w:r>
      <w:r w:rsidRPr="00E31AF6">
        <w:t xml:space="preserve"> nacional targets  </w:t>
      </w:r>
      <w:r w:rsidRPr="005433EC">
        <w:t>for</w:t>
      </w:r>
      <w:r w:rsidRPr="00E31AF6">
        <w:t xml:space="preserve"> </w:t>
      </w:r>
      <w:r w:rsidRPr="005433EC">
        <w:t>terrestrial</w:t>
      </w:r>
      <w:r w:rsidRPr="00E31AF6">
        <w:t xml:space="preserve"> </w:t>
      </w:r>
      <w:r w:rsidRPr="005433EC">
        <w:t>and</w:t>
      </w:r>
      <w:r w:rsidRPr="00E31AF6">
        <w:t xml:space="preserve"> marine </w:t>
      </w:r>
      <w:r w:rsidRPr="005433EC">
        <w:t>areas</w:t>
      </w:r>
      <w:r w:rsidRPr="00E31AF6">
        <w:t xml:space="preserve">  </w:t>
      </w:r>
      <w:r w:rsidRPr="005433EC">
        <w:t>for</w:t>
      </w:r>
      <w:r w:rsidRPr="00E31AF6">
        <w:t xml:space="preserve"> </w:t>
      </w:r>
      <w:r w:rsidRPr="005433EC">
        <w:t>target</w:t>
      </w:r>
      <w:r w:rsidRPr="00E31AF6">
        <w:t xml:space="preserve"> 11 are   30% marine and 20 % </w:t>
      </w:r>
      <w:r w:rsidRPr="005433EC">
        <w:t>terrestrial</w:t>
      </w:r>
      <w:r w:rsidRPr="00E31AF6">
        <w:t xml:space="preserve"> by 2020:</w:t>
      </w:r>
    </w:p>
    <w:p w:rsidR="003D1FFB" w:rsidRPr="00E31AF6" w:rsidRDefault="003D1FFB" w:rsidP="003D1FFB">
      <w:pPr>
        <w:rPr>
          <w:rFonts w:ascii="Arial" w:hAnsi="Arial" w:cs="Arial"/>
          <w:sz w:val="20"/>
          <w:szCs w:val="20"/>
        </w:rPr>
      </w:pPr>
    </w:p>
    <w:p w:rsidR="00A06786" w:rsidRDefault="00A06786">
      <w:pPr>
        <w:rPr>
          <w:rStyle w:val="Heading1Char"/>
        </w:rPr>
      </w:pPr>
    </w:p>
    <w:p w:rsidR="00A06786" w:rsidRDefault="00A67B93">
      <w:r w:rsidRPr="00A06786">
        <w:rPr>
          <w:rStyle w:val="Heading1Char"/>
        </w:rPr>
        <w:t>Coverage</w:t>
      </w:r>
      <w:r>
        <w:t xml:space="preserve"> </w:t>
      </w:r>
    </w:p>
    <w:p w:rsidR="00624DBD" w:rsidRDefault="00624DBD">
      <w:r>
        <w:t>(Amount and % protected for terrestrial and marine</w:t>
      </w:r>
      <w:r w:rsidR="00A67B93">
        <w:t>; maps of protected area system</w:t>
      </w:r>
      <w:r>
        <w:t>)</w:t>
      </w:r>
    </w:p>
    <w:p w:rsidR="003D1FFB" w:rsidRDefault="003D1FFB" w:rsidP="003D1FFB">
      <w:pPr>
        <w:autoSpaceDE w:val="0"/>
        <w:autoSpaceDN w:val="0"/>
        <w:adjustRightInd w:val="0"/>
        <w:spacing w:after="0" w:line="240" w:lineRule="auto"/>
        <w:jc w:val="both"/>
      </w:pPr>
      <w:r>
        <w:t>T</w:t>
      </w:r>
      <w:r w:rsidRPr="00811936">
        <w:t>otal country area:</w:t>
      </w:r>
      <w:r w:rsidRPr="00811936">
        <w:tab/>
      </w:r>
      <w:r>
        <w:t>18,333 sq/km</w:t>
      </w:r>
      <w:r w:rsidRPr="00811936">
        <w:tab/>
      </w:r>
    </w:p>
    <w:p w:rsidR="003D1FFB" w:rsidRDefault="003D1FFB" w:rsidP="003D1FFB">
      <w:pPr>
        <w:autoSpaceDE w:val="0"/>
        <w:autoSpaceDN w:val="0"/>
        <w:adjustRightInd w:val="0"/>
        <w:spacing w:after="0" w:line="240" w:lineRule="auto"/>
        <w:jc w:val="both"/>
      </w:pPr>
    </w:p>
    <w:p w:rsidR="003D1FFB" w:rsidRDefault="003D1FFB" w:rsidP="003D1FFB">
      <w:pPr>
        <w:autoSpaceDE w:val="0"/>
        <w:autoSpaceDN w:val="0"/>
        <w:adjustRightInd w:val="0"/>
        <w:spacing w:after="0" w:line="240" w:lineRule="auto"/>
        <w:jc w:val="both"/>
      </w:pPr>
      <w:r w:rsidRPr="00811936">
        <w:t>% terrestrial area protected:</w:t>
      </w:r>
      <w:r w:rsidRPr="00811936">
        <w:tab/>
      </w:r>
      <w:r>
        <w:t>2.9</w:t>
      </w:r>
    </w:p>
    <w:p w:rsidR="003D1FFB" w:rsidRDefault="003D1FFB" w:rsidP="003D1FFB">
      <w:pPr>
        <w:autoSpaceDE w:val="0"/>
        <w:autoSpaceDN w:val="0"/>
        <w:adjustRightInd w:val="0"/>
        <w:spacing w:after="0" w:line="240" w:lineRule="auto"/>
        <w:jc w:val="both"/>
      </w:pPr>
    </w:p>
    <w:p w:rsidR="00A06786" w:rsidRDefault="003D1FFB" w:rsidP="00527ED6">
      <w:pPr>
        <w:autoSpaceDE w:val="0"/>
        <w:autoSpaceDN w:val="0"/>
        <w:adjustRightInd w:val="0"/>
        <w:spacing w:after="0" w:line="240" w:lineRule="auto"/>
        <w:jc w:val="both"/>
      </w:pPr>
      <w:r w:rsidRPr="00811936">
        <w:t>%</w:t>
      </w:r>
      <w:r>
        <w:t xml:space="preserve"> </w:t>
      </w:r>
      <w:r w:rsidRPr="00811936">
        <w:t>territorial waters protected:</w:t>
      </w:r>
      <w:r w:rsidRPr="00811936">
        <w:tab/>
      </w:r>
      <w:r w:rsidR="00527ED6">
        <w:t>1.2% of EEZ    12% inshore within traditional fisheries managed areas</w:t>
      </w:r>
    </w:p>
    <w:p w:rsidR="00527ED6" w:rsidRDefault="00527ED6" w:rsidP="00527ED6">
      <w:pPr>
        <w:autoSpaceDE w:val="0"/>
        <w:autoSpaceDN w:val="0"/>
        <w:adjustRightInd w:val="0"/>
        <w:spacing w:after="0" w:line="240" w:lineRule="auto"/>
        <w:jc w:val="both"/>
      </w:pPr>
    </w:p>
    <w:p w:rsidR="00A06786" w:rsidRDefault="00A67B93">
      <w:r w:rsidRPr="00A06786">
        <w:rPr>
          <w:rStyle w:val="Heading1Char"/>
        </w:rPr>
        <w:t>Description and background</w:t>
      </w:r>
      <w:r>
        <w:t xml:space="preserve"> </w:t>
      </w:r>
    </w:p>
    <w:p w:rsidR="00A67B93" w:rsidRDefault="00A67B93">
      <w:r>
        <w:t>(</w:t>
      </w:r>
      <w:r w:rsidR="00A06786">
        <w:t>Summary description)</w:t>
      </w:r>
    </w:p>
    <w:p w:rsidR="003D1FFB" w:rsidRDefault="003D1FFB" w:rsidP="003D1FFB">
      <w:pPr>
        <w:jc w:val="both"/>
      </w:pPr>
      <w:smartTag w:uri="urn:schemas-microsoft-com:office:smarttags" w:element="country-region">
        <w:smartTag w:uri="urn:schemas-microsoft-com:office:smarttags" w:element="place">
          <w:r w:rsidRPr="005433EC">
            <w:t>Fiji</w:t>
          </w:r>
        </w:smartTag>
      </w:smartTag>
      <w:r w:rsidRPr="005433EC">
        <w:t xml:space="preserve"> has 48 terrestrial protected areas covering 488 km2 or 2.7% of the nation’s land area (Chape </w:t>
      </w:r>
      <w:r w:rsidRPr="005433EC">
        <w:rPr>
          <w:i/>
        </w:rPr>
        <w:t xml:space="preserve">et </w:t>
      </w:r>
      <w:r w:rsidRPr="005433EC">
        <w:t>al 2008). Eight Nature Reserves</w:t>
      </w:r>
      <w:r w:rsidRPr="005433EC">
        <w:rPr>
          <w:rStyle w:val="FootnoteReference"/>
        </w:rPr>
        <w:footnoteReference w:id="1"/>
      </w:r>
      <w:r w:rsidRPr="005433EC">
        <w:t xml:space="preserve"> were established under Forestry legislation in the 1950-60s – all of these remain but they have never received any formal conservation management. Only three of these have ecological significance – Ravilevu, Tomanivi and Savura. The Ravilevu NR and the Tomanivi NR are currently under advanced plans for de-reservation and a return to native land tenure.In 1972 a UNDP/</w:t>
      </w:r>
      <w:smartTag w:uri="urn:schemas-microsoft-com:office:smarttags" w:element="PersonName">
        <w:r w:rsidRPr="005433EC">
          <w:t>World Bank</w:t>
        </w:r>
      </w:smartTag>
      <w:r w:rsidRPr="005433EC">
        <w:t xml:space="preserve"> Tourism study recommended eight protected forest areas. </w:t>
      </w:r>
    </w:p>
    <w:p w:rsidR="003D1FFB" w:rsidRPr="005433EC" w:rsidRDefault="003D1FFB" w:rsidP="003D1FFB">
      <w:pPr>
        <w:jc w:val="both"/>
      </w:pPr>
    </w:p>
    <w:p w:rsidR="003D1FFB" w:rsidRPr="005433EC" w:rsidRDefault="003D1FFB" w:rsidP="003D1FFB">
      <w:pPr>
        <w:jc w:val="both"/>
      </w:pPr>
      <w:r w:rsidRPr="005433EC">
        <w:t xml:space="preserve">Eight years later the National Trust for </w:t>
      </w:r>
      <w:smartTag w:uri="urn:schemas-microsoft-com:office:smarttags" w:element="place">
        <w:smartTag w:uri="urn:schemas-microsoft-com:office:smarttags" w:element="country-region">
          <w:r w:rsidRPr="005433EC">
            <w:t>Fiji</w:t>
          </w:r>
        </w:smartTag>
      </w:smartTag>
      <w:r w:rsidRPr="005433EC">
        <w:t xml:space="preserve"> and WWF produced a landmark report detailing a proposed system of national parks and reserves along with information on how to establish, develop and manage them (Dunlap &amp; Singh 1980). The report provided definitions for protected areas, guidelines for prioritising them and made recommendations for sites based on ecological and heritage values. A total of 88 terrestrial and marine sites were identified in seven planning regions. The report promoted ‘ecodevelopment’ for </w:t>
      </w:r>
      <w:smartTag w:uri="urn:schemas-microsoft-com:office:smarttags" w:element="country-region">
        <w:smartTag w:uri="urn:schemas-microsoft-com:office:smarttags" w:element="place">
          <w:r w:rsidRPr="005433EC">
            <w:t>Fiji</w:t>
          </w:r>
        </w:smartTag>
      </w:smartTag>
      <w:r w:rsidRPr="005433EC">
        <w:t xml:space="preserve"> and provided a Draft Act for the establishment of national parks and reserves. None of the recommendations have ever been fully implemented.</w:t>
      </w:r>
    </w:p>
    <w:p w:rsidR="003D1FFB" w:rsidRPr="009446B3" w:rsidRDefault="003D1FFB" w:rsidP="003D1FFB">
      <w:pPr>
        <w:pStyle w:val="ECFBodyCharChar"/>
        <w:rPr>
          <w:rFonts w:asciiTheme="minorHAnsi" w:hAnsiTheme="minorHAnsi" w:cstheme="minorHAnsi"/>
          <w:sz w:val="22"/>
          <w:szCs w:val="22"/>
        </w:rPr>
      </w:pPr>
      <w:r w:rsidRPr="009446B3">
        <w:rPr>
          <w:rFonts w:asciiTheme="minorHAnsi" w:hAnsiTheme="minorHAnsi" w:cstheme="minorHAnsi"/>
          <w:sz w:val="22"/>
          <w:szCs w:val="22"/>
        </w:rPr>
        <w:t xml:space="preserve">In the mid 1970s the Namenalala island reserve was established – a landmark Native Land Trust Board-brokered lease for a combination of resort development (restricted to 6 acres) and conservation (the remaining 50 acres of the island). This was followed in 1980 by an informal agreement with the landowners for sanctuary status for Yadua Taba island. 24 years later, the island was formally leased from the landowners to the National Trust as a protected area.The J H Garrick Memorial Park, comprising  426 ha of lowland forest on freehold land in the Deuba-Namosi area, was donated to the State in 1983 and is now managed by the National Trust. </w:t>
      </w:r>
    </w:p>
    <w:p w:rsidR="003D1FFB" w:rsidRPr="009446B3" w:rsidRDefault="003D1FFB" w:rsidP="003D1FFB">
      <w:pPr>
        <w:pStyle w:val="ECFBodyCharChar"/>
        <w:rPr>
          <w:rFonts w:asciiTheme="minorHAnsi" w:hAnsiTheme="minorHAnsi" w:cstheme="minorHAnsi"/>
          <w:sz w:val="22"/>
          <w:szCs w:val="22"/>
        </w:rPr>
      </w:pPr>
      <w:r w:rsidRPr="009446B3">
        <w:rPr>
          <w:rFonts w:asciiTheme="minorHAnsi" w:hAnsiTheme="minorHAnsi" w:cstheme="minorHAnsi"/>
          <w:sz w:val="22"/>
          <w:szCs w:val="22"/>
        </w:rPr>
        <w:t xml:space="preserve">In 1988, the Native Lands Trust Board (NLTB) supported the first serious ecosystem-based study for forest conservation areas, nominating 15 sites for protection (Maruia Society 1988). Three of these sites have been set aside from logging, including – importantly – </w:t>
      </w:r>
      <w:smartTag w:uri="urn:schemas-microsoft-com:office:smarttags" w:element="place">
        <w:smartTag w:uri="urn:schemas-microsoft-com:office:smarttags" w:element="PlaceName">
          <w:r w:rsidRPr="009446B3">
            <w:rPr>
              <w:rFonts w:asciiTheme="minorHAnsi" w:hAnsiTheme="minorHAnsi" w:cstheme="minorHAnsi"/>
              <w:sz w:val="22"/>
              <w:szCs w:val="22"/>
            </w:rPr>
            <w:t>Sovi</w:t>
          </w:r>
        </w:smartTag>
        <w:r w:rsidRPr="009446B3">
          <w:rPr>
            <w:rFonts w:asciiTheme="minorHAnsi" w:hAnsiTheme="minorHAnsi" w:cstheme="minorHAnsi"/>
            <w:sz w:val="22"/>
            <w:szCs w:val="22"/>
          </w:rPr>
          <w:t xml:space="preserve"> </w:t>
        </w:r>
        <w:smartTag w:uri="urn:schemas-microsoft-com:office:smarttags" w:element="PlaceType">
          <w:r w:rsidRPr="009446B3">
            <w:rPr>
              <w:rFonts w:asciiTheme="minorHAnsi" w:hAnsiTheme="minorHAnsi" w:cstheme="minorHAnsi"/>
              <w:sz w:val="22"/>
              <w:szCs w:val="22"/>
            </w:rPr>
            <w:t>Basin</w:t>
          </w:r>
        </w:smartTag>
      </w:smartTag>
      <w:r w:rsidRPr="009446B3">
        <w:rPr>
          <w:rFonts w:asciiTheme="minorHAnsi" w:hAnsiTheme="minorHAnsi" w:cstheme="minorHAnsi"/>
          <w:sz w:val="22"/>
          <w:szCs w:val="22"/>
        </w:rPr>
        <w:t>, but management of the other sites is unchanged. Logging has taken place in several of the recommended conservation areas. In the same year, Cabinet passed a Decree for the establishment of the Sigatoka Sand Dunes National Park.</w:t>
      </w:r>
    </w:p>
    <w:p w:rsidR="003D1FFB" w:rsidRPr="009446B3" w:rsidRDefault="003D1FFB" w:rsidP="003D1FFB">
      <w:pPr>
        <w:pStyle w:val="ECFBodyCharChar"/>
        <w:rPr>
          <w:rFonts w:asciiTheme="minorHAnsi" w:hAnsiTheme="minorHAnsi" w:cstheme="minorHAnsi"/>
          <w:sz w:val="22"/>
          <w:szCs w:val="22"/>
        </w:rPr>
      </w:pPr>
      <w:r w:rsidRPr="009446B3">
        <w:rPr>
          <w:rFonts w:asciiTheme="minorHAnsi" w:hAnsiTheme="minorHAnsi" w:cstheme="minorHAnsi"/>
          <w:sz w:val="22"/>
          <w:szCs w:val="22"/>
        </w:rPr>
        <w:t xml:space="preserve">Four years after this study, the 1992 State of Environment Report noted that although neighbouring Pacific nations had internationally recognised protected areas, Fiji had none: </w:t>
      </w:r>
      <w:r w:rsidRPr="009446B3">
        <w:rPr>
          <w:rFonts w:asciiTheme="minorHAnsi" w:hAnsiTheme="minorHAnsi" w:cstheme="minorHAnsi"/>
          <w:i/>
          <w:sz w:val="22"/>
          <w:szCs w:val="22"/>
        </w:rPr>
        <w:t>‘Unless a system …….. is set up quickly valuable aspects of Fijian heritage, both natural and cultural, will be lost.’</w:t>
      </w:r>
      <w:r w:rsidRPr="009446B3">
        <w:rPr>
          <w:rFonts w:asciiTheme="minorHAnsi" w:hAnsiTheme="minorHAnsi" w:cstheme="minorHAnsi"/>
          <w:sz w:val="22"/>
          <w:szCs w:val="22"/>
        </w:rPr>
        <w:t xml:space="preserve"> The report noted that: </w:t>
      </w:r>
    </w:p>
    <w:p w:rsidR="003D1FFB" w:rsidRPr="00B311BC" w:rsidRDefault="003D1FFB" w:rsidP="003D1FFB">
      <w:pPr>
        <w:numPr>
          <w:ilvl w:val="0"/>
          <w:numId w:val="8"/>
        </w:numPr>
        <w:autoSpaceDE w:val="0"/>
        <w:autoSpaceDN w:val="0"/>
        <w:adjustRightInd w:val="0"/>
        <w:spacing w:after="0" w:line="240" w:lineRule="auto"/>
        <w:jc w:val="both"/>
      </w:pPr>
      <w:r w:rsidRPr="00B311BC">
        <w:t xml:space="preserve">Protection forests (a Forestry Dept. classification with no legal standing) had no long term security for conservation </w:t>
      </w:r>
    </w:p>
    <w:p w:rsidR="003D1FFB" w:rsidRPr="00B311BC" w:rsidRDefault="003D1FFB" w:rsidP="003D1FFB">
      <w:pPr>
        <w:numPr>
          <w:ilvl w:val="0"/>
          <w:numId w:val="8"/>
        </w:numPr>
        <w:autoSpaceDE w:val="0"/>
        <w:autoSpaceDN w:val="0"/>
        <w:adjustRightInd w:val="0"/>
        <w:spacing w:after="0" w:line="240" w:lineRule="auto"/>
        <w:jc w:val="both"/>
      </w:pPr>
      <w:smartTag w:uri="urn:schemas-microsoft-com:office:smarttags" w:element="place">
        <w:r w:rsidRPr="00B311BC">
          <w:t>Forest</w:t>
        </w:r>
      </w:smartTag>
      <w:r w:rsidRPr="00B311BC">
        <w:t xml:space="preserve"> and Nature Reserves are under departmental and not national authority with inadequate legislation and institutional support to resist political or social pressure.</w:t>
      </w:r>
    </w:p>
    <w:p w:rsidR="003D1FFB" w:rsidRPr="00B311BC" w:rsidRDefault="003D1FFB" w:rsidP="003D1FFB">
      <w:pPr>
        <w:numPr>
          <w:ilvl w:val="0"/>
          <w:numId w:val="8"/>
        </w:numPr>
        <w:autoSpaceDE w:val="0"/>
        <w:autoSpaceDN w:val="0"/>
        <w:adjustRightInd w:val="0"/>
        <w:spacing w:after="0" w:line="240" w:lineRule="auto"/>
        <w:jc w:val="both"/>
      </w:pPr>
      <w:r w:rsidRPr="00B311BC">
        <w:t>De-reservation of Forest Reserves had increased in recent years.</w:t>
      </w:r>
    </w:p>
    <w:p w:rsidR="003D1FFB" w:rsidRPr="00B311BC" w:rsidRDefault="003D1FFB" w:rsidP="003D1FFB">
      <w:pPr>
        <w:numPr>
          <w:ilvl w:val="0"/>
          <w:numId w:val="8"/>
        </w:numPr>
        <w:autoSpaceDE w:val="0"/>
        <w:autoSpaceDN w:val="0"/>
        <w:adjustRightInd w:val="0"/>
        <w:spacing w:after="0" w:line="240" w:lineRule="auto"/>
        <w:jc w:val="both"/>
      </w:pPr>
      <w:r w:rsidRPr="00B311BC">
        <w:t>Because of the land ownership system and lack of economic returns to landowners, current reserves had no long term security.</w:t>
      </w:r>
    </w:p>
    <w:p w:rsidR="003D1FFB" w:rsidRPr="00B311BC" w:rsidRDefault="003D1FFB" w:rsidP="003D1FFB">
      <w:pPr>
        <w:numPr>
          <w:ilvl w:val="0"/>
          <w:numId w:val="8"/>
        </w:numPr>
        <w:autoSpaceDE w:val="0"/>
        <w:autoSpaceDN w:val="0"/>
        <w:adjustRightInd w:val="0"/>
        <w:spacing w:after="0" w:line="240" w:lineRule="auto"/>
        <w:jc w:val="both"/>
      </w:pPr>
      <w:r w:rsidRPr="00B311BC">
        <w:t>Planning and limited attempts at implementation of reserves had been made by at least four institutions with inadequate objectives and co-ordination.</w:t>
      </w:r>
    </w:p>
    <w:p w:rsidR="003D1FFB" w:rsidRPr="00B311BC" w:rsidRDefault="003D1FFB" w:rsidP="003D1FFB">
      <w:pPr>
        <w:numPr>
          <w:ilvl w:val="0"/>
          <w:numId w:val="8"/>
        </w:numPr>
        <w:autoSpaceDE w:val="0"/>
        <w:autoSpaceDN w:val="0"/>
        <w:adjustRightInd w:val="0"/>
        <w:spacing w:after="0" w:line="240" w:lineRule="auto"/>
        <w:jc w:val="both"/>
      </w:pPr>
      <w:r w:rsidRPr="00B311BC">
        <w:t xml:space="preserve">With inaction </w:t>
      </w:r>
      <w:smartTag w:uri="urn:schemas-microsoft-com:office:smarttags" w:element="place">
        <w:smartTag w:uri="urn:schemas-microsoft-com:office:smarttags" w:element="country-region">
          <w:r w:rsidRPr="00B311BC">
            <w:t>Fiji</w:t>
          </w:r>
        </w:smartTag>
      </w:smartTag>
      <w:r w:rsidRPr="00B311BC">
        <w:t xml:space="preserve"> risks the danger of picking up pieces that are left – without any basis of ecological or heritage values.</w:t>
      </w:r>
    </w:p>
    <w:p w:rsidR="003D1FFB" w:rsidRPr="009446B3" w:rsidRDefault="003D1FFB" w:rsidP="003D1FFB">
      <w:pPr>
        <w:pStyle w:val="ECFBodyCharChar"/>
        <w:rPr>
          <w:rFonts w:asciiTheme="minorHAnsi" w:hAnsiTheme="minorHAnsi" w:cstheme="minorHAnsi"/>
          <w:sz w:val="22"/>
          <w:szCs w:val="22"/>
        </w:rPr>
      </w:pPr>
      <w:r w:rsidRPr="009446B3">
        <w:rPr>
          <w:rFonts w:asciiTheme="minorHAnsi" w:hAnsiTheme="minorHAnsi" w:cstheme="minorHAnsi"/>
          <w:sz w:val="22"/>
          <w:szCs w:val="22"/>
        </w:rPr>
        <w:t>The associated National Environment Strategy (NES) drew up a list of 140 Sites of National Significance, proposing that a formal legislative process be enacted to give them greater protection from destructive development. In the 15 years since the NES, a several forest areas have been reserved either through formal leasing arrangements with landowners or through informal agreements. Notable among these are Waisali – established through a formal lease in 1996; and the ‘Heritage Parks’ of Bouma and Abaca, the former established as a result of an MoU between the landowners, NLTB, DoF and the New Zealand Government. These latter two areas were the key products of a push from NLTB to establish community-based ecotourism projects associated with forest conservation. They have attracted significant donor funds and Abaca was one of the regional sites of the GEF-Supported South Pacific Biodiversity Conservation Programme.</w:t>
      </w:r>
    </w:p>
    <w:p w:rsidR="003D1FFB" w:rsidRPr="009446B3" w:rsidRDefault="003D1FFB" w:rsidP="003D1FFB">
      <w:pPr>
        <w:pStyle w:val="ECFBodyCharChar"/>
        <w:rPr>
          <w:rFonts w:asciiTheme="minorHAnsi" w:hAnsiTheme="minorHAnsi" w:cstheme="minorHAnsi"/>
          <w:sz w:val="22"/>
          <w:szCs w:val="22"/>
        </w:rPr>
      </w:pPr>
      <w:r w:rsidRPr="009446B3">
        <w:rPr>
          <w:rFonts w:asciiTheme="minorHAnsi" w:hAnsiTheme="minorHAnsi" w:cstheme="minorHAnsi"/>
          <w:sz w:val="22"/>
          <w:szCs w:val="22"/>
        </w:rPr>
        <w:t xml:space="preserve">Significantly, the 20,000-hectare </w:t>
      </w:r>
      <w:smartTag w:uri="urn:schemas-microsoft-com:office:smarttags" w:element="place">
        <w:smartTag w:uri="urn:schemas-microsoft-com:office:smarttags" w:element="PlaceName">
          <w:r w:rsidRPr="009446B3">
            <w:rPr>
              <w:rFonts w:asciiTheme="minorHAnsi" w:hAnsiTheme="minorHAnsi" w:cstheme="minorHAnsi"/>
              <w:sz w:val="22"/>
              <w:szCs w:val="22"/>
            </w:rPr>
            <w:t>Sovi</w:t>
          </w:r>
        </w:smartTag>
        <w:r w:rsidRPr="009446B3">
          <w:rPr>
            <w:rFonts w:asciiTheme="minorHAnsi" w:hAnsiTheme="minorHAnsi" w:cstheme="minorHAnsi"/>
            <w:sz w:val="22"/>
            <w:szCs w:val="22"/>
          </w:rPr>
          <w:t xml:space="preserve"> </w:t>
        </w:r>
        <w:smartTag w:uri="urn:schemas-microsoft-com:office:smarttags" w:element="PlaceType">
          <w:r w:rsidRPr="009446B3">
            <w:rPr>
              <w:rFonts w:asciiTheme="minorHAnsi" w:hAnsiTheme="minorHAnsi" w:cstheme="minorHAnsi"/>
              <w:sz w:val="22"/>
              <w:szCs w:val="22"/>
            </w:rPr>
            <w:t>Basin</w:t>
          </w:r>
        </w:smartTag>
      </w:smartTag>
      <w:r w:rsidRPr="009446B3">
        <w:rPr>
          <w:rFonts w:asciiTheme="minorHAnsi" w:hAnsiTheme="minorHAnsi" w:cstheme="minorHAnsi"/>
          <w:sz w:val="22"/>
          <w:szCs w:val="22"/>
        </w:rPr>
        <w:t xml:space="preserve"> is now well on the way to reserve status with an associated trust fund for landowners. Equally significant has been the establishment of over 200 locally managed marine areas. </w:t>
      </w:r>
    </w:p>
    <w:p w:rsidR="003D1FFB" w:rsidRPr="009446B3" w:rsidRDefault="003D1FFB" w:rsidP="003D1FFB">
      <w:pPr>
        <w:pStyle w:val="ECFBodyCharChar"/>
        <w:rPr>
          <w:rFonts w:asciiTheme="minorHAnsi" w:hAnsiTheme="minorHAnsi" w:cstheme="minorHAnsi"/>
          <w:sz w:val="22"/>
          <w:szCs w:val="22"/>
        </w:rPr>
      </w:pPr>
      <w:r w:rsidRPr="009446B3">
        <w:rPr>
          <w:rFonts w:asciiTheme="minorHAnsi" w:hAnsiTheme="minorHAnsi" w:cstheme="minorHAnsi"/>
          <w:sz w:val="22"/>
          <w:szCs w:val="22"/>
        </w:rPr>
        <w:t xml:space="preserve">The Navua Gorge Conservation Area is a privately managed protected area of a Site of National Significance, leased by the NLTB on behalf of the landowners. It was subsequently nominated and listed as </w:t>
      </w:r>
      <w:smartTag w:uri="urn:schemas-microsoft-com:office:smarttags" w:element="place">
        <w:smartTag w:uri="urn:schemas-microsoft-com:office:smarttags" w:element="country-region">
          <w:r w:rsidRPr="009446B3">
            <w:rPr>
              <w:rFonts w:asciiTheme="minorHAnsi" w:hAnsiTheme="minorHAnsi" w:cstheme="minorHAnsi"/>
              <w:sz w:val="22"/>
              <w:szCs w:val="22"/>
            </w:rPr>
            <w:t>Fiji</w:t>
          </w:r>
        </w:smartTag>
      </w:smartTag>
      <w:r w:rsidRPr="009446B3">
        <w:rPr>
          <w:rFonts w:asciiTheme="minorHAnsi" w:hAnsiTheme="minorHAnsi" w:cstheme="minorHAnsi"/>
          <w:sz w:val="22"/>
          <w:szCs w:val="22"/>
        </w:rPr>
        <w:t xml:space="preserve">’s first </w:t>
      </w:r>
      <w:smartTag w:uri="urn:schemas-microsoft-com:office:smarttags" w:element="PersonName">
        <w:r w:rsidRPr="009446B3">
          <w:rPr>
            <w:rFonts w:asciiTheme="minorHAnsi" w:hAnsiTheme="minorHAnsi" w:cstheme="minorHAnsi"/>
            <w:sz w:val="22"/>
            <w:szCs w:val="22"/>
          </w:rPr>
          <w:t>Ramsar</w:t>
        </w:r>
      </w:smartTag>
      <w:r w:rsidRPr="009446B3">
        <w:rPr>
          <w:rFonts w:asciiTheme="minorHAnsi" w:hAnsiTheme="minorHAnsi" w:cstheme="minorHAnsi"/>
          <w:sz w:val="22"/>
          <w:szCs w:val="22"/>
        </w:rPr>
        <w:t xml:space="preserve"> site, as a wetland of international significance.</w:t>
      </w:r>
    </w:p>
    <w:p w:rsidR="003D1FFB" w:rsidRPr="009446B3" w:rsidRDefault="003D1FFB" w:rsidP="003D1FFB">
      <w:pPr>
        <w:pStyle w:val="ECFBodyCharChar"/>
        <w:rPr>
          <w:rFonts w:asciiTheme="minorHAnsi" w:hAnsiTheme="minorHAnsi" w:cstheme="minorHAnsi"/>
          <w:sz w:val="22"/>
          <w:szCs w:val="22"/>
        </w:rPr>
      </w:pPr>
      <w:r w:rsidRPr="009446B3">
        <w:rPr>
          <w:rFonts w:asciiTheme="minorHAnsi" w:hAnsiTheme="minorHAnsi" w:cstheme="minorHAnsi"/>
          <w:sz w:val="22"/>
          <w:szCs w:val="22"/>
        </w:rPr>
        <w:t>The Department of Water and Sewerage and the Fiji Electricity Authority hold reserves, leased from their landowners, for water catchment protection purposes in areas that are also of ecological significance. Amongst these are some of great ecological significance for example: Vaturu, Monasavu and Savura.</w:t>
      </w:r>
    </w:p>
    <w:p w:rsidR="003D1FFB" w:rsidRPr="009446B3" w:rsidRDefault="003D1FFB" w:rsidP="003D1FFB">
      <w:pPr>
        <w:pStyle w:val="ECFBodyCharChar"/>
        <w:rPr>
          <w:rFonts w:asciiTheme="minorHAnsi" w:hAnsiTheme="minorHAnsi" w:cstheme="minorHAnsi"/>
          <w:sz w:val="22"/>
          <w:szCs w:val="22"/>
        </w:rPr>
      </w:pPr>
      <w:r w:rsidRPr="009446B3">
        <w:rPr>
          <w:rFonts w:asciiTheme="minorHAnsi" w:hAnsiTheme="minorHAnsi" w:cstheme="minorHAnsi"/>
          <w:sz w:val="22"/>
          <w:szCs w:val="22"/>
        </w:rPr>
        <w:t>Currently the Fiji Locally Managed Marine Areas number some 216 sites which cover approximately 10,233 square kilometres or almost a third of Fiji’s inshore fishing area. Many of these have management plans.</w:t>
      </w:r>
    </w:p>
    <w:p w:rsidR="00A06786" w:rsidRPr="009446B3" w:rsidRDefault="00A06786">
      <w:pPr>
        <w:rPr>
          <w:rFonts w:cstheme="minorHAnsi"/>
        </w:rPr>
      </w:pPr>
    </w:p>
    <w:p w:rsidR="00A06786" w:rsidRDefault="00A67B93">
      <w:r w:rsidRPr="00A06786">
        <w:rPr>
          <w:rStyle w:val="Heading1Char"/>
        </w:rPr>
        <w:t>Governance types</w:t>
      </w:r>
      <w:r>
        <w:t xml:space="preserve"> </w:t>
      </w:r>
    </w:p>
    <w:p w:rsidR="00624DBD" w:rsidRDefault="00624DBD">
      <w:r>
        <w:t>(Summary matrix of governance types)</w:t>
      </w:r>
    </w:p>
    <w:p w:rsidR="003D1FFB" w:rsidRDefault="003D1FFB" w:rsidP="003D1FFB">
      <w:pPr>
        <w:pStyle w:val="ECFBodyCharChar"/>
        <w:rPr>
          <w:rFonts w:ascii="Times New Roman" w:hAnsi="Times New Roman"/>
          <w:sz w:val="22"/>
          <w:szCs w:val="22"/>
        </w:rPr>
      </w:pPr>
      <w:smartTag w:uri="urn:schemas-microsoft-com:office:smarttags" w:element="place">
        <w:smartTag w:uri="urn:schemas-microsoft-com:office:smarttags" w:element="country-region">
          <w:r w:rsidRPr="00B311BC">
            <w:rPr>
              <w:rFonts w:ascii="Times New Roman" w:hAnsi="Times New Roman"/>
              <w:sz w:val="22"/>
              <w:szCs w:val="22"/>
            </w:rPr>
            <w:t>Fiji</w:t>
          </w:r>
        </w:smartTag>
      </w:smartTag>
      <w:r w:rsidRPr="00B311BC">
        <w:rPr>
          <w:rFonts w:ascii="Times New Roman" w:hAnsi="Times New Roman"/>
          <w:sz w:val="22"/>
          <w:szCs w:val="22"/>
        </w:rPr>
        <w:t>’s currently recognised protected areas are summarised below.</w:t>
      </w:r>
    </w:p>
    <w:p w:rsidR="003D1FFB" w:rsidRPr="00B311BC" w:rsidRDefault="003D1FFB" w:rsidP="003D1FFB">
      <w:pPr>
        <w:pStyle w:val="ECFBodyCharChar"/>
        <w:rPr>
          <w:rFonts w:ascii="Times New Roman" w:hAnsi="Times New Roman"/>
          <w:sz w:val="22"/>
          <w:szCs w:val="22"/>
        </w:rPr>
      </w:pPr>
    </w:p>
    <w:tbl>
      <w:tblPr>
        <w:tblW w:w="8470" w:type="dxa"/>
        <w:tblInd w:w="98" w:type="dxa"/>
        <w:tblLayout w:type="fixed"/>
        <w:tblLook w:val="0000"/>
      </w:tblPr>
      <w:tblGrid>
        <w:gridCol w:w="3070"/>
        <w:gridCol w:w="1980"/>
        <w:gridCol w:w="1080"/>
        <w:gridCol w:w="1080"/>
        <w:gridCol w:w="1260"/>
      </w:tblGrid>
      <w:tr w:rsidR="003D1FFB" w:rsidRPr="005D5957" w:rsidTr="00AD1934">
        <w:trPr>
          <w:trHeight w:val="780"/>
        </w:trPr>
        <w:tc>
          <w:tcPr>
            <w:tcW w:w="3070" w:type="dxa"/>
            <w:tcBorders>
              <w:top w:val="single" w:sz="8" w:space="0" w:color="auto"/>
              <w:left w:val="single" w:sz="8" w:space="0" w:color="auto"/>
              <w:bottom w:val="single" w:sz="8" w:space="0" w:color="auto"/>
              <w:right w:val="single" w:sz="4" w:space="0" w:color="auto"/>
            </w:tcBorders>
            <w:shd w:val="clear" w:color="auto" w:fill="auto"/>
            <w:vAlign w:val="center"/>
          </w:tcPr>
          <w:p w:rsidR="003D1FFB" w:rsidRPr="005D5957" w:rsidRDefault="003D1FFB" w:rsidP="00AD1934">
            <w:pPr>
              <w:jc w:val="center"/>
              <w:rPr>
                <w:b/>
                <w:bCs/>
                <w:sz w:val="20"/>
                <w:szCs w:val="20"/>
              </w:rPr>
            </w:pPr>
            <w:r w:rsidRPr="005D5957">
              <w:rPr>
                <w:b/>
                <w:bCs/>
                <w:sz w:val="20"/>
                <w:szCs w:val="20"/>
              </w:rPr>
              <w:t>Terrestrial Sites</w:t>
            </w:r>
          </w:p>
        </w:tc>
        <w:tc>
          <w:tcPr>
            <w:tcW w:w="1980" w:type="dxa"/>
            <w:tcBorders>
              <w:top w:val="single" w:sz="8" w:space="0" w:color="auto"/>
              <w:left w:val="nil"/>
              <w:bottom w:val="single" w:sz="8" w:space="0" w:color="auto"/>
              <w:right w:val="single" w:sz="4" w:space="0" w:color="auto"/>
            </w:tcBorders>
            <w:shd w:val="clear" w:color="auto" w:fill="auto"/>
            <w:vAlign w:val="center"/>
          </w:tcPr>
          <w:p w:rsidR="003D1FFB" w:rsidRPr="005D5957" w:rsidRDefault="003D1FFB" w:rsidP="00AD1934">
            <w:pPr>
              <w:jc w:val="center"/>
              <w:rPr>
                <w:b/>
                <w:bCs/>
                <w:sz w:val="20"/>
                <w:szCs w:val="20"/>
              </w:rPr>
            </w:pPr>
            <w:r w:rsidRPr="005D5957">
              <w:rPr>
                <w:b/>
                <w:bCs/>
                <w:sz w:val="20"/>
                <w:szCs w:val="20"/>
              </w:rPr>
              <w:t>Institutional Arrangement</w:t>
            </w:r>
          </w:p>
        </w:tc>
        <w:tc>
          <w:tcPr>
            <w:tcW w:w="1080" w:type="dxa"/>
            <w:tcBorders>
              <w:top w:val="single" w:sz="8" w:space="0" w:color="auto"/>
              <w:left w:val="nil"/>
              <w:bottom w:val="single" w:sz="8" w:space="0" w:color="auto"/>
              <w:right w:val="nil"/>
            </w:tcBorders>
            <w:vAlign w:val="center"/>
          </w:tcPr>
          <w:p w:rsidR="003D1FFB" w:rsidRPr="005D5957" w:rsidRDefault="003D1FFB" w:rsidP="00AD1934">
            <w:pPr>
              <w:jc w:val="center"/>
              <w:rPr>
                <w:b/>
                <w:bCs/>
                <w:sz w:val="20"/>
                <w:szCs w:val="20"/>
              </w:rPr>
            </w:pPr>
            <w:r w:rsidRPr="005D5957">
              <w:rPr>
                <w:b/>
                <w:bCs/>
                <w:sz w:val="20"/>
                <w:szCs w:val="20"/>
              </w:rPr>
              <w:t>IUCN Category</w:t>
            </w:r>
          </w:p>
        </w:tc>
        <w:tc>
          <w:tcPr>
            <w:tcW w:w="1080" w:type="dxa"/>
            <w:tcBorders>
              <w:top w:val="single" w:sz="8" w:space="0" w:color="auto"/>
              <w:left w:val="nil"/>
              <w:bottom w:val="single" w:sz="8" w:space="0" w:color="auto"/>
              <w:right w:val="single" w:sz="4" w:space="0" w:color="auto"/>
            </w:tcBorders>
            <w:shd w:val="clear" w:color="auto" w:fill="auto"/>
            <w:vAlign w:val="center"/>
          </w:tcPr>
          <w:p w:rsidR="003D1FFB" w:rsidRPr="005D5957" w:rsidRDefault="003D1FFB" w:rsidP="00AD1934">
            <w:pPr>
              <w:jc w:val="center"/>
              <w:rPr>
                <w:b/>
                <w:bCs/>
                <w:sz w:val="20"/>
                <w:szCs w:val="20"/>
              </w:rPr>
            </w:pPr>
            <w:r w:rsidRPr="005D5957">
              <w:rPr>
                <w:b/>
                <w:bCs/>
                <w:sz w:val="20"/>
                <w:szCs w:val="20"/>
              </w:rPr>
              <w:t>Year of Establ-ishment</w:t>
            </w:r>
          </w:p>
        </w:tc>
        <w:tc>
          <w:tcPr>
            <w:tcW w:w="1260" w:type="dxa"/>
            <w:tcBorders>
              <w:top w:val="single" w:sz="8" w:space="0" w:color="auto"/>
              <w:left w:val="nil"/>
              <w:bottom w:val="single" w:sz="8" w:space="0" w:color="auto"/>
              <w:right w:val="single" w:sz="8" w:space="0" w:color="auto"/>
            </w:tcBorders>
            <w:shd w:val="clear" w:color="auto" w:fill="auto"/>
            <w:vAlign w:val="center"/>
          </w:tcPr>
          <w:p w:rsidR="003D1FFB" w:rsidRPr="005D5957" w:rsidRDefault="003D1FFB" w:rsidP="00AD1934">
            <w:pPr>
              <w:jc w:val="center"/>
              <w:rPr>
                <w:b/>
                <w:bCs/>
                <w:sz w:val="20"/>
                <w:szCs w:val="20"/>
              </w:rPr>
            </w:pPr>
            <w:r w:rsidRPr="005D5957">
              <w:rPr>
                <w:b/>
                <w:bCs/>
                <w:sz w:val="20"/>
                <w:szCs w:val="20"/>
              </w:rPr>
              <w:t>Area (ha)</w:t>
            </w:r>
          </w:p>
        </w:tc>
      </w:tr>
      <w:tr w:rsidR="003D1FFB" w:rsidRPr="005D5957" w:rsidTr="00AD1934">
        <w:trPr>
          <w:trHeight w:val="510"/>
        </w:trPr>
        <w:tc>
          <w:tcPr>
            <w:tcW w:w="3070" w:type="dxa"/>
            <w:tcBorders>
              <w:top w:val="nil"/>
              <w:left w:val="single" w:sz="8" w:space="0" w:color="auto"/>
              <w:bottom w:val="single" w:sz="4" w:space="0" w:color="auto"/>
              <w:right w:val="single" w:sz="4" w:space="0" w:color="auto"/>
            </w:tcBorders>
            <w:shd w:val="clear" w:color="auto" w:fill="auto"/>
            <w:vAlign w:val="bottom"/>
          </w:tcPr>
          <w:p w:rsidR="003D1FFB" w:rsidRPr="005D5957" w:rsidRDefault="003D1FFB" w:rsidP="00AD1934">
            <w:pPr>
              <w:jc w:val="center"/>
              <w:rPr>
                <w:b/>
                <w:bCs/>
                <w:sz w:val="20"/>
                <w:szCs w:val="20"/>
              </w:rPr>
            </w:pPr>
            <w:r w:rsidRPr="005D5957">
              <w:rPr>
                <w:b/>
                <w:bCs/>
                <w:sz w:val="20"/>
                <w:szCs w:val="20"/>
              </w:rPr>
              <w:t>Protected Areas - legally established - regarded as secure</w:t>
            </w:r>
          </w:p>
        </w:tc>
        <w:tc>
          <w:tcPr>
            <w:tcW w:w="1980" w:type="dxa"/>
            <w:tcBorders>
              <w:top w:val="nil"/>
              <w:left w:val="nil"/>
              <w:bottom w:val="single" w:sz="4" w:space="0" w:color="auto"/>
              <w:right w:val="single" w:sz="4" w:space="0" w:color="auto"/>
            </w:tcBorders>
            <w:shd w:val="clear" w:color="auto" w:fill="auto"/>
            <w:noWrap/>
            <w:vAlign w:val="bottom"/>
          </w:tcPr>
          <w:p w:rsidR="003D1FFB" w:rsidRPr="005D5957" w:rsidRDefault="003D1FFB" w:rsidP="00AD1934">
            <w:pPr>
              <w:rPr>
                <w:sz w:val="20"/>
                <w:szCs w:val="20"/>
              </w:rPr>
            </w:pPr>
            <w:r w:rsidRPr="005D5957">
              <w:rPr>
                <w:sz w:val="20"/>
                <w:szCs w:val="20"/>
              </w:rPr>
              <w:t> </w:t>
            </w:r>
          </w:p>
        </w:tc>
        <w:tc>
          <w:tcPr>
            <w:tcW w:w="1080" w:type="dxa"/>
            <w:tcBorders>
              <w:top w:val="nil"/>
              <w:left w:val="nil"/>
              <w:bottom w:val="single" w:sz="4" w:space="0" w:color="auto"/>
              <w:right w:val="nil"/>
            </w:tcBorders>
            <w:vAlign w:val="center"/>
          </w:tcPr>
          <w:p w:rsidR="003D1FFB" w:rsidRPr="005D5957" w:rsidRDefault="003D1FFB" w:rsidP="00AD1934">
            <w:pPr>
              <w:jc w:val="center"/>
              <w:rPr>
                <w:sz w:val="20"/>
                <w:szCs w:val="20"/>
              </w:rPr>
            </w:pPr>
          </w:p>
        </w:tc>
        <w:tc>
          <w:tcPr>
            <w:tcW w:w="1080" w:type="dxa"/>
            <w:tcBorders>
              <w:top w:val="nil"/>
              <w:left w:val="nil"/>
              <w:bottom w:val="single" w:sz="4" w:space="0" w:color="auto"/>
              <w:right w:val="single" w:sz="4" w:space="0" w:color="auto"/>
            </w:tcBorders>
            <w:shd w:val="clear" w:color="auto" w:fill="auto"/>
            <w:noWrap/>
            <w:vAlign w:val="bottom"/>
          </w:tcPr>
          <w:p w:rsidR="003D1FFB" w:rsidRPr="005D5957" w:rsidRDefault="003D1FFB" w:rsidP="00AD1934">
            <w:pPr>
              <w:rPr>
                <w:sz w:val="20"/>
                <w:szCs w:val="20"/>
              </w:rPr>
            </w:pPr>
            <w:r w:rsidRPr="005D5957">
              <w:rPr>
                <w:sz w:val="20"/>
                <w:szCs w:val="20"/>
              </w:rPr>
              <w:t> </w:t>
            </w:r>
          </w:p>
        </w:tc>
        <w:tc>
          <w:tcPr>
            <w:tcW w:w="1260" w:type="dxa"/>
            <w:tcBorders>
              <w:top w:val="nil"/>
              <w:left w:val="nil"/>
              <w:bottom w:val="single" w:sz="4" w:space="0" w:color="auto"/>
              <w:right w:val="single" w:sz="8" w:space="0" w:color="auto"/>
            </w:tcBorders>
            <w:shd w:val="clear" w:color="auto" w:fill="auto"/>
            <w:noWrap/>
            <w:vAlign w:val="bottom"/>
          </w:tcPr>
          <w:p w:rsidR="003D1FFB" w:rsidRPr="005D5957" w:rsidRDefault="003D1FFB" w:rsidP="00AD1934">
            <w:pPr>
              <w:rPr>
                <w:sz w:val="20"/>
                <w:szCs w:val="20"/>
              </w:rPr>
            </w:pPr>
            <w:r w:rsidRPr="005D5957">
              <w:rPr>
                <w:sz w:val="20"/>
                <w:szCs w:val="20"/>
              </w:rPr>
              <w:t> </w:t>
            </w:r>
          </w:p>
        </w:tc>
      </w:tr>
      <w:tr w:rsidR="003D1FFB" w:rsidRPr="005D5957" w:rsidTr="00AD1934">
        <w:trPr>
          <w:trHeight w:val="255"/>
        </w:trPr>
        <w:tc>
          <w:tcPr>
            <w:tcW w:w="3070" w:type="dxa"/>
            <w:tcBorders>
              <w:top w:val="nil"/>
              <w:left w:val="single" w:sz="8" w:space="0" w:color="auto"/>
              <w:bottom w:val="single" w:sz="4" w:space="0" w:color="auto"/>
              <w:right w:val="single" w:sz="4" w:space="0" w:color="auto"/>
            </w:tcBorders>
            <w:shd w:val="clear" w:color="auto" w:fill="auto"/>
            <w:noWrap/>
            <w:vAlign w:val="center"/>
          </w:tcPr>
          <w:p w:rsidR="003D1FFB" w:rsidRPr="005D5957" w:rsidRDefault="003D1FFB" w:rsidP="00AD1934">
            <w:pPr>
              <w:rPr>
                <w:sz w:val="20"/>
                <w:szCs w:val="20"/>
              </w:rPr>
            </w:pPr>
            <w:smartTag w:uri="urn:schemas-microsoft-com:office:smarttags" w:element="place">
              <w:smartTag w:uri="urn:schemas-microsoft-com:office:smarttags" w:element="PlaceName">
                <w:r w:rsidRPr="005D5957">
                  <w:rPr>
                    <w:sz w:val="20"/>
                    <w:szCs w:val="20"/>
                  </w:rPr>
                  <w:t>Sigatoka</w:t>
                </w:r>
              </w:smartTag>
              <w:r w:rsidRPr="005D5957">
                <w:rPr>
                  <w:sz w:val="20"/>
                  <w:szCs w:val="20"/>
                </w:rPr>
                <w:t xml:space="preserve"> </w:t>
              </w:r>
              <w:smartTag w:uri="urn:schemas-microsoft-com:office:smarttags" w:element="PlaceName">
                <w:r w:rsidRPr="005D5957">
                  <w:rPr>
                    <w:sz w:val="20"/>
                    <w:szCs w:val="20"/>
                  </w:rPr>
                  <w:t>Sand</w:t>
                </w:r>
              </w:smartTag>
              <w:r w:rsidRPr="005D5957">
                <w:rPr>
                  <w:sz w:val="20"/>
                  <w:szCs w:val="20"/>
                </w:rPr>
                <w:t xml:space="preserve"> </w:t>
              </w:r>
              <w:smartTag w:uri="urn:schemas-microsoft-com:office:smarttags" w:element="PlaceName">
                <w:r w:rsidRPr="005D5957">
                  <w:rPr>
                    <w:sz w:val="20"/>
                    <w:szCs w:val="20"/>
                  </w:rPr>
                  <w:t>Dunes</w:t>
                </w:r>
              </w:smartTag>
              <w:r w:rsidRPr="005D5957">
                <w:rPr>
                  <w:sz w:val="20"/>
                  <w:szCs w:val="20"/>
                </w:rPr>
                <w:t xml:space="preserve"> </w:t>
              </w:r>
              <w:smartTag w:uri="urn:schemas-microsoft-com:office:smarttags" w:element="PlaceType">
                <w:r w:rsidRPr="005D5957">
                  <w:rPr>
                    <w:sz w:val="20"/>
                    <w:szCs w:val="20"/>
                  </w:rPr>
                  <w:t>National Park</w:t>
                </w:r>
              </w:smartTag>
            </w:smartTag>
          </w:p>
        </w:tc>
        <w:tc>
          <w:tcPr>
            <w:tcW w:w="1980" w:type="dxa"/>
            <w:tcBorders>
              <w:top w:val="nil"/>
              <w:left w:val="nil"/>
              <w:bottom w:val="single" w:sz="4" w:space="0" w:color="auto"/>
              <w:right w:val="single" w:sz="4" w:space="0" w:color="auto"/>
            </w:tcBorders>
            <w:shd w:val="clear" w:color="auto" w:fill="auto"/>
            <w:noWrap/>
            <w:vAlign w:val="bottom"/>
          </w:tcPr>
          <w:p w:rsidR="003D1FFB" w:rsidRPr="005D5957" w:rsidRDefault="003D1FFB" w:rsidP="00AD1934">
            <w:pPr>
              <w:rPr>
                <w:sz w:val="20"/>
                <w:szCs w:val="20"/>
              </w:rPr>
            </w:pPr>
            <w:r w:rsidRPr="005D5957">
              <w:rPr>
                <w:sz w:val="20"/>
                <w:szCs w:val="20"/>
              </w:rPr>
              <w:t>Cabinet Decree</w:t>
            </w:r>
          </w:p>
        </w:tc>
        <w:tc>
          <w:tcPr>
            <w:tcW w:w="1080" w:type="dxa"/>
            <w:tcBorders>
              <w:top w:val="nil"/>
              <w:left w:val="nil"/>
              <w:bottom w:val="single" w:sz="4" w:space="0" w:color="auto"/>
              <w:right w:val="nil"/>
            </w:tcBorders>
            <w:vAlign w:val="center"/>
          </w:tcPr>
          <w:p w:rsidR="003D1FFB" w:rsidRPr="005D5957" w:rsidRDefault="003D1FFB" w:rsidP="00AD1934">
            <w:pPr>
              <w:jc w:val="center"/>
              <w:rPr>
                <w:sz w:val="20"/>
                <w:szCs w:val="20"/>
              </w:rPr>
            </w:pPr>
            <w:r w:rsidRPr="005D5957">
              <w:rPr>
                <w:sz w:val="20"/>
                <w:szCs w:val="20"/>
              </w:rPr>
              <w:t>II</w:t>
            </w:r>
          </w:p>
        </w:tc>
        <w:tc>
          <w:tcPr>
            <w:tcW w:w="1080" w:type="dxa"/>
            <w:tcBorders>
              <w:top w:val="nil"/>
              <w:left w:val="nil"/>
              <w:bottom w:val="single" w:sz="4" w:space="0" w:color="auto"/>
              <w:right w:val="single" w:sz="4" w:space="0" w:color="auto"/>
            </w:tcBorders>
            <w:shd w:val="clear" w:color="auto" w:fill="auto"/>
            <w:noWrap/>
            <w:vAlign w:val="bottom"/>
          </w:tcPr>
          <w:p w:rsidR="003D1FFB" w:rsidRPr="005D5957" w:rsidRDefault="003D1FFB" w:rsidP="00AD1934">
            <w:pPr>
              <w:jc w:val="right"/>
              <w:rPr>
                <w:sz w:val="20"/>
                <w:szCs w:val="20"/>
              </w:rPr>
            </w:pPr>
            <w:r w:rsidRPr="005D5957">
              <w:rPr>
                <w:sz w:val="20"/>
                <w:szCs w:val="20"/>
              </w:rPr>
              <w:t>1988</w:t>
            </w:r>
          </w:p>
        </w:tc>
        <w:tc>
          <w:tcPr>
            <w:tcW w:w="1260" w:type="dxa"/>
            <w:tcBorders>
              <w:top w:val="nil"/>
              <w:left w:val="nil"/>
              <w:bottom w:val="single" w:sz="4" w:space="0" w:color="auto"/>
              <w:right w:val="single" w:sz="8" w:space="0" w:color="auto"/>
            </w:tcBorders>
            <w:shd w:val="clear" w:color="auto" w:fill="auto"/>
            <w:noWrap/>
            <w:vAlign w:val="bottom"/>
          </w:tcPr>
          <w:p w:rsidR="003D1FFB" w:rsidRPr="005D5957" w:rsidRDefault="003D1FFB" w:rsidP="00AD1934">
            <w:pPr>
              <w:jc w:val="right"/>
              <w:rPr>
                <w:sz w:val="20"/>
                <w:szCs w:val="20"/>
              </w:rPr>
            </w:pPr>
            <w:r w:rsidRPr="005D5957">
              <w:rPr>
                <w:sz w:val="20"/>
                <w:szCs w:val="20"/>
              </w:rPr>
              <w:t>240</w:t>
            </w:r>
          </w:p>
        </w:tc>
      </w:tr>
      <w:tr w:rsidR="003D1FFB" w:rsidRPr="005D5957" w:rsidTr="00AD1934">
        <w:trPr>
          <w:trHeight w:val="510"/>
        </w:trPr>
        <w:tc>
          <w:tcPr>
            <w:tcW w:w="3070" w:type="dxa"/>
            <w:tcBorders>
              <w:top w:val="nil"/>
              <w:left w:val="single" w:sz="8" w:space="0" w:color="auto"/>
              <w:bottom w:val="single" w:sz="4" w:space="0" w:color="auto"/>
              <w:right w:val="single" w:sz="4" w:space="0" w:color="auto"/>
            </w:tcBorders>
            <w:shd w:val="clear" w:color="auto" w:fill="auto"/>
            <w:vAlign w:val="center"/>
          </w:tcPr>
          <w:p w:rsidR="003D1FFB" w:rsidRPr="005D5957" w:rsidRDefault="003D1FFB" w:rsidP="00AD1934">
            <w:pPr>
              <w:rPr>
                <w:sz w:val="20"/>
                <w:szCs w:val="20"/>
              </w:rPr>
            </w:pPr>
            <w:r w:rsidRPr="005D5957">
              <w:rPr>
                <w:sz w:val="20"/>
                <w:szCs w:val="20"/>
              </w:rPr>
              <w:t>JH Garrick Memorial Park</w:t>
            </w:r>
          </w:p>
        </w:tc>
        <w:tc>
          <w:tcPr>
            <w:tcW w:w="1980" w:type="dxa"/>
            <w:tcBorders>
              <w:top w:val="nil"/>
              <w:left w:val="nil"/>
              <w:bottom w:val="single" w:sz="4" w:space="0" w:color="auto"/>
              <w:right w:val="single" w:sz="4" w:space="0" w:color="auto"/>
            </w:tcBorders>
            <w:shd w:val="clear" w:color="auto" w:fill="auto"/>
            <w:vAlign w:val="bottom"/>
          </w:tcPr>
          <w:p w:rsidR="003D1FFB" w:rsidRPr="005D5957" w:rsidRDefault="003D1FFB" w:rsidP="00AD1934">
            <w:pPr>
              <w:rPr>
                <w:sz w:val="20"/>
                <w:szCs w:val="20"/>
              </w:rPr>
            </w:pPr>
            <w:r w:rsidRPr="005D5957">
              <w:rPr>
                <w:sz w:val="20"/>
                <w:szCs w:val="20"/>
              </w:rPr>
              <w:t>Freehold owned by National Trust</w:t>
            </w:r>
          </w:p>
        </w:tc>
        <w:tc>
          <w:tcPr>
            <w:tcW w:w="1080" w:type="dxa"/>
            <w:tcBorders>
              <w:top w:val="nil"/>
              <w:left w:val="nil"/>
              <w:bottom w:val="single" w:sz="4" w:space="0" w:color="auto"/>
              <w:right w:val="nil"/>
            </w:tcBorders>
            <w:vAlign w:val="center"/>
          </w:tcPr>
          <w:p w:rsidR="003D1FFB" w:rsidRPr="005D5957" w:rsidRDefault="003D1FFB" w:rsidP="00AD1934">
            <w:pPr>
              <w:jc w:val="center"/>
              <w:rPr>
                <w:sz w:val="20"/>
                <w:szCs w:val="20"/>
              </w:rPr>
            </w:pPr>
            <w:r w:rsidRPr="005D5957">
              <w:rPr>
                <w:sz w:val="20"/>
                <w:szCs w:val="20"/>
              </w:rPr>
              <w:t>II</w:t>
            </w:r>
          </w:p>
        </w:tc>
        <w:tc>
          <w:tcPr>
            <w:tcW w:w="1080" w:type="dxa"/>
            <w:tcBorders>
              <w:top w:val="nil"/>
              <w:left w:val="nil"/>
              <w:bottom w:val="single" w:sz="4" w:space="0" w:color="auto"/>
              <w:right w:val="single" w:sz="4" w:space="0" w:color="auto"/>
            </w:tcBorders>
            <w:shd w:val="clear" w:color="auto" w:fill="auto"/>
            <w:noWrap/>
            <w:vAlign w:val="bottom"/>
          </w:tcPr>
          <w:p w:rsidR="003D1FFB" w:rsidRPr="005D5957" w:rsidRDefault="003D1FFB" w:rsidP="00AD1934">
            <w:pPr>
              <w:jc w:val="right"/>
              <w:rPr>
                <w:sz w:val="20"/>
                <w:szCs w:val="20"/>
              </w:rPr>
            </w:pPr>
            <w:r w:rsidRPr="005D5957">
              <w:rPr>
                <w:sz w:val="20"/>
                <w:szCs w:val="20"/>
              </w:rPr>
              <w:t>1986</w:t>
            </w:r>
          </w:p>
        </w:tc>
        <w:tc>
          <w:tcPr>
            <w:tcW w:w="1260" w:type="dxa"/>
            <w:tcBorders>
              <w:top w:val="nil"/>
              <w:left w:val="nil"/>
              <w:bottom w:val="single" w:sz="4" w:space="0" w:color="auto"/>
              <w:right w:val="single" w:sz="8" w:space="0" w:color="auto"/>
            </w:tcBorders>
            <w:shd w:val="clear" w:color="auto" w:fill="auto"/>
            <w:noWrap/>
            <w:vAlign w:val="bottom"/>
          </w:tcPr>
          <w:p w:rsidR="003D1FFB" w:rsidRPr="005D5957" w:rsidRDefault="003D1FFB" w:rsidP="00AD1934">
            <w:pPr>
              <w:jc w:val="right"/>
              <w:rPr>
                <w:sz w:val="20"/>
                <w:szCs w:val="20"/>
              </w:rPr>
            </w:pPr>
            <w:r w:rsidRPr="005D5957">
              <w:rPr>
                <w:sz w:val="20"/>
                <w:szCs w:val="20"/>
              </w:rPr>
              <w:t>428</w:t>
            </w:r>
          </w:p>
        </w:tc>
      </w:tr>
      <w:tr w:rsidR="003D1FFB" w:rsidRPr="005D5957" w:rsidTr="00AD1934">
        <w:trPr>
          <w:trHeight w:val="255"/>
        </w:trPr>
        <w:tc>
          <w:tcPr>
            <w:tcW w:w="3070" w:type="dxa"/>
            <w:tcBorders>
              <w:top w:val="nil"/>
              <w:left w:val="single" w:sz="8" w:space="0" w:color="auto"/>
              <w:bottom w:val="single" w:sz="4" w:space="0" w:color="auto"/>
              <w:right w:val="single" w:sz="4" w:space="0" w:color="auto"/>
            </w:tcBorders>
            <w:shd w:val="clear" w:color="auto" w:fill="auto"/>
            <w:noWrap/>
            <w:vAlign w:val="center"/>
          </w:tcPr>
          <w:p w:rsidR="003D1FFB" w:rsidRPr="005D5957" w:rsidRDefault="003D1FFB" w:rsidP="00AD1934">
            <w:pPr>
              <w:rPr>
                <w:sz w:val="20"/>
                <w:szCs w:val="20"/>
              </w:rPr>
            </w:pPr>
            <w:r w:rsidRPr="005D5957">
              <w:rPr>
                <w:sz w:val="20"/>
                <w:szCs w:val="20"/>
              </w:rPr>
              <w:t>Ravilevu</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tcPr>
          <w:p w:rsidR="003D1FFB" w:rsidRPr="005D5957" w:rsidRDefault="003D1FFB" w:rsidP="00AD1934">
            <w:pPr>
              <w:rPr>
                <w:sz w:val="20"/>
                <w:szCs w:val="20"/>
              </w:rPr>
            </w:pPr>
            <w:r w:rsidRPr="005D5957">
              <w:rPr>
                <w:sz w:val="20"/>
                <w:szCs w:val="20"/>
              </w:rPr>
              <w:t>Nature Reserve (Forestry Decree).                           Vuo, Draunibuto-Labiko and Vunamoli have no ecological signifiance</w:t>
            </w:r>
          </w:p>
        </w:tc>
        <w:tc>
          <w:tcPr>
            <w:tcW w:w="1080" w:type="dxa"/>
            <w:tcBorders>
              <w:top w:val="nil"/>
              <w:left w:val="nil"/>
              <w:bottom w:val="single" w:sz="4" w:space="0" w:color="auto"/>
              <w:right w:val="nil"/>
            </w:tcBorders>
            <w:vAlign w:val="center"/>
          </w:tcPr>
          <w:p w:rsidR="003D1FFB" w:rsidRPr="005D5957" w:rsidRDefault="003D1FFB" w:rsidP="00AD1934">
            <w:pPr>
              <w:jc w:val="center"/>
              <w:rPr>
                <w:sz w:val="20"/>
                <w:szCs w:val="20"/>
              </w:rPr>
            </w:pPr>
            <w:r w:rsidRPr="005D5957">
              <w:rPr>
                <w:sz w:val="20"/>
                <w:szCs w:val="20"/>
              </w:rPr>
              <w:t>I</w:t>
            </w:r>
          </w:p>
        </w:tc>
        <w:tc>
          <w:tcPr>
            <w:tcW w:w="1080" w:type="dxa"/>
            <w:tcBorders>
              <w:top w:val="nil"/>
              <w:left w:val="nil"/>
              <w:bottom w:val="single" w:sz="4" w:space="0" w:color="auto"/>
              <w:right w:val="single" w:sz="4" w:space="0" w:color="auto"/>
            </w:tcBorders>
            <w:shd w:val="clear" w:color="auto" w:fill="auto"/>
            <w:noWrap/>
            <w:vAlign w:val="bottom"/>
          </w:tcPr>
          <w:p w:rsidR="003D1FFB" w:rsidRPr="005D5957" w:rsidRDefault="003D1FFB" w:rsidP="00AD1934">
            <w:pPr>
              <w:jc w:val="right"/>
              <w:rPr>
                <w:sz w:val="20"/>
                <w:szCs w:val="20"/>
              </w:rPr>
            </w:pPr>
            <w:r w:rsidRPr="005D5957">
              <w:rPr>
                <w:sz w:val="20"/>
                <w:szCs w:val="20"/>
              </w:rPr>
              <w:t>1959</w:t>
            </w:r>
          </w:p>
        </w:tc>
        <w:tc>
          <w:tcPr>
            <w:tcW w:w="1260" w:type="dxa"/>
            <w:tcBorders>
              <w:top w:val="nil"/>
              <w:left w:val="nil"/>
              <w:bottom w:val="single" w:sz="4" w:space="0" w:color="auto"/>
              <w:right w:val="single" w:sz="8" w:space="0" w:color="auto"/>
            </w:tcBorders>
            <w:shd w:val="clear" w:color="auto" w:fill="auto"/>
            <w:noWrap/>
            <w:vAlign w:val="bottom"/>
          </w:tcPr>
          <w:p w:rsidR="003D1FFB" w:rsidRPr="005D5957" w:rsidRDefault="003D1FFB" w:rsidP="00AD1934">
            <w:pPr>
              <w:jc w:val="right"/>
              <w:rPr>
                <w:sz w:val="20"/>
                <w:szCs w:val="20"/>
              </w:rPr>
            </w:pPr>
            <w:r w:rsidRPr="005D5957">
              <w:rPr>
                <w:sz w:val="20"/>
                <w:szCs w:val="20"/>
              </w:rPr>
              <w:t>4,020</w:t>
            </w:r>
          </w:p>
        </w:tc>
      </w:tr>
      <w:tr w:rsidR="003D1FFB" w:rsidRPr="005D5957" w:rsidTr="00AD1934">
        <w:trPr>
          <w:trHeight w:val="255"/>
        </w:trPr>
        <w:tc>
          <w:tcPr>
            <w:tcW w:w="3070" w:type="dxa"/>
            <w:tcBorders>
              <w:top w:val="nil"/>
              <w:left w:val="single" w:sz="8" w:space="0" w:color="auto"/>
              <w:bottom w:val="single" w:sz="4" w:space="0" w:color="auto"/>
              <w:right w:val="single" w:sz="4" w:space="0" w:color="auto"/>
            </w:tcBorders>
            <w:shd w:val="clear" w:color="auto" w:fill="auto"/>
            <w:noWrap/>
            <w:vAlign w:val="center"/>
          </w:tcPr>
          <w:p w:rsidR="003D1FFB" w:rsidRPr="005D5957" w:rsidRDefault="003D1FFB" w:rsidP="00AD1934">
            <w:pPr>
              <w:rPr>
                <w:sz w:val="20"/>
                <w:szCs w:val="20"/>
              </w:rPr>
            </w:pPr>
            <w:r w:rsidRPr="005D5957">
              <w:rPr>
                <w:sz w:val="20"/>
                <w:szCs w:val="20"/>
              </w:rPr>
              <w:t>Naqarabuluti</w:t>
            </w:r>
          </w:p>
        </w:tc>
        <w:tc>
          <w:tcPr>
            <w:tcW w:w="1980" w:type="dxa"/>
            <w:vMerge/>
            <w:tcBorders>
              <w:top w:val="nil"/>
              <w:left w:val="single" w:sz="4" w:space="0" w:color="auto"/>
              <w:bottom w:val="single" w:sz="4" w:space="0" w:color="auto"/>
              <w:right w:val="single" w:sz="4" w:space="0" w:color="auto"/>
            </w:tcBorders>
            <w:vAlign w:val="center"/>
          </w:tcPr>
          <w:p w:rsidR="003D1FFB" w:rsidRPr="005D5957" w:rsidRDefault="003D1FFB" w:rsidP="00AD1934">
            <w:pPr>
              <w:rPr>
                <w:sz w:val="20"/>
                <w:szCs w:val="20"/>
              </w:rPr>
            </w:pPr>
          </w:p>
        </w:tc>
        <w:tc>
          <w:tcPr>
            <w:tcW w:w="1080" w:type="dxa"/>
            <w:tcBorders>
              <w:top w:val="nil"/>
              <w:left w:val="nil"/>
              <w:bottom w:val="single" w:sz="4" w:space="0" w:color="auto"/>
              <w:right w:val="nil"/>
            </w:tcBorders>
            <w:vAlign w:val="center"/>
          </w:tcPr>
          <w:p w:rsidR="003D1FFB" w:rsidRPr="005D5957" w:rsidRDefault="003D1FFB" w:rsidP="00AD1934">
            <w:pPr>
              <w:jc w:val="center"/>
              <w:rPr>
                <w:sz w:val="20"/>
                <w:szCs w:val="20"/>
              </w:rPr>
            </w:pPr>
            <w:r w:rsidRPr="005D5957">
              <w:rPr>
                <w:sz w:val="20"/>
                <w:szCs w:val="20"/>
              </w:rPr>
              <w:t>I</w:t>
            </w:r>
          </w:p>
        </w:tc>
        <w:tc>
          <w:tcPr>
            <w:tcW w:w="1080" w:type="dxa"/>
            <w:tcBorders>
              <w:top w:val="nil"/>
              <w:left w:val="nil"/>
              <w:bottom w:val="single" w:sz="4" w:space="0" w:color="auto"/>
              <w:right w:val="single" w:sz="4" w:space="0" w:color="auto"/>
            </w:tcBorders>
            <w:shd w:val="clear" w:color="auto" w:fill="auto"/>
            <w:noWrap/>
            <w:vAlign w:val="bottom"/>
          </w:tcPr>
          <w:p w:rsidR="003D1FFB" w:rsidRPr="005D5957" w:rsidRDefault="003D1FFB" w:rsidP="00AD1934">
            <w:pPr>
              <w:jc w:val="right"/>
              <w:rPr>
                <w:sz w:val="20"/>
                <w:szCs w:val="20"/>
              </w:rPr>
            </w:pPr>
            <w:r w:rsidRPr="005D5957">
              <w:rPr>
                <w:sz w:val="20"/>
                <w:szCs w:val="20"/>
              </w:rPr>
              <w:t>1958</w:t>
            </w:r>
          </w:p>
        </w:tc>
        <w:tc>
          <w:tcPr>
            <w:tcW w:w="1260" w:type="dxa"/>
            <w:tcBorders>
              <w:top w:val="nil"/>
              <w:left w:val="nil"/>
              <w:bottom w:val="single" w:sz="4" w:space="0" w:color="auto"/>
              <w:right w:val="single" w:sz="8" w:space="0" w:color="auto"/>
            </w:tcBorders>
            <w:shd w:val="clear" w:color="auto" w:fill="auto"/>
            <w:noWrap/>
            <w:vAlign w:val="bottom"/>
          </w:tcPr>
          <w:p w:rsidR="003D1FFB" w:rsidRPr="005D5957" w:rsidRDefault="003D1FFB" w:rsidP="00AD1934">
            <w:pPr>
              <w:jc w:val="right"/>
              <w:rPr>
                <w:sz w:val="20"/>
                <w:szCs w:val="20"/>
              </w:rPr>
            </w:pPr>
            <w:r w:rsidRPr="005D5957">
              <w:rPr>
                <w:sz w:val="20"/>
                <w:szCs w:val="20"/>
              </w:rPr>
              <w:t>279</w:t>
            </w:r>
          </w:p>
        </w:tc>
      </w:tr>
      <w:tr w:rsidR="003D1FFB" w:rsidRPr="005D5957" w:rsidTr="00AD1934">
        <w:trPr>
          <w:trHeight w:val="255"/>
        </w:trPr>
        <w:tc>
          <w:tcPr>
            <w:tcW w:w="3070" w:type="dxa"/>
            <w:tcBorders>
              <w:top w:val="nil"/>
              <w:left w:val="single" w:sz="8" w:space="0" w:color="auto"/>
              <w:bottom w:val="single" w:sz="4" w:space="0" w:color="auto"/>
              <w:right w:val="single" w:sz="4" w:space="0" w:color="auto"/>
            </w:tcBorders>
            <w:shd w:val="clear" w:color="auto" w:fill="auto"/>
            <w:noWrap/>
            <w:vAlign w:val="center"/>
          </w:tcPr>
          <w:p w:rsidR="003D1FFB" w:rsidRPr="005D5957" w:rsidRDefault="003D1FFB" w:rsidP="00AD1934">
            <w:pPr>
              <w:rPr>
                <w:sz w:val="20"/>
                <w:szCs w:val="20"/>
              </w:rPr>
            </w:pPr>
            <w:r w:rsidRPr="005D5957">
              <w:rPr>
                <w:sz w:val="20"/>
                <w:szCs w:val="20"/>
              </w:rPr>
              <w:t>Nadarivatu</w:t>
            </w:r>
          </w:p>
        </w:tc>
        <w:tc>
          <w:tcPr>
            <w:tcW w:w="1980" w:type="dxa"/>
            <w:vMerge/>
            <w:tcBorders>
              <w:top w:val="nil"/>
              <w:left w:val="single" w:sz="4" w:space="0" w:color="auto"/>
              <w:bottom w:val="single" w:sz="4" w:space="0" w:color="auto"/>
              <w:right w:val="single" w:sz="4" w:space="0" w:color="auto"/>
            </w:tcBorders>
            <w:vAlign w:val="center"/>
          </w:tcPr>
          <w:p w:rsidR="003D1FFB" w:rsidRPr="005D5957" w:rsidRDefault="003D1FFB" w:rsidP="00AD1934">
            <w:pPr>
              <w:rPr>
                <w:sz w:val="20"/>
                <w:szCs w:val="20"/>
              </w:rPr>
            </w:pPr>
          </w:p>
        </w:tc>
        <w:tc>
          <w:tcPr>
            <w:tcW w:w="1080" w:type="dxa"/>
            <w:tcBorders>
              <w:top w:val="nil"/>
              <w:left w:val="nil"/>
              <w:bottom w:val="single" w:sz="4" w:space="0" w:color="auto"/>
              <w:right w:val="nil"/>
            </w:tcBorders>
            <w:vAlign w:val="center"/>
          </w:tcPr>
          <w:p w:rsidR="003D1FFB" w:rsidRPr="005D5957" w:rsidRDefault="003D1FFB" w:rsidP="00AD1934">
            <w:pPr>
              <w:jc w:val="center"/>
              <w:rPr>
                <w:sz w:val="20"/>
                <w:szCs w:val="20"/>
              </w:rPr>
            </w:pPr>
            <w:r w:rsidRPr="005D5957">
              <w:rPr>
                <w:sz w:val="20"/>
                <w:szCs w:val="20"/>
              </w:rPr>
              <w:t>I</w:t>
            </w:r>
          </w:p>
        </w:tc>
        <w:tc>
          <w:tcPr>
            <w:tcW w:w="1080" w:type="dxa"/>
            <w:tcBorders>
              <w:top w:val="nil"/>
              <w:left w:val="nil"/>
              <w:bottom w:val="single" w:sz="4" w:space="0" w:color="auto"/>
              <w:right w:val="single" w:sz="4" w:space="0" w:color="auto"/>
            </w:tcBorders>
            <w:shd w:val="clear" w:color="auto" w:fill="auto"/>
            <w:noWrap/>
            <w:vAlign w:val="bottom"/>
          </w:tcPr>
          <w:p w:rsidR="003D1FFB" w:rsidRPr="005D5957" w:rsidRDefault="003D1FFB" w:rsidP="00AD1934">
            <w:pPr>
              <w:jc w:val="right"/>
              <w:rPr>
                <w:sz w:val="20"/>
                <w:szCs w:val="20"/>
              </w:rPr>
            </w:pPr>
            <w:r w:rsidRPr="005D5957">
              <w:rPr>
                <w:sz w:val="20"/>
                <w:szCs w:val="20"/>
              </w:rPr>
              <w:t>1956</w:t>
            </w:r>
          </w:p>
        </w:tc>
        <w:tc>
          <w:tcPr>
            <w:tcW w:w="1260" w:type="dxa"/>
            <w:tcBorders>
              <w:top w:val="nil"/>
              <w:left w:val="nil"/>
              <w:bottom w:val="single" w:sz="4" w:space="0" w:color="auto"/>
              <w:right w:val="single" w:sz="8" w:space="0" w:color="auto"/>
            </w:tcBorders>
            <w:shd w:val="clear" w:color="auto" w:fill="auto"/>
            <w:noWrap/>
            <w:vAlign w:val="bottom"/>
          </w:tcPr>
          <w:p w:rsidR="003D1FFB" w:rsidRPr="005D5957" w:rsidRDefault="003D1FFB" w:rsidP="00AD1934">
            <w:pPr>
              <w:jc w:val="right"/>
              <w:rPr>
                <w:sz w:val="20"/>
                <w:szCs w:val="20"/>
              </w:rPr>
            </w:pPr>
            <w:r w:rsidRPr="005D5957">
              <w:rPr>
                <w:sz w:val="20"/>
                <w:szCs w:val="20"/>
              </w:rPr>
              <w:t>93</w:t>
            </w:r>
          </w:p>
        </w:tc>
      </w:tr>
      <w:tr w:rsidR="003D1FFB" w:rsidRPr="005D5957" w:rsidTr="00AD1934">
        <w:trPr>
          <w:trHeight w:val="255"/>
        </w:trPr>
        <w:tc>
          <w:tcPr>
            <w:tcW w:w="3070" w:type="dxa"/>
            <w:tcBorders>
              <w:top w:val="nil"/>
              <w:left w:val="single" w:sz="8" w:space="0" w:color="auto"/>
              <w:bottom w:val="single" w:sz="4" w:space="0" w:color="auto"/>
              <w:right w:val="single" w:sz="4" w:space="0" w:color="auto"/>
            </w:tcBorders>
            <w:shd w:val="clear" w:color="auto" w:fill="auto"/>
            <w:noWrap/>
            <w:vAlign w:val="center"/>
          </w:tcPr>
          <w:p w:rsidR="003D1FFB" w:rsidRPr="005D5957" w:rsidRDefault="003D1FFB" w:rsidP="00AD1934">
            <w:pPr>
              <w:rPr>
                <w:sz w:val="20"/>
                <w:szCs w:val="20"/>
              </w:rPr>
            </w:pPr>
            <w:r w:rsidRPr="005D5957">
              <w:rPr>
                <w:sz w:val="20"/>
                <w:szCs w:val="20"/>
              </w:rPr>
              <w:t>Tomanivi</w:t>
            </w:r>
          </w:p>
        </w:tc>
        <w:tc>
          <w:tcPr>
            <w:tcW w:w="1980" w:type="dxa"/>
            <w:vMerge/>
            <w:tcBorders>
              <w:top w:val="nil"/>
              <w:left w:val="single" w:sz="4" w:space="0" w:color="auto"/>
              <w:bottom w:val="single" w:sz="4" w:space="0" w:color="auto"/>
              <w:right w:val="single" w:sz="4" w:space="0" w:color="auto"/>
            </w:tcBorders>
            <w:vAlign w:val="center"/>
          </w:tcPr>
          <w:p w:rsidR="003D1FFB" w:rsidRPr="005D5957" w:rsidRDefault="003D1FFB" w:rsidP="00AD1934">
            <w:pPr>
              <w:rPr>
                <w:sz w:val="20"/>
                <w:szCs w:val="20"/>
              </w:rPr>
            </w:pPr>
          </w:p>
        </w:tc>
        <w:tc>
          <w:tcPr>
            <w:tcW w:w="1080" w:type="dxa"/>
            <w:tcBorders>
              <w:top w:val="nil"/>
              <w:left w:val="nil"/>
              <w:bottom w:val="single" w:sz="4" w:space="0" w:color="auto"/>
              <w:right w:val="nil"/>
            </w:tcBorders>
            <w:vAlign w:val="center"/>
          </w:tcPr>
          <w:p w:rsidR="003D1FFB" w:rsidRPr="005D5957" w:rsidRDefault="003D1FFB" w:rsidP="00AD1934">
            <w:pPr>
              <w:jc w:val="center"/>
              <w:rPr>
                <w:sz w:val="20"/>
                <w:szCs w:val="20"/>
              </w:rPr>
            </w:pPr>
            <w:r w:rsidRPr="005D5957">
              <w:rPr>
                <w:sz w:val="20"/>
                <w:szCs w:val="20"/>
              </w:rPr>
              <w:t>I (II)</w:t>
            </w:r>
          </w:p>
        </w:tc>
        <w:tc>
          <w:tcPr>
            <w:tcW w:w="1080" w:type="dxa"/>
            <w:tcBorders>
              <w:top w:val="nil"/>
              <w:left w:val="nil"/>
              <w:bottom w:val="single" w:sz="4" w:space="0" w:color="auto"/>
              <w:right w:val="single" w:sz="4" w:space="0" w:color="auto"/>
            </w:tcBorders>
            <w:shd w:val="clear" w:color="auto" w:fill="auto"/>
            <w:noWrap/>
            <w:vAlign w:val="bottom"/>
          </w:tcPr>
          <w:p w:rsidR="003D1FFB" w:rsidRPr="005D5957" w:rsidRDefault="003D1FFB" w:rsidP="00AD1934">
            <w:pPr>
              <w:jc w:val="right"/>
              <w:rPr>
                <w:sz w:val="20"/>
                <w:szCs w:val="20"/>
              </w:rPr>
            </w:pPr>
            <w:r w:rsidRPr="005D5957">
              <w:rPr>
                <w:sz w:val="20"/>
                <w:szCs w:val="20"/>
              </w:rPr>
              <w:t>1958</w:t>
            </w:r>
          </w:p>
        </w:tc>
        <w:tc>
          <w:tcPr>
            <w:tcW w:w="1260" w:type="dxa"/>
            <w:tcBorders>
              <w:top w:val="nil"/>
              <w:left w:val="nil"/>
              <w:bottom w:val="single" w:sz="4" w:space="0" w:color="auto"/>
              <w:right w:val="single" w:sz="8" w:space="0" w:color="auto"/>
            </w:tcBorders>
            <w:shd w:val="clear" w:color="auto" w:fill="auto"/>
            <w:noWrap/>
            <w:vAlign w:val="bottom"/>
          </w:tcPr>
          <w:p w:rsidR="003D1FFB" w:rsidRPr="005D5957" w:rsidRDefault="003D1FFB" w:rsidP="00AD1934">
            <w:pPr>
              <w:jc w:val="right"/>
              <w:rPr>
                <w:sz w:val="20"/>
                <w:szCs w:val="20"/>
              </w:rPr>
            </w:pPr>
            <w:r w:rsidRPr="005D5957">
              <w:rPr>
                <w:sz w:val="20"/>
                <w:szCs w:val="20"/>
              </w:rPr>
              <w:t>1,322</w:t>
            </w:r>
          </w:p>
        </w:tc>
      </w:tr>
      <w:tr w:rsidR="003D1FFB" w:rsidRPr="005D5957" w:rsidTr="00AD1934">
        <w:trPr>
          <w:trHeight w:val="255"/>
        </w:trPr>
        <w:tc>
          <w:tcPr>
            <w:tcW w:w="3070" w:type="dxa"/>
            <w:tcBorders>
              <w:top w:val="nil"/>
              <w:left w:val="single" w:sz="8" w:space="0" w:color="auto"/>
              <w:bottom w:val="single" w:sz="4" w:space="0" w:color="auto"/>
              <w:right w:val="single" w:sz="4" w:space="0" w:color="auto"/>
            </w:tcBorders>
            <w:shd w:val="clear" w:color="auto" w:fill="auto"/>
            <w:noWrap/>
            <w:vAlign w:val="center"/>
          </w:tcPr>
          <w:p w:rsidR="003D1FFB" w:rsidRPr="005D5957" w:rsidRDefault="003D1FFB" w:rsidP="00AD1934">
            <w:pPr>
              <w:rPr>
                <w:sz w:val="20"/>
                <w:szCs w:val="20"/>
              </w:rPr>
            </w:pPr>
            <w:r w:rsidRPr="005D5957">
              <w:rPr>
                <w:sz w:val="20"/>
                <w:szCs w:val="20"/>
              </w:rPr>
              <w:t xml:space="preserve">Vuo </w:t>
            </w:r>
          </w:p>
        </w:tc>
        <w:tc>
          <w:tcPr>
            <w:tcW w:w="1980" w:type="dxa"/>
            <w:vMerge/>
            <w:tcBorders>
              <w:top w:val="nil"/>
              <w:left w:val="single" w:sz="4" w:space="0" w:color="auto"/>
              <w:bottom w:val="single" w:sz="4" w:space="0" w:color="auto"/>
              <w:right w:val="single" w:sz="4" w:space="0" w:color="auto"/>
            </w:tcBorders>
            <w:vAlign w:val="center"/>
          </w:tcPr>
          <w:p w:rsidR="003D1FFB" w:rsidRPr="005D5957" w:rsidRDefault="003D1FFB" w:rsidP="00AD1934">
            <w:pPr>
              <w:rPr>
                <w:sz w:val="20"/>
                <w:szCs w:val="20"/>
              </w:rPr>
            </w:pPr>
          </w:p>
        </w:tc>
        <w:tc>
          <w:tcPr>
            <w:tcW w:w="1080" w:type="dxa"/>
            <w:tcBorders>
              <w:top w:val="nil"/>
              <w:left w:val="nil"/>
              <w:bottom w:val="single" w:sz="4" w:space="0" w:color="auto"/>
              <w:right w:val="nil"/>
            </w:tcBorders>
            <w:vAlign w:val="center"/>
          </w:tcPr>
          <w:p w:rsidR="003D1FFB" w:rsidRPr="005D5957" w:rsidRDefault="003D1FFB" w:rsidP="00AD1934">
            <w:pPr>
              <w:jc w:val="center"/>
              <w:rPr>
                <w:sz w:val="20"/>
                <w:szCs w:val="20"/>
              </w:rPr>
            </w:pPr>
            <w:r w:rsidRPr="005D5957">
              <w:rPr>
                <w:sz w:val="20"/>
                <w:szCs w:val="20"/>
              </w:rPr>
              <w:t>I (II)</w:t>
            </w:r>
          </w:p>
        </w:tc>
        <w:tc>
          <w:tcPr>
            <w:tcW w:w="1080" w:type="dxa"/>
            <w:tcBorders>
              <w:top w:val="nil"/>
              <w:left w:val="nil"/>
              <w:bottom w:val="single" w:sz="4" w:space="0" w:color="auto"/>
              <w:right w:val="single" w:sz="4" w:space="0" w:color="auto"/>
            </w:tcBorders>
            <w:shd w:val="clear" w:color="auto" w:fill="auto"/>
            <w:noWrap/>
            <w:vAlign w:val="bottom"/>
          </w:tcPr>
          <w:p w:rsidR="003D1FFB" w:rsidRPr="005D5957" w:rsidRDefault="003D1FFB" w:rsidP="00AD1934">
            <w:pPr>
              <w:jc w:val="right"/>
              <w:rPr>
                <w:sz w:val="20"/>
                <w:szCs w:val="20"/>
              </w:rPr>
            </w:pPr>
            <w:r w:rsidRPr="005D5957">
              <w:rPr>
                <w:sz w:val="20"/>
                <w:szCs w:val="20"/>
              </w:rPr>
              <w:t>1960</w:t>
            </w:r>
          </w:p>
        </w:tc>
        <w:tc>
          <w:tcPr>
            <w:tcW w:w="1260" w:type="dxa"/>
            <w:tcBorders>
              <w:top w:val="nil"/>
              <w:left w:val="nil"/>
              <w:bottom w:val="single" w:sz="4" w:space="0" w:color="auto"/>
              <w:right w:val="single" w:sz="8" w:space="0" w:color="auto"/>
            </w:tcBorders>
            <w:shd w:val="clear" w:color="auto" w:fill="auto"/>
            <w:noWrap/>
            <w:vAlign w:val="bottom"/>
          </w:tcPr>
          <w:p w:rsidR="003D1FFB" w:rsidRPr="005D5957" w:rsidRDefault="003D1FFB" w:rsidP="00AD1934">
            <w:pPr>
              <w:jc w:val="right"/>
              <w:rPr>
                <w:sz w:val="20"/>
                <w:szCs w:val="20"/>
              </w:rPr>
            </w:pPr>
            <w:r w:rsidRPr="005D5957">
              <w:rPr>
                <w:sz w:val="20"/>
                <w:szCs w:val="20"/>
              </w:rPr>
              <w:t>1.2</w:t>
            </w:r>
          </w:p>
        </w:tc>
      </w:tr>
      <w:tr w:rsidR="003D1FFB" w:rsidRPr="005D5957" w:rsidTr="00AD1934">
        <w:trPr>
          <w:trHeight w:val="255"/>
        </w:trPr>
        <w:tc>
          <w:tcPr>
            <w:tcW w:w="3070" w:type="dxa"/>
            <w:tcBorders>
              <w:top w:val="nil"/>
              <w:left w:val="single" w:sz="8" w:space="0" w:color="auto"/>
              <w:bottom w:val="single" w:sz="4" w:space="0" w:color="auto"/>
              <w:right w:val="single" w:sz="4" w:space="0" w:color="auto"/>
            </w:tcBorders>
            <w:shd w:val="clear" w:color="auto" w:fill="auto"/>
            <w:noWrap/>
            <w:vAlign w:val="center"/>
          </w:tcPr>
          <w:p w:rsidR="003D1FFB" w:rsidRPr="005D5957" w:rsidRDefault="003D1FFB" w:rsidP="00AD1934">
            <w:pPr>
              <w:rPr>
                <w:sz w:val="20"/>
                <w:szCs w:val="20"/>
              </w:rPr>
            </w:pPr>
            <w:r w:rsidRPr="005D5957">
              <w:rPr>
                <w:sz w:val="20"/>
                <w:szCs w:val="20"/>
              </w:rPr>
              <w:t>Draunibota, Labiko</w:t>
            </w:r>
          </w:p>
        </w:tc>
        <w:tc>
          <w:tcPr>
            <w:tcW w:w="1980" w:type="dxa"/>
            <w:vMerge/>
            <w:tcBorders>
              <w:top w:val="nil"/>
              <w:left w:val="single" w:sz="4" w:space="0" w:color="auto"/>
              <w:bottom w:val="single" w:sz="4" w:space="0" w:color="auto"/>
              <w:right w:val="single" w:sz="4" w:space="0" w:color="auto"/>
            </w:tcBorders>
            <w:vAlign w:val="center"/>
          </w:tcPr>
          <w:p w:rsidR="003D1FFB" w:rsidRPr="005D5957" w:rsidRDefault="003D1FFB" w:rsidP="00AD1934">
            <w:pPr>
              <w:rPr>
                <w:sz w:val="20"/>
                <w:szCs w:val="20"/>
              </w:rPr>
            </w:pPr>
          </w:p>
        </w:tc>
        <w:tc>
          <w:tcPr>
            <w:tcW w:w="1080" w:type="dxa"/>
            <w:tcBorders>
              <w:top w:val="nil"/>
              <w:left w:val="nil"/>
              <w:bottom w:val="single" w:sz="4" w:space="0" w:color="auto"/>
              <w:right w:val="nil"/>
            </w:tcBorders>
            <w:vAlign w:val="center"/>
          </w:tcPr>
          <w:p w:rsidR="003D1FFB" w:rsidRPr="005D5957" w:rsidRDefault="003D1FFB" w:rsidP="00AD1934">
            <w:pPr>
              <w:jc w:val="center"/>
              <w:rPr>
                <w:sz w:val="20"/>
                <w:szCs w:val="20"/>
              </w:rPr>
            </w:pPr>
            <w:r w:rsidRPr="005D5957">
              <w:rPr>
                <w:sz w:val="20"/>
                <w:szCs w:val="20"/>
              </w:rPr>
              <w:t>I (II)</w:t>
            </w:r>
          </w:p>
        </w:tc>
        <w:tc>
          <w:tcPr>
            <w:tcW w:w="1080" w:type="dxa"/>
            <w:tcBorders>
              <w:top w:val="nil"/>
              <w:left w:val="nil"/>
              <w:bottom w:val="single" w:sz="4" w:space="0" w:color="auto"/>
              <w:right w:val="single" w:sz="4" w:space="0" w:color="auto"/>
            </w:tcBorders>
            <w:shd w:val="clear" w:color="auto" w:fill="auto"/>
            <w:noWrap/>
            <w:vAlign w:val="bottom"/>
          </w:tcPr>
          <w:p w:rsidR="003D1FFB" w:rsidRPr="005D5957" w:rsidRDefault="003D1FFB" w:rsidP="00AD1934">
            <w:pPr>
              <w:jc w:val="right"/>
              <w:rPr>
                <w:sz w:val="20"/>
                <w:szCs w:val="20"/>
              </w:rPr>
            </w:pPr>
            <w:r w:rsidRPr="005D5957">
              <w:rPr>
                <w:sz w:val="20"/>
                <w:szCs w:val="20"/>
              </w:rPr>
              <w:t>1959</w:t>
            </w:r>
          </w:p>
        </w:tc>
        <w:tc>
          <w:tcPr>
            <w:tcW w:w="1260" w:type="dxa"/>
            <w:tcBorders>
              <w:top w:val="nil"/>
              <w:left w:val="nil"/>
              <w:bottom w:val="single" w:sz="4" w:space="0" w:color="auto"/>
              <w:right w:val="single" w:sz="8" w:space="0" w:color="auto"/>
            </w:tcBorders>
            <w:shd w:val="clear" w:color="auto" w:fill="auto"/>
            <w:noWrap/>
            <w:vAlign w:val="bottom"/>
          </w:tcPr>
          <w:p w:rsidR="003D1FFB" w:rsidRPr="005D5957" w:rsidRDefault="003D1FFB" w:rsidP="00AD1934">
            <w:pPr>
              <w:jc w:val="right"/>
              <w:rPr>
                <w:sz w:val="20"/>
                <w:szCs w:val="20"/>
              </w:rPr>
            </w:pPr>
            <w:r w:rsidRPr="005D5957">
              <w:rPr>
                <w:sz w:val="20"/>
                <w:szCs w:val="20"/>
              </w:rPr>
              <w:t>2.16</w:t>
            </w:r>
          </w:p>
        </w:tc>
      </w:tr>
      <w:tr w:rsidR="003D1FFB" w:rsidRPr="005D5957" w:rsidTr="00AD1934">
        <w:trPr>
          <w:trHeight w:val="255"/>
        </w:trPr>
        <w:tc>
          <w:tcPr>
            <w:tcW w:w="3070" w:type="dxa"/>
            <w:tcBorders>
              <w:top w:val="nil"/>
              <w:left w:val="single" w:sz="8" w:space="0" w:color="auto"/>
              <w:bottom w:val="single" w:sz="4" w:space="0" w:color="auto"/>
              <w:right w:val="single" w:sz="4" w:space="0" w:color="auto"/>
            </w:tcBorders>
            <w:shd w:val="clear" w:color="auto" w:fill="auto"/>
            <w:noWrap/>
            <w:vAlign w:val="center"/>
          </w:tcPr>
          <w:p w:rsidR="003D1FFB" w:rsidRPr="005D5957" w:rsidRDefault="003D1FFB" w:rsidP="00AD1934">
            <w:pPr>
              <w:rPr>
                <w:sz w:val="20"/>
                <w:szCs w:val="20"/>
              </w:rPr>
            </w:pPr>
            <w:r w:rsidRPr="005D5957">
              <w:rPr>
                <w:sz w:val="20"/>
                <w:szCs w:val="20"/>
              </w:rPr>
              <w:t>Vunimoli</w:t>
            </w:r>
          </w:p>
        </w:tc>
        <w:tc>
          <w:tcPr>
            <w:tcW w:w="1980" w:type="dxa"/>
            <w:vMerge/>
            <w:tcBorders>
              <w:top w:val="nil"/>
              <w:left w:val="single" w:sz="4" w:space="0" w:color="auto"/>
              <w:bottom w:val="single" w:sz="4" w:space="0" w:color="auto"/>
              <w:right w:val="single" w:sz="4" w:space="0" w:color="auto"/>
            </w:tcBorders>
            <w:vAlign w:val="center"/>
          </w:tcPr>
          <w:p w:rsidR="003D1FFB" w:rsidRPr="005D5957" w:rsidRDefault="003D1FFB" w:rsidP="00AD1934">
            <w:pPr>
              <w:rPr>
                <w:sz w:val="20"/>
                <w:szCs w:val="20"/>
              </w:rPr>
            </w:pPr>
          </w:p>
        </w:tc>
        <w:tc>
          <w:tcPr>
            <w:tcW w:w="1080" w:type="dxa"/>
            <w:tcBorders>
              <w:top w:val="nil"/>
              <w:left w:val="nil"/>
              <w:bottom w:val="single" w:sz="4" w:space="0" w:color="auto"/>
              <w:right w:val="nil"/>
            </w:tcBorders>
            <w:vAlign w:val="center"/>
          </w:tcPr>
          <w:p w:rsidR="003D1FFB" w:rsidRPr="005D5957" w:rsidRDefault="003D1FFB" w:rsidP="00AD1934">
            <w:pPr>
              <w:jc w:val="center"/>
              <w:rPr>
                <w:sz w:val="20"/>
                <w:szCs w:val="20"/>
              </w:rPr>
            </w:pPr>
            <w:r w:rsidRPr="005D5957">
              <w:rPr>
                <w:sz w:val="20"/>
                <w:szCs w:val="20"/>
              </w:rPr>
              <w:t>I (II)</w:t>
            </w:r>
          </w:p>
        </w:tc>
        <w:tc>
          <w:tcPr>
            <w:tcW w:w="1080" w:type="dxa"/>
            <w:tcBorders>
              <w:top w:val="nil"/>
              <w:left w:val="nil"/>
              <w:bottom w:val="single" w:sz="4" w:space="0" w:color="auto"/>
              <w:right w:val="single" w:sz="4" w:space="0" w:color="auto"/>
            </w:tcBorders>
            <w:shd w:val="clear" w:color="auto" w:fill="auto"/>
            <w:noWrap/>
            <w:vAlign w:val="bottom"/>
          </w:tcPr>
          <w:p w:rsidR="003D1FFB" w:rsidRPr="005D5957" w:rsidRDefault="003D1FFB" w:rsidP="00AD1934">
            <w:pPr>
              <w:jc w:val="right"/>
              <w:rPr>
                <w:sz w:val="20"/>
                <w:szCs w:val="20"/>
              </w:rPr>
            </w:pPr>
            <w:r w:rsidRPr="005D5957">
              <w:rPr>
                <w:sz w:val="20"/>
                <w:szCs w:val="20"/>
              </w:rPr>
              <w:t>1968</w:t>
            </w:r>
          </w:p>
        </w:tc>
        <w:tc>
          <w:tcPr>
            <w:tcW w:w="1260" w:type="dxa"/>
            <w:tcBorders>
              <w:top w:val="nil"/>
              <w:left w:val="nil"/>
              <w:bottom w:val="single" w:sz="4" w:space="0" w:color="auto"/>
              <w:right w:val="single" w:sz="8" w:space="0" w:color="auto"/>
            </w:tcBorders>
            <w:shd w:val="clear" w:color="auto" w:fill="auto"/>
            <w:noWrap/>
            <w:vAlign w:val="bottom"/>
          </w:tcPr>
          <w:p w:rsidR="003D1FFB" w:rsidRPr="005D5957" w:rsidRDefault="003D1FFB" w:rsidP="00AD1934">
            <w:pPr>
              <w:jc w:val="right"/>
              <w:rPr>
                <w:sz w:val="20"/>
                <w:szCs w:val="20"/>
              </w:rPr>
            </w:pPr>
            <w:r w:rsidRPr="005D5957">
              <w:rPr>
                <w:sz w:val="20"/>
                <w:szCs w:val="20"/>
              </w:rPr>
              <w:t>20.2</w:t>
            </w:r>
          </w:p>
        </w:tc>
      </w:tr>
      <w:tr w:rsidR="003D1FFB" w:rsidRPr="005D5957" w:rsidTr="00AD1934">
        <w:trPr>
          <w:trHeight w:val="315"/>
        </w:trPr>
        <w:tc>
          <w:tcPr>
            <w:tcW w:w="3070" w:type="dxa"/>
            <w:tcBorders>
              <w:top w:val="nil"/>
              <w:left w:val="single" w:sz="8" w:space="0" w:color="auto"/>
              <w:bottom w:val="single" w:sz="4" w:space="0" w:color="auto"/>
              <w:right w:val="single" w:sz="4" w:space="0" w:color="auto"/>
            </w:tcBorders>
            <w:shd w:val="clear" w:color="auto" w:fill="auto"/>
            <w:noWrap/>
            <w:vAlign w:val="center"/>
          </w:tcPr>
          <w:p w:rsidR="003D1FFB" w:rsidRPr="005D5957" w:rsidRDefault="003D1FFB" w:rsidP="00AD1934">
            <w:pPr>
              <w:rPr>
                <w:sz w:val="20"/>
                <w:szCs w:val="20"/>
              </w:rPr>
            </w:pPr>
            <w:r w:rsidRPr="005D5957">
              <w:rPr>
                <w:sz w:val="20"/>
                <w:szCs w:val="20"/>
              </w:rPr>
              <w:t>Namenalala island</w:t>
            </w:r>
          </w:p>
        </w:tc>
        <w:tc>
          <w:tcPr>
            <w:tcW w:w="1980" w:type="dxa"/>
            <w:vMerge w:val="restart"/>
            <w:tcBorders>
              <w:top w:val="nil"/>
              <w:left w:val="single" w:sz="4" w:space="0" w:color="auto"/>
              <w:bottom w:val="single" w:sz="4" w:space="0" w:color="auto"/>
              <w:right w:val="single" w:sz="4" w:space="0" w:color="auto"/>
            </w:tcBorders>
            <w:shd w:val="clear" w:color="auto" w:fill="auto"/>
            <w:vAlign w:val="bottom"/>
          </w:tcPr>
          <w:p w:rsidR="003D1FFB" w:rsidRPr="005D5957" w:rsidRDefault="003D1FFB" w:rsidP="00AD1934">
            <w:pPr>
              <w:rPr>
                <w:sz w:val="20"/>
                <w:szCs w:val="20"/>
              </w:rPr>
            </w:pPr>
            <w:r w:rsidRPr="005D5957">
              <w:rPr>
                <w:sz w:val="20"/>
                <w:szCs w:val="20"/>
              </w:rPr>
              <w:t>99 year lease by NLTB with conservation conditions</w:t>
            </w:r>
          </w:p>
        </w:tc>
        <w:tc>
          <w:tcPr>
            <w:tcW w:w="1080" w:type="dxa"/>
            <w:tcBorders>
              <w:top w:val="nil"/>
              <w:left w:val="nil"/>
              <w:bottom w:val="single" w:sz="4" w:space="0" w:color="auto"/>
              <w:right w:val="nil"/>
            </w:tcBorders>
            <w:vAlign w:val="center"/>
          </w:tcPr>
          <w:p w:rsidR="003D1FFB" w:rsidRPr="005D5957" w:rsidRDefault="003D1FFB" w:rsidP="00AD1934">
            <w:pPr>
              <w:jc w:val="center"/>
              <w:rPr>
                <w:sz w:val="20"/>
                <w:szCs w:val="20"/>
              </w:rPr>
            </w:pPr>
            <w:r w:rsidRPr="005D5957">
              <w:rPr>
                <w:sz w:val="20"/>
                <w:szCs w:val="20"/>
              </w:rPr>
              <w:t>II</w:t>
            </w:r>
          </w:p>
        </w:tc>
        <w:tc>
          <w:tcPr>
            <w:tcW w:w="1080" w:type="dxa"/>
            <w:tcBorders>
              <w:top w:val="nil"/>
              <w:left w:val="nil"/>
              <w:bottom w:val="single" w:sz="4" w:space="0" w:color="auto"/>
              <w:right w:val="single" w:sz="4" w:space="0" w:color="auto"/>
            </w:tcBorders>
            <w:shd w:val="clear" w:color="auto" w:fill="auto"/>
            <w:noWrap/>
            <w:vAlign w:val="bottom"/>
          </w:tcPr>
          <w:p w:rsidR="003D1FFB" w:rsidRPr="005D5957" w:rsidRDefault="003D1FFB" w:rsidP="00AD1934">
            <w:pPr>
              <w:jc w:val="right"/>
              <w:rPr>
                <w:sz w:val="20"/>
                <w:szCs w:val="20"/>
              </w:rPr>
            </w:pPr>
            <w:r w:rsidRPr="005D5957">
              <w:rPr>
                <w:sz w:val="20"/>
                <w:szCs w:val="20"/>
              </w:rPr>
              <w:t>1984</w:t>
            </w:r>
          </w:p>
        </w:tc>
        <w:tc>
          <w:tcPr>
            <w:tcW w:w="1260" w:type="dxa"/>
            <w:tcBorders>
              <w:top w:val="nil"/>
              <w:left w:val="nil"/>
              <w:bottom w:val="single" w:sz="4" w:space="0" w:color="auto"/>
              <w:right w:val="single" w:sz="8" w:space="0" w:color="auto"/>
            </w:tcBorders>
            <w:shd w:val="clear" w:color="auto" w:fill="auto"/>
            <w:noWrap/>
            <w:vAlign w:val="bottom"/>
          </w:tcPr>
          <w:p w:rsidR="003D1FFB" w:rsidRPr="005D5957" w:rsidRDefault="003D1FFB" w:rsidP="00AD1934">
            <w:pPr>
              <w:jc w:val="right"/>
              <w:rPr>
                <w:sz w:val="20"/>
                <w:szCs w:val="20"/>
              </w:rPr>
            </w:pPr>
            <w:r w:rsidRPr="005D5957">
              <w:rPr>
                <w:sz w:val="20"/>
                <w:szCs w:val="20"/>
              </w:rPr>
              <w:t>43</w:t>
            </w:r>
          </w:p>
        </w:tc>
      </w:tr>
      <w:tr w:rsidR="003D1FFB" w:rsidRPr="005D5957" w:rsidTr="00AD1934">
        <w:trPr>
          <w:trHeight w:val="255"/>
        </w:trPr>
        <w:tc>
          <w:tcPr>
            <w:tcW w:w="3070" w:type="dxa"/>
            <w:tcBorders>
              <w:top w:val="nil"/>
              <w:left w:val="single" w:sz="8" w:space="0" w:color="auto"/>
              <w:bottom w:val="single" w:sz="4" w:space="0" w:color="auto"/>
              <w:right w:val="single" w:sz="4" w:space="0" w:color="auto"/>
            </w:tcBorders>
            <w:shd w:val="clear" w:color="auto" w:fill="auto"/>
            <w:noWrap/>
            <w:vAlign w:val="center"/>
          </w:tcPr>
          <w:p w:rsidR="003D1FFB" w:rsidRPr="005D5957" w:rsidRDefault="003D1FFB" w:rsidP="00AD1934">
            <w:pPr>
              <w:rPr>
                <w:sz w:val="20"/>
                <w:szCs w:val="20"/>
              </w:rPr>
            </w:pPr>
            <w:r w:rsidRPr="005D5957">
              <w:rPr>
                <w:sz w:val="20"/>
                <w:szCs w:val="20"/>
              </w:rPr>
              <w:t>Yadua Taba island</w:t>
            </w:r>
          </w:p>
        </w:tc>
        <w:tc>
          <w:tcPr>
            <w:tcW w:w="1980" w:type="dxa"/>
            <w:vMerge/>
            <w:tcBorders>
              <w:top w:val="nil"/>
              <w:left w:val="single" w:sz="4" w:space="0" w:color="auto"/>
              <w:bottom w:val="single" w:sz="4" w:space="0" w:color="auto"/>
              <w:right w:val="single" w:sz="4" w:space="0" w:color="auto"/>
            </w:tcBorders>
            <w:vAlign w:val="center"/>
          </w:tcPr>
          <w:p w:rsidR="003D1FFB" w:rsidRPr="005D5957" w:rsidRDefault="003D1FFB" w:rsidP="00AD1934">
            <w:pPr>
              <w:rPr>
                <w:sz w:val="20"/>
                <w:szCs w:val="20"/>
              </w:rPr>
            </w:pPr>
          </w:p>
        </w:tc>
        <w:tc>
          <w:tcPr>
            <w:tcW w:w="1080" w:type="dxa"/>
            <w:tcBorders>
              <w:top w:val="nil"/>
              <w:left w:val="nil"/>
              <w:bottom w:val="single" w:sz="4" w:space="0" w:color="auto"/>
              <w:right w:val="nil"/>
            </w:tcBorders>
            <w:vAlign w:val="center"/>
          </w:tcPr>
          <w:p w:rsidR="003D1FFB" w:rsidRPr="005D5957" w:rsidRDefault="003D1FFB" w:rsidP="00AD1934">
            <w:pPr>
              <w:jc w:val="center"/>
              <w:rPr>
                <w:sz w:val="20"/>
                <w:szCs w:val="20"/>
              </w:rPr>
            </w:pPr>
            <w:r w:rsidRPr="005D5957">
              <w:rPr>
                <w:sz w:val="20"/>
                <w:szCs w:val="20"/>
              </w:rPr>
              <w:t>Ia</w:t>
            </w:r>
          </w:p>
        </w:tc>
        <w:tc>
          <w:tcPr>
            <w:tcW w:w="1080" w:type="dxa"/>
            <w:tcBorders>
              <w:top w:val="nil"/>
              <w:left w:val="nil"/>
              <w:bottom w:val="single" w:sz="4" w:space="0" w:color="auto"/>
              <w:right w:val="single" w:sz="4" w:space="0" w:color="auto"/>
            </w:tcBorders>
            <w:shd w:val="clear" w:color="auto" w:fill="auto"/>
            <w:noWrap/>
            <w:vAlign w:val="bottom"/>
          </w:tcPr>
          <w:p w:rsidR="003D1FFB" w:rsidRPr="005D5957" w:rsidRDefault="003D1FFB" w:rsidP="00AD1934">
            <w:pPr>
              <w:jc w:val="right"/>
              <w:rPr>
                <w:sz w:val="20"/>
                <w:szCs w:val="20"/>
              </w:rPr>
            </w:pPr>
            <w:r w:rsidRPr="005D5957">
              <w:rPr>
                <w:sz w:val="20"/>
                <w:szCs w:val="20"/>
              </w:rPr>
              <w:t>2004</w:t>
            </w:r>
          </w:p>
        </w:tc>
        <w:tc>
          <w:tcPr>
            <w:tcW w:w="1260" w:type="dxa"/>
            <w:tcBorders>
              <w:top w:val="nil"/>
              <w:left w:val="nil"/>
              <w:bottom w:val="single" w:sz="4" w:space="0" w:color="auto"/>
              <w:right w:val="single" w:sz="8" w:space="0" w:color="auto"/>
            </w:tcBorders>
            <w:shd w:val="clear" w:color="auto" w:fill="auto"/>
            <w:noWrap/>
            <w:vAlign w:val="bottom"/>
          </w:tcPr>
          <w:p w:rsidR="003D1FFB" w:rsidRPr="005D5957" w:rsidRDefault="003D1FFB" w:rsidP="00AD1934">
            <w:pPr>
              <w:jc w:val="right"/>
              <w:rPr>
                <w:sz w:val="20"/>
                <w:szCs w:val="20"/>
              </w:rPr>
            </w:pPr>
            <w:r w:rsidRPr="005D5957">
              <w:rPr>
                <w:sz w:val="20"/>
                <w:szCs w:val="20"/>
              </w:rPr>
              <w:t>50</w:t>
            </w:r>
          </w:p>
        </w:tc>
      </w:tr>
      <w:tr w:rsidR="003D1FFB" w:rsidRPr="005D5957" w:rsidTr="00AD1934">
        <w:trPr>
          <w:trHeight w:val="255"/>
        </w:trPr>
        <w:tc>
          <w:tcPr>
            <w:tcW w:w="3070" w:type="dxa"/>
            <w:tcBorders>
              <w:top w:val="nil"/>
              <w:left w:val="single" w:sz="8" w:space="0" w:color="auto"/>
              <w:bottom w:val="single" w:sz="4" w:space="0" w:color="auto"/>
              <w:right w:val="single" w:sz="4" w:space="0" w:color="auto"/>
            </w:tcBorders>
            <w:shd w:val="clear" w:color="auto" w:fill="auto"/>
            <w:vAlign w:val="center"/>
          </w:tcPr>
          <w:p w:rsidR="003D1FFB" w:rsidRPr="005D5957" w:rsidRDefault="003D1FFB" w:rsidP="00AD1934">
            <w:pPr>
              <w:rPr>
                <w:sz w:val="20"/>
                <w:szCs w:val="20"/>
              </w:rPr>
            </w:pPr>
            <w:r w:rsidRPr="005D5957">
              <w:rPr>
                <w:sz w:val="20"/>
                <w:szCs w:val="20"/>
              </w:rPr>
              <w:t>Waisali Reserve</w:t>
            </w:r>
          </w:p>
        </w:tc>
        <w:tc>
          <w:tcPr>
            <w:tcW w:w="1980" w:type="dxa"/>
            <w:vMerge/>
            <w:tcBorders>
              <w:top w:val="nil"/>
              <w:left w:val="single" w:sz="4" w:space="0" w:color="auto"/>
              <w:bottom w:val="single" w:sz="4" w:space="0" w:color="auto"/>
              <w:right w:val="single" w:sz="4" w:space="0" w:color="auto"/>
            </w:tcBorders>
            <w:vAlign w:val="center"/>
          </w:tcPr>
          <w:p w:rsidR="003D1FFB" w:rsidRPr="005D5957" w:rsidRDefault="003D1FFB" w:rsidP="00AD1934">
            <w:pPr>
              <w:rPr>
                <w:sz w:val="20"/>
                <w:szCs w:val="20"/>
              </w:rPr>
            </w:pPr>
          </w:p>
        </w:tc>
        <w:tc>
          <w:tcPr>
            <w:tcW w:w="1080" w:type="dxa"/>
            <w:tcBorders>
              <w:top w:val="nil"/>
              <w:left w:val="nil"/>
              <w:bottom w:val="single" w:sz="4" w:space="0" w:color="auto"/>
              <w:right w:val="nil"/>
            </w:tcBorders>
            <w:vAlign w:val="center"/>
          </w:tcPr>
          <w:p w:rsidR="003D1FFB" w:rsidRPr="005D5957" w:rsidRDefault="003D1FFB" w:rsidP="00AD1934">
            <w:pPr>
              <w:jc w:val="center"/>
              <w:rPr>
                <w:sz w:val="20"/>
                <w:szCs w:val="20"/>
              </w:rPr>
            </w:pPr>
            <w:r w:rsidRPr="005D5957">
              <w:rPr>
                <w:sz w:val="20"/>
                <w:szCs w:val="20"/>
              </w:rPr>
              <w:t>II</w:t>
            </w:r>
          </w:p>
        </w:tc>
        <w:tc>
          <w:tcPr>
            <w:tcW w:w="1080" w:type="dxa"/>
            <w:tcBorders>
              <w:top w:val="nil"/>
              <w:left w:val="nil"/>
              <w:bottom w:val="single" w:sz="4" w:space="0" w:color="auto"/>
              <w:right w:val="single" w:sz="4" w:space="0" w:color="auto"/>
            </w:tcBorders>
            <w:shd w:val="clear" w:color="auto" w:fill="auto"/>
            <w:noWrap/>
            <w:vAlign w:val="bottom"/>
          </w:tcPr>
          <w:p w:rsidR="003D1FFB" w:rsidRPr="005D5957" w:rsidRDefault="003D1FFB" w:rsidP="00AD1934">
            <w:pPr>
              <w:jc w:val="right"/>
              <w:rPr>
                <w:sz w:val="20"/>
                <w:szCs w:val="20"/>
              </w:rPr>
            </w:pPr>
            <w:r w:rsidRPr="005D5957">
              <w:rPr>
                <w:sz w:val="20"/>
                <w:szCs w:val="20"/>
              </w:rPr>
              <w:t>1991</w:t>
            </w:r>
          </w:p>
        </w:tc>
        <w:tc>
          <w:tcPr>
            <w:tcW w:w="1260" w:type="dxa"/>
            <w:tcBorders>
              <w:top w:val="nil"/>
              <w:left w:val="nil"/>
              <w:bottom w:val="single" w:sz="4" w:space="0" w:color="auto"/>
              <w:right w:val="single" w:sz="8" w:space="0" w:color="auto"/>
            </w:tcBorders>
            <w:shd w:val="clear" w:color="auto" w:fill="auto"/>
            <w:noWrap/>
            <w:vAlign w:val="bottom"/>
          </w:tcPr>
          <w:p w:rsidR="003D1FFB" w:rsidRPr="005D5957" w:rsidRDefault="003D1FFB" w:rsidP="00AD1934">
            <w:pPr>
              <w:jc w:val="right"/>
              <w:rPr>
                <w:sz w:val="20"/>
                <w:szCs w:val="20"/>
              </w:rPr>
            </w:pPr>
            <w:r w:rsidRPr="005D5957">
              <w:rPr>
                <w:sz w:val="20"/>
                <w:szCs w:val="20"/>
              </w:rPr>
              <w:t>120</w:t>
            </w:r>
          </w:p>
        </w:tc>
      </w:tr>
      <w:tr w:rsidR="003D1FFB" w:rsidRPr="005D5957" w:rsidTr="00AD1934">
        <w:trPr>
          <w:trHeight w:val="510"/>
        </w:trPr>
        <w:tc>
          <w:tcPr>
            <w:tcW w:w="3070" w:type="dxa"/>
            <w:tcBorders>
              <w:top w:val="nil"/>
              <w:left w:val="single" w:sz="8" w:space="0" w:color="auto"/>
              <w:bottom w:val="single" w:sz="4" w:space="0" w:color="auto"/>
              <w:right w:val="single" w:sz="4" w:space="0" w:color="auto"/>
            </w:tcBorders>
            <w:shd w:val="clear" w:color="auto" w:fill="auto"/>
            <w:vAlign w:val="center"/>
          </w:tcPr>
          <w:p w:rsidR="003D1FFB" w:rsidRPr="005D5957" w:rsidRDefault="003D1FFB" w:rsidP="00AD1934">
            <w:pPr>
              <w:rPr>
                <w:sz w:val="20"/>
                <w:szCs w:val="20"/>
              </w:rPr>
            </w:pPr>
            <w:r w:rsidRPr="005D5957">
              <w:rPr>
                <w:sz w:val="20"/>
                <w:szCs w:val="20"/>
              </w:rPr>
              <w:t xml:space="preserve">Monasavu Catchment </w:t>
            </w:r>
          </w:p>
        </w:tc>
        <w:tc>
          <w:tcPr>
            <w:tcW w:w="1980" w:type="dxa"/>
            <w:tcBorders>
              <w:top w:val="nil"/>
              <w:left w:val="nil"/>
              <w:bottom w:val="single" w:sz="4" w:space="0" w:color="auto"/>
              <w:right w:val="single" w:sz="4" w:space="0" w:color="auto"/>
            </w:tcBorders>
            <w:shd w:val="clear" w:color="auto" w:fill="auto"/>
            <w:vAlign w:val="bottom"/>
          </w:tcPr>
          <w:p w:rsidR="003D1FFB" w:rsidRPr="005D5957" w:rsidRDefault="003D1FFB" w:rsidP="00AD1934">
            <w:pPr>
              <w:rPr>
                <w:sz w:val="20"/>
                <w:szCs w:val="20"/>
              </w:rPr>
            </w:pPr>
            <w:r w:rsidRPr="005D5957">
              <w:rPr>
                <w:sz w:val="20"/>
                <w:szCs w:val="20"/>
              </w:rPr>
              <w:t>99 year lease by NLTB (conditions not known)</w:t>
            </w:r>
          </w:p>
        </w:tc>
        <w:tc>
          <w:tcPr>
            <w:tcW w:w="1080" w:type="dxa"/>
            <w:tcBorders>
              <w:top w:val="nil"/>
              <w:left w:val="nil"/>
              <w:bottom w:val="single" w:sz="4" w:space="0" w:color="auto"/>
              <w:right w:val="nil"/>
            </w:tcBorders>
            <w:vAlign w:val="center"/>
          </w:tcPr>
          <w:p w:rsidR="003D1FFB" w:rsidRPr="005D5957" w:rsidRDefault="003D1FFB" w:rsidP="00AD1934">
            <w:pPr>
              <w:jc w:val="center"/>
              <w:rPr>
                <w:sz w:val="20"/>
                <w:szCs w:val="20"/>
              </w:rPr>
            </w:pPr>
            <w:r w:rsidRPr="005D5957">
              <w:rPr>
                <w:sz w:val="20"/>
                <w:szCs w:val="20"/>
              </w:rPr>
              <w:t>VI</w:t>
            </w:r>
          </w:p>
        </w:tc>
        <w:tc>
          <w:tcPr>
            <w:tcW w:w="1080" w:type="dxa"/>
            <w:tcBorders>
              <w:top w:val="nil"/>
              <w:left w:val="nil"/>
              <w:bottom w:val="single" w:sz="4" w:space="0" w:color="auto"/>
              <w:right w:val="single" w:sz="4" w:space="0" w:color="auto"/>
            </w:tcBorders>
            <w:shd w:val="clear" w:color="auto" w:fill="auto"/>
            <w:noWrap/>
            <w:vAlign w:val="bottom"/>
          </w:tcPr>
          <w:p w:rsidR="003D1FFB" w:rsidRPr="005D5957" w:rsidRDefault="003D1FFB" w:rsidP="00AD1934">
            <w:pPr>
              <w:jc w:val="right"/>
              <w:rPr>
                <w:sz w:val="20"/>
                <w:szCs w:val="20"/>
              </w:rPr>
            </w:pPr>
            <w:r w:rsidRPr="005D5957">
              <w:rPr>
                <w:sz w:val="20"/>
                <w:szCs w:val="20"/>
              </w:rPr>
              <w:t>2004</w:t>
            </w:r>
          </w:p>
        </w:tc>
        <w:tc>
          <w:tcPr>
            <w:tcW w:w="1260" w:type="dxa"/>
            <w:tcBorders>
              <w:top w:val="nil"/>
              <w:left w:val="nil"/>
              <w:bottom w:val="single" w:sz="4" w:space="0" w:color="auto"/>
              <w:right w:val="single" w:sz="8" w:space="0" w:color="auto"/>
            </w:tcBorders>
            <w:shd w:val="clear" w:color="auto" w:fill="auto"/>
            <w:noWrap/>
            <w:vAlign w:val="bottom"/>
          </w:tcPr>
          <w:p w:rsidR="003D1FFB" w:rsidRPr="005D5957" w:rsidRDefault="003D1FFB" w:rsidP="00AD1934">
            <w:pPr>
              <w:jc w:val="right"/>
              <w:rPr>
                <w:sz w:val="20"/>
                <w:szCs w:val="20"/>
              </w:rPr>
            </w:pPr>
            <w:r w:rsidRPr="005D5957">
              <w:rPr>
                <w:sz w:val="20"/>
                <w:szCs w:val="20"/>
              </w:rPr>
              <w:t>c.1,000</w:t>
            </w:r>
          </w:p>
        </w:tc>
      </w:tr>
      <w:tr w:rsidR="003D1FFB" w:rsidRPr="005D5957" w:rsidTr="00AD1934">
        <w:trPr>
          <w:trHeight w:val="780"/>
        </w:trPr>
        <w:tc>
          <w:tcPr>
            <w:tcW w:w="3070" w:type="dxa"/>
            <w:tcBorders>
              <w:top w:val="nil"/>
              <w:left w:val="single" w:sz="8" w:space="0" w:color="auto"/>
              <w:bottom w:val="single" w:sz="4" w:space="0" w:color="auto"/>
              <w:right w:val="single" w:sz="4" w:space="0" w:color="auto"/>
            </w:tcBorders>
            <w:shd w:val="clear" w:color="auto" w:fill="auto"/>
            <w:vAlign w:val="center"/>
          </w:tcPr>
          <w:p w:rsidR="003D1FFB" w:rsidRPr="005D5957" w:rsidRDefault="003D1FFB" w:rsidP="00AD1934">
            <w:pPr>
              <w:rPr>
                <w:sz w:val="20"/>
                <w:szCs w:val="20"/>
              </w:rPr>
            </w:pPr>
            <w:r w:rsidRPr="005D5957">
              <w:rPr>
                <w:sz w:val="20"/>
                <w:szCs w:val="20"/>
              </w:rPr>
              <w:t xml:space="preserve">Navua Gorge - </w:t>
            </w:r>
            <w:smartTag w:uri="urn:schemas-microsoft-com:office:smarttags" w:element="PersonName">
              <w:r w:rsidRPr="005D5957">
                <w:rPr>
                  <w:sz w:val="20"/>
                  <w:szCs w:val="20"/>
                </w:rPr>
                <w:t>Ramsar</w:t>
              </w:r>
            </w:smartTag>
            <w:r w:rsidRPr="005D5957">
              <w:rPr>
                <w:sz w:val="20"/>
                <w:szCs w:val="20"/>
              </w:rPr>
              <w:t xml:space="preserve"> Site</w:t>
            </w:r>
          </w:p>
        </w:tc>
        <w:tc>
          <w:tcPr>
            <w:tcW w:w="1980" w:type="dxa"/>
            <w:tcBorders>
              <w:top w:val="nil"/>
              <w:left w:val="nil"/>
              <w:bottom w:val="single" w:sz="4" w:space="0" w:color="auto"/>
              <w:right w:val="single" w:sz="4" w:space="0" w:color="auto"/>
            </w:tcBorders>
            <w:shd w:val="clear" w:color="auto" w:fill="auto"/>
            <w:vAlign w:val="bottom"/>
          </w:tcPr>
          <w:p w:rsidR="003D1FFB" w:rsidRPr="005D5957" w:rsidRDefault="003D1FFB" w:rsidP="00AD1934">
            <w:pPr>
              <w:rPr>
                <w:sz w:val="20"/>
                <w:szCs w:val="20"/>
              </w:rPr>
            </w:pPr>
            <w:r w:rsidRPr="005D5957">
              <w:rPr>
                <w:sz w:val="20"/>
                <w:szCs w:val="20"/>
              </w:rPr>
              <w:t>25 year lease by NLTB with conservation conditions</w:t>
            </w:r>
          </w:p>
        </w:tc>
        <w:tc>
          <w:tcPr>
            <w:tcW w:w="1080" w:type="dxa"/>
            <w:tcBorders>
              <w:top w:val="nil"/>
              <w:left w:val="nil"/>
              <w:bottom w:val="single" w:sz="4" w:space="0" w:color="auto"/>
              <w:right w:val="nil"/>
            </w:tcBorders>
            <w:vAlign w:val="center"/>
          </w:tcPr>
          <w:p w:rsidR="003D1FFB" w:rsidRPr="005D5957" w:rsidRDefault="003D1FFB" w:rsidP="00AD1934">
            <w:pPr>
              <w:jc w:val="center"/>
              <w:rPr>
                <w:sz w:val="20"/>
                <w:szCs w:val="20"/>
              </w:rPr>
            </w:pPr>
            <w:r w:rsidRPr="005D5957">
              <w:rPr>
                <w:sz w:val="20"/>
                <w:szCs w:val="20"/>
              </w:rPr>
              <w:t>II</w:t>
            </w:r>
          </w:p>
        </w:tc>
        <w:tc>
          <w:tcPr>
            <w:tcW w:w="1080" w:type="dxa"/>
            <w:tcBorders>
              <w:top w:val="nil"/>
              <w:left w:val="nil"/>
              <w:bottom w:val="single" w:sz="4" w:space="0" w:color="auto"/>
              <w:right w:val="single" w:sz="4" w:space="0" w:color="auto"/>
            </w:tcBorders>
            <w:shd w:val="clear" w:color="auto" w:fill="auto"/>
            <w:noWrap/>
            <w:vAlign w:val="bottom"/>
          </w:tcPr>
          <w:p w:rsidR="003D1FFB" w:rsidRPr="005D5957" w:rsidRDefault="003D1FFB" w:rsidP="00AD1934">
            <w:pPr>
              <w:jc w:val="right"/>
              <w:rPr>
                <w:sz w:val="20"/>
                <w:szCs w:val="20"/>
              </w:rPr>
            </w:pPr>
            <w:r w:rsidRPr="005D5957">
              <w:rPr>
                <w:sz w:val="20"/>
                <w:szCs w:val="20"/>
              </w:rPr>
              <w:t>1997</w:t>
            </w:r>
          </w:p>
        </w:tc>
        <w:tc>
          <w:tcPr>
            <w:tcW w:w="1260" w:type="dxa"/>
            <w:tcBorders>
              <w:top w:val="nil"/>
              <w:left w:val="nil"/>
              <w:bottom w:val="single" w:sz="4" w:space="0" w:color="auto"/>
              <w:right w:val="single" w:sz="8" w:space="0" w:color="auto"/>
            </w:tcBorders>
            <w:shd w:val="clear" w:color="auto" w:fill="auto"/>
            <w:noWrap/>
            <w:vAlign w:val="bottom"/>
          </w:tcPr>
          <w:p w:rsidR="003D1FFB" w:rsidRPr="005D5957" w:rsidRDefault="003D1FFB" w:rsidP="00AD1934">
            <w:pPr>
              <w:jc w:val="right"/>
              <w:rPr>
                <w:sz w:val="20"/>
                <w:szCs w:val="20"/>
              </w:rPr>
            </w:pPr>
            <w:r w:rsidRPr="005D5957">
              <w:rPr>
                <w:sz w:val="20"/>
                <w:szCs w:val="20"/>
              </w:rPr>
              <w:t>c. 640</w:t>
            </w:r>
          </w:p>
        </w:tc>
      </w:tr>
      <w:tr w:rsidR="003D1FFB" w:rsidRPr="005D5957" w:rsidTr="00AD1934">
        <w:trPr>
          <w:trHeight w:val="315"/>
        </w:trPr>
        <w:tc>
          <w:tcPr>
            <w:tcW w:w="3070" w:type="dxa"/>
            <w:tcBorders>
              <w:top w:val="nil"/>
              <w:left w:val="single" w:sz="8" w:space="0" w:color="auto"/>
              <w:bottom w:val="single" w:sz="4" w:space="0" w:color="auto"/>
              <w:right w:val="single" w:sz="4" w:space="0" w:color="auto"/>
            </w:tcBorders>
            <w:shd w:val="clear" w:color="auto" w:fill="auto"/>
            <w:vAlign w:val="center"/>
          </w:tcPr>
          <w:p w:rsidR="003D1FFB" w:rsidRPr="005D5957" w:rsidRDefault="003D1FFB" w:rsidP="00AD1934">
            <w:pPr>
              <w:rPr>
                <w:sz w:val="20"/>
                <w:szCs w:val="20"/>
              </w:rPr>
            </w:pPr>
            <w:smartTag w:uri="urn:schemas-microsoft-com:office:smarttags" w:element="place">
              <w:smartTag w:uri="urn:schemas-microsoft-com:office:smarttags" w:element="PlaceName">
                <w:r w:rsidRPr="005D5957">
                  <w:rPr>
                    <w:sz w:val="20"/>
                    <w:szCs w:val="20"/>
                  </w:rPr>
                  <w:t>Sovi</w:t>
                </w:r>
              </w:smartTag>
              <w:r w:rsidRPr="005D5957">
                <w:rPr>
                  <w:sz w:val="20"/>
                  <w:szCs w:val="20"/>
                </w:rPr>
                <w:t xml:space="preserve"> </w:t>
              </w:r>
              <w:smartTag w:uri="urn:schemas-microsoft-com:office:smarttags" w:element="PlaceType">
                <w:r w:rsidRPr="005D5957">
                  <w:rPr>
                    <w:sz w:val="20"/>
                    <w:szCs w:val="20"/>
                  </w:rPr>
                  <w:t>Basin</w:t>
                </w:r>
              </w:smartTag>
            </w:smartTag>
            <w:r w:rsidRPr="005D5957">
              <w:rPr>
                <w:sz w:val="20"/>
                <w:szCs w:val="20"/>
              </w:rPr>
              <w:t xml:space="preserve"> Reserve</w:t>
            </w:r>
          </w:p>
        </w:tc>
        <w:tc>
          <w:tcPr>
            <w:tcW w:w="1980" w:type="dxa"/>
            <w:tcBorders>
              <w:top w:val="nil"/>
              <w:left w:val="nil"/>
              <w:bottom w:val="single" w:sz="4" w:space="0" w:color="auto"/>
              <w:right w:val="single" w:sz="4" w:space="0" w:color="auto"/>
            </w:tcBorders>
            <w:shd w:val="clear" w:color="auto" w:fill="auto"/>
            <w:vAlign w:val="bottom"/>
          </w:tcPr>
          <w:p w:rsidR="003D1FFB" w:rsidRPr="005D5957" w:rsidRDefault="003D1FFB" w:rsidP="00AD1934">
            <w:pPr>
              <w:rPr>
                <w:sz w:val="20"/>
                <w:szCs w:val="20"/>
              </w:rPr>
            </w:pPr>
            <w:r w:rsidRPr="005D5957">
              <w:rPr>
                <w:sz w:val="20"/>
                <w:szCs w:val="20"/>
              </w:rPr>
              <w:t>5 year 'temporary lease'</w:t>
            </w:r>
          </w:p>
        </w:tc>
        <w:tc>
          <w:tcPr>
            <w:tcW w:w="1080" w:type="dxa"/>
            <w:tcBorders>
              <w:top w:val="nil"/>
              <w:left w:val="nil"/>
              <w:bottom w:val="single" w:sz="4" w:space="0" w:color="auto"/>
              <w:right w:val="nil"/>
            </w:tcBorders>
            <w:vAlign w:val="center"/>
          </w:tcPr>
          <w:p w:rsidR="003D1FFB" w:rsidRPr="005D5957" w:rsidRDefault="003D1FFB" w:rsidP="00AD1934">
            <w:pPr>
              <w:jc w:val="center"/>
              <w:rPr>
                <w:sz w:val="20"/>
                <w:szCs w:val="20"/>
              </w:rPr>
            </w:pPr>
            <w:r w:rsidRPr="005D5957">
              <w:rPr>
                <w:sz w:val="20"/>
                <w:szCs w:val="20"/>
              </w:rPr>
              <w:t>II</w:t>
            </w:r>
          </w:p>
        </w:tc>
        <w:tc>
          <w:tcPr>
            <w:tcW w:w="1080" w:type="dxa"/>
            <w:tcBorders>
              <w:top w:val="nil"/>
              <w:left w:val="nil"/>
              <w:bottom w:val="single" w:sz="4" w:space="0" w:color="auto"/>
              <w:right w:val="single" w:sz="4" w:space="0" w:color="auto"/>
            </w:tcBorders>
            <w:shd w:val="clear" w:color="auto" w:fill="auto"/>
            <w:noWrap/>
            <w:vAlign w:val="bottom"/>
          </w:tcPr>
          <w:p w:rsidR="003D1FFB" w:rsidRPr="005D5957" w:rsidRDefault="003D1FFB" w:rsidP="00AD1934">
            <w:pPr>
              <w:jc w:val="right"/>
              <w:rPr>
                <w:sz w:val="20"/>
                <w:szCs w:val="20"/>
              </w:rPr>
            </w:pPr>
            <w:r w:rsidRPr="005D5957">
              <w:rPr>
                <w:sz w:val="20"/>
                <w:szCs w:val="20"/>
              </w:rPr>
              <w:t>2006</w:t>
            </w:r>
          </w:p>
        </w:tc>
        <w:tc>
          <w:tcPr>
            <w:tcW w:w="1260" w:type="dxa"/>
            <w:tcBorders>
              <w:top w:val="nil"/>
              <w:left w:val="nil"/>
              <w:bottom w:val="single" w:sz="4" w:space="0" w:color="auto"/>
              <w:right w:val="single" w:sz="8" w:space="0" w:color="auto"/>
            </w:tcBorders>
            <w:shd w:val="clear" w:color="auto" w:fill="auto"/>
            <w:noWrap/>
            <w:vAlign w:val="bottom"/>
          </w:tcPr>
          <w:p w:rsidR="003D1FFB" w:rsidRPr="005D5957" w:rsidRDefault="003D1FFB" w:rsidP="00AD1934">
            <w:pPr>
              <w:jc w:val="right"/>
              <w:rPr>
                <w:sz w:val="20"/>
                <w:szCs w:val="20"/>
              </w:rPr>
            </w:pPr>
            <w:r w:rsidRPr="005D5957">
              <w:rPr>
                <w:sz w:val="20"/>
                <w:szCs w:val="20"/>
                <w:lang w:val="en-GB"/>
              </w:rPr>
              <w:t>20,421</w:t>
            </w:r>
          </w:p>
        </w:tc>
      </w:tr>
      <w:tr w:rsidR="003D1FFB" w:rsidRPr="005D5957" w:rsidTr="00AD1934">
        <w:trPr>
          <w:trHeight w:val="255"/>
        </w:trPr>
        <w:tc>
          <w:tcPr>
            <w:tcW w:w="3070" w:type="dxa"/>
            <w:tcBorders>
              <w:top w:val="single" w:sz="8" w:space="0" w:color="auto"/>
              <w:left w:val="single" w:sz="8" w:space="0" w:color="auto"/>
              <w:bottom w:val="single" w:sz="4" w:space="0" w:color="auto"/>
              <w:right w:val="single" w:sz="4" w:space="0" w:color="auto"/>
            </w:tcBorders>
            <w:shd w:val="clear" w:color="auto" w:fill="auto"/>
            <w:noWrap/>
            <w:vAlign w:val="center"/>
          </w:tcPr>
          <w:p w:rsidR="003D1FFB" w:rsidRPr="005D5957" w:rsidRDefault="003D1FFB" w:rsidP="00AD1934">
            <w:pPr>
              <w:rPr>
                <w:b/>
                <w:bCs/>
                <w:sz w:val="20"/>
                <w:szCs w:val="20"/>
              </w:rPr>
            </w:pPr>
            <w:r w:rsidRPr="005D5957">
              <w:rPr>
                <w:b/>
                <w:bCs/>
                <w:sz w:val="20"/>
                <w:szCs w:val="20"/>
              </w:rPr>
              <w:t>Other Protected Areas (without legal security)</w:t>
            </w:r>
          </w:p>
        </w:tc>
        <w:tc>
          <w:tcPr>
            <w:tcW w:w="1980" w:type="dxa"/>
            <w:tcBorders>
              <w:top w:val="single" w:sz="8" w:space="0" w:color="auto"/>
              <w:left w:val="nil"/>
              <w:bottom w:val="single" w:sz="4" w:space="0" w:color="auto"/>
              <w:right w:val="single" w:sz="4" w:space="0" w:color="auto"/>
            </w:tcBorders>
            <w:shd w:val="clear" w:color="auto" w:fill="auto"/>
            <w:vAlign w:val="bottom"/>
          </w:tcPr>
          <w:p w:rsidR="003D1FFB" w:rsidRPr="005D5957" w:rsidRDefault="003D1FFB" w:rsidP="00AD1934">
            <w:pPr>
              <w:rPr>
                <w:sz w:val="20"/>
                <w:szCs w:val="20"/>
              </w:rPr>
            </w:pPr>
            <w:r w:rsidRPr="005D5957">
              <w:rPr>
                <w:sz w:val="20"/>
                <w:szCs w:val="20"/>
              </w:rPr>
              <w:t> </w:t>
            </w:r>
          </w:p>
        </w:tc>
        <w:tc>
          <w:tcPr>
            <w:tcW w:w="1080" w:type="dxa"/>
            <w:tcBorders>
              <w:top w:val="single" w:sz="8" w:space="0" w:color="auto"/>
              <w:left w:val="nil"/>
              <w:bottom w:val="single" w:sz="4" w:space="0" w:color="auto"/>
              <w:right w:val="nil"/>
            </w:tcBorders>
            <w:vAlign w:val="center"/>
          </w:tcPr>
          <w:p w:rsidR="003D1FFB" w:rsidRPr="005D5957" w:rsidRDefault="003D1FFB" w:rsidP="00AD1934">
            <w:pPr>
              <w:jc w:val="center"/>
              <w:rPr>
                <w:sz w:val="20"/>
                <w:szCs w:val="20"/>
              </w:rPr>
            </w:pPr>
          </w:p>
        </w:tc>
        <w:tc>
          <w:tcPr>
            <w:tcW w:w="1080" w:type="dxa"/>
            <w:tcBorders>
              <w:top w:val="single" w:sz="8" w:space="0" w:color="auto"/>
              <w:left w:val="nil"/>
              <w:bottom w:val="single" w:sz="4" w:space="0" w:color="auto"/>
              <w:right w:val="single" w:sz="4" w:space="0" w:color="auto"/>
            </w:tcBorders>
            <w:shd w:val="clear" w:color="auto" w:fill="auto"/>
            <w:noWrap/>
            <w:vAlign w:val="bottom"/>
          </w:tcPr>
          <w:p w:rsidR="003D1FFB" w:rsidRPr="005D5957" w:rsidRDefault="003D1FFB" w:rsidP="00AD1934">
            <w:pPr>
              <w:rPr>
                <w:sz w:val="20"/>
                <w:szCs w:val="20"/>
              </w:rPr>
            </w:pPr>
            <w:r w:rsidRPr="005D5957">
              <w:rPr>
                <w:sz w:val="20"/>
                <w:szCs w:val="20"/>
              </w:rPr>
              <w:t> </w:t>
            </w:r>
          </w:p>
        </w:tc>
        <w:tc>
          <w:tcPr>
            <w:tcW w:w="1260" w:type="dxa"/>
            <w:tcBorders>
              <w:top w:val="single" w:sz="8" w:space="0" w:color="auto"/>
              <w:left w:val="nil"/>
              <w:bottom w:val="single" w:sz="4" w:space="0" w:color="auto"/>
              <w:right w:val="single" w:sz="8" w:space="0" w:color="auto"/>
            </w:tcBorders>
            <w:shd w:val="clear" w:color="auto" w:fill="auto"/>
            <w:noWrap/>
            <w:vAlign w:val="bottom"/>
          </w:tcPr>
          <w:p w:rsidR="003D1FFB" w:rsidRPr="005D5957" w:rsidRDefault="003D1FFB" w:rsidP="00AD1934">
            <w:pPr>
              <w:rPr>
                <w:sz w:val="20"/>
                <w:szCs w:val="20"/>
              </w:rPr>
            </w:pPr>
            <w:r w:rsidRPr="005D5957">
              <w:rPr>
                <w:sz w:val="20"/>
                <w:szCs w:val="20"/>
              </w:rPr>
              <w:t> </w:t>
            </w:r>
          </w:p>
        </w:tc>
      </w:tr>
      <w:tr w:rsidR="003D1FFB" w:rsidRPr="005D5957" w:rsidTr="00AD1934">
        <w:trPr>
          <w:trHeight w:val="315"/>
        </w:trPr>
        <w:tc>
          <w:tcPr>
            <w:tcW w:w="3070" w:type="dxa"/>
            <w:tcBorders>
              <w:top w:val="nil"/>
              <w:left w:val="single" w:sz="8" w:space="0" w:color="auto"/>
              <w:bottom w:val="single" w:sz="4" w:space="0" w:color="auto"/>
              <w:right w:val="single" w:sz="4" w:space="0" w:color="auto"/>
            </w:tcBorders>
            <w:shd w:val="clear" w:color="auto" w:fill="auto"/>
            <w:vAlign w:val="center"/>
          </w:tcPr>
          <w:p w:rsidR="003D1FFB" w:rsidRPr="005D5957" w:rsidRDefault="003D1FFB" w:rsidP="00AD1934">
            <w:pPr>
              <w:rPr>
                <w:sz w:val="20"/>
                <w:szCs w:val="20"/>
              </w:rPr>
            </w:pPr>
            <w:smartTag w:uri="urn:schemas-microsoft-com:office:smarttags" w:element="place">
              <w:smartTag w:uri="urn:schemas-microsoft-com:office:smarttags" w:element="PlaceName">
                <w:r w:rsidRPr="005D5957">
                  <w:rPr>
                    <w:sz w:val="20"/>
                    <w:szCs w:val="20"/>
                  </w:rPr>
                  <w:t>Taveuni</w:t>
                </w:r>
              </w:smartTag>
              <w:r w:rsidRPr="005D5957">
                <w:rPr>
                  <w:sz w:val="20"/>
                  <w:szCs w:val="20"/>
                </w:rPr>
                <w:t xml:space="preserve"> </w:t>
              </w:r>
              <w:smartTag w:uri="urn:schemas-microsoft-com:office:smarttags" w:element="PlaceType">
                <w:r w:rsidRPr="005D5957">
                  <w:rPr>
                    <w:sz w:val="20"/>
                    <w:szCs w:val="20"/>
                  </w:rPr>
                  <w:t>Forest</w:t>
                </w:r>
              </w:smartTag>
            </w:smartTag>
            <w:r w:rsidRPr="005D5957">
              <w:rPr>
                <w:sz w:val="20"/>
                <w:szCs w:val="20"/>
              </w:rPr>
              <w:t xml:space="preserve"> Reserve</w:t>
            </w:r>
          </w:p>
        </w:tc>
        <w:tc>
          <w:tcPr>
            <w:tcW w:w="1980" w:type="dxa"/>
            <w:vMerge w:val="restart"/>
            <w:tcBorders>
              <w:top w:val="nil"/>
              <w:left w:val="single" w:sz="4" w:space="0" w:color="auto"/>
              <w:bottom w:val="single" w:sz="4" w:space="0" w:color="auto"/>
              <w:right w:val="single" w:sz="4" w:space="0" w:color="auto"/>
            </w:tcBorders>
            <w:shd w:val="clear" w:color="auto" w:fill="auto"/>
            <w:vAlign w:val="center"/>
          </w:tcPr>
          <w:p w:rsidR="003D1FFB" w:rsidRPr="005D5957" w:rsidRDefault="003D1FFB" w:rsidP="00AD1934">
            <w:pPr>
              <w:rPr>
                <w:sz w:val="20"/>
                <w:szCs w:val="20"/>
              </w:rPr>
            </w:pPr>
            <w:smartTag w:uri="urn:schemas-microsoft-com:office:smarttags" w:element="place">
              <w:r w:rsidRPr="005D5957">
                <w:rPr>
                  <w:sz w:val="20"/>
                  <w:szCs w:val="20"/>
                </w:rPr>
                <w:t>Forest</w:t>
              </w:r>
            </w:smartTag>
            <w:r w:rsidRPr="005D5957">
              <w:rPr>
                <w:sz w:val="20"/>
                <w:szCs w:val="20"/>
              </w:rPr>
              <w:t xml:space="preserve"> Reserve (Forestry Decree)</w:t>
            </w:r>
          </w:p>
        </w:tc>
        <w:tc>
          <w:tcPr>
            <w:tcW w:w="1080" w:type="dxa"/>
            <w:tcBorders>
              <w:top w:val="nil"/>
              <w:left w:val="nil"/>
              <w:bottom w:val="single" w:sz="4" w:space="0" w:color="auto"/>
              <w:right w:val="nil"/>
            </w:tcBorders>
            <w:vAlign w:val="center"/>
          </w:tcPr>
          <w:p w:rsidR="003D1FFB" w:rsidRPr="005D5957" w:rsidRDefault="003D1FFB" w:rsidP="00AD1934">
            <w:pPr>
              <w:jc w:val="center"/>
              <w:rPr>
                <w:sz w:val="20"/>
                <w:szCs w:val="20"/>
              </w:rPr>
            </w:pPr>
            <w:r w:rsidRPr="005D5957">
              <w:rPr>
                <w:sz w:val="20"/>
                <w:szCs w:val="20"/>
              </w:rPr>
              <w:t>VI</w:t>
            </w:r>
          </w:p>
        </w:tc>
        <w:tc>
          <w:tcPr>
            <w:tcW w:w="1080" w:type="dxa"/>
            <w:tcBorders>
              <w:top w:val="nil"/>
              <w:left w:val="nil"/>
              <w:bottom w:val="single" w:sz="4" w:space="0" w:color="auto"/>
              <w:right w:val="single" w:sz="4" w:space="0" w:color="auto"/>
            </w:tcBorders>
            <w:shd w:val="clear" w:color="auto" w:fill="auto"/>
            <w:noWrap/>
            <w:vAlign w:val="bottom"/>
          </w:tcPr>
          <w:p w:rsidR="003D1FFB" w:rsidRPr="005D5957" w:rsidRDefault="003D1FFB" w:rsidP="00AD1934">
            <w:pPr>
              <w:jc w:val="right"/>
              <w:rPr>
                <w:sz w:val="20"/>
                <w:szCs w:val="20"/>
              </w:rPr>
            </w:pPr>
            <w:r w:rsidRPr="005D5957">
              <w:rPr>
                <w:sz w:val="20"/>
                <w:szCs w:val="20"/>
              </w:rPr>
              <w:t>1914</w:t>
            </w:r>
          </w:p>
        </w:tc>
        <w:tc>
          <w:tcPr>
            <w:tcW w:w="1260" w:type="dxa"/>
            <w:tcBorders>
              <w:top w:val="nil"/>
              <w:left w:val="nil"/>
              <w:bottom w:val="single" w:sz="4" w:space="0" w:color="auto"/>
              <w:right w:val="single" w:sz="8" w:space="0" w:color="auto"/>
            </w:tcBorders>
            <w:shd w:val="clear" w:color="auto" w:fill="auto"/>
            <w:noWrap/>
            <w:vAlign w:val="bottom"/>
          </w:tcPr>
          <w:p w:rsidR="003D1FFB" w:rsidRPr="005D5957" w:rsidRDefault="003D1FFB" w:rsidP="00AD1934">
            <w:pPr>
              <w:jc w:val="right"/>
              <w:rPr>
                <w:sz w:val="20"/>
                <w:szCs w:val="20"/>
              </w:rPr>
            </w:pPr>
            <w:r w:rsidRPr="005D5957">
              <w:rPr>
                <w:sz w:val="20"/>
                <w:szCs w:val="20"/>
              </w:rPr>
              <w:t>11,160</w:t>
            </w:r>
          </w:p>
        </w:tc>
      </w:tr>
      <w:tr w:rsidR="003D1FFB" w:rsidRPr="005D5957" w:rsidTr="00AD1934">
        <w:trPr>
          <w:trHeight w:val="315"/>
        </w:trPr>
        <w:tc>
          <w:tcPr>
            <w:tcW w:w="3070" w:type="dxa"/>
            <w:tcBorders>
              <w:top w:val="nil"/>
              <w:left w:val="single" w:sz="8" w:space="0" w:color="auto"/>
              <w:bottom w:val="single" w:sz="4" w:space="0" w:color="auto"/>
              <w:right w:val="single" w:sz="4" w:space="0" w:color="auto"/>
            </w:tcBorders>
            <w:shd w:val="clear" w:color="auto" w:fill="auto"/>
            <w:vAlign w:val="center"/>
          </w:tcPr>
          <w:p w:rsidR="003D1FFB" w:rsidRPr="005D5957" w:rsidRDefault="003D1FFB" w:rsidP="00AD1934">
            <w:pPr>
              <w:rPr>
                <w:sz w:val="20"/>
                <w:szCs w:val="20"/>
              </w:rPr>
            </w:pPr>
            <w:smartTag w:uri="urn:schemas-microsoft-com:office:smarttags" w:element="place">
              <w:smartTag w:uri="urn:schemas-microsoft-com:office:smarttags" w:element="PlaceName">
                <w:r w:rsidRPr="005D5957">
                  <w:rPr>
                    <w:sz w:val="20"/>
                    <w:szCs w:val="20"/>
                  </w:rPr>
                  <w:t>Wabu</w:t>
                </w:r>
              </w:smartTag>
              <w:r w:rsidRPr="005D5957">
                <w:rPr>
                  <w:sz w:val="20"/>
                  <w:szCs w:val="20"/>
                </w:rPr>
                <w:t xml:space="preserve"> </w:t>
              </w:r>
              <w:smartTag w:uri="urn:schemas-microsoft-com:office:smarttags" w:element="PlaceType">
                <w:r w:rsidRPr="005D5957">
                  <w:rPr>
                    <w:sz w:val="20"/>
                    <w:szCs w:val="20"/>
                  </w:rPr>
                  <w:t>Forest</w:t>
                </w:r>
              </w:smartTag>
            </w:smartTag>
            <w:r w:rsidRPr="005D5957">
              <w:rPr>
                <w:sz w:val="20"/>
                <w:szCs w:val="20"/>
              </w:rPr>
              <w:t xml:space="preserve"> Reserve</w:t>
            </w:r>
          </w:p>
        </w:tc>
        <w:tc>
          <w:tcPr>
            <w:tcW w:w="1980" w:type="dxa"/>
            <w:vMerge/>
            <w:tcBorders>
              <w:top w:val="nil"/>
              <w:left w:val="single" w:sz="4" w:space="0" w:color="auto"/>
              <w:bottom w:val="single" w:sz="4" w:space="0" w:color="auto"/>
              <w:right w:val="single" w:sz="4" w:space="0" w:color="auto"/>
            </w:tcBorders>
            <w:vAlign w:val="center"/>
          </w:tcPr>
          <w:p w:rsidR="003D1FFB" w:rsidRPr="005D5957" w:rsidRDefault="003D1FFB" w:rsidP="00AD1934">
            <w:pPr>
              <w:rPr>
                <w:sz w:val="20"/>
                <w:szCs w:val="20"/>
              </w:rPr>
            </w:pPr>
          </w:p>
        </w:tc>
        <w:tc>
          <w:tcPr>
            <w:tcW w:w="1080" w:type="dxa"/>
            <w:tcBorders>
              <w:top w:val="nil"/>
              <w:left w:val="nil"/>
              <w:bottom w:val="single" w:sz="4" w:space="0" w:color="auto"/>
              <w:right w:val="nil"/>
            </w:tcBorders>
            <w:vAlign w:val="center"/>
          </w:tcPr>
          <w:p w:rsidR="003D1FFB" w:rsidRPr="005D5957" w:rsidRDefault="003D1FFB" w:rsidP="00AD1934">
            <w:pPr>
              <w:jc w:val="center"/>
              <w:rPr>
                <w:sz w:val="20"/>
                <w:szCs w:val="20"/>
              </w:rPr>
            </w:pPr>
            <w:r w:rsidRPr="005D5957">
              <w:rPr>
                <w:sz w:val="20"/>
                <w:szCs w:val="20"/>
              </w:rPr>
              <w:t>I (II)</w:t>
            </w:r>
          </w:p>
        </w:tc>
        <w:tc>
          <w:tcPr>
            <w:tcW w:w="1080" w:type="dxa"/>
            <w:tcBorders>
              <w:top w:val="nil"/>
              <w:left w:val="nil"/>
              <w:bottom w:val="single" w:sz="4" w:space="0" w:color="auto"/>
              <w:right w:val="single" w:sz="4" w:space="0" w:color="auto"/>
            </w:tcBorders>
            <w:shd w:val="clear" w:color="auto" w:fill="auto"/>
            <w:noWrap/>
            <w:vAlign w:val="bottom"/>
          </w:tcPr>
          <w:p w:rsidR="003D1FFB" w:rsidRPr="005D5957" w:rsidRDefault="003D1FFB" w:rsidP="00AD1934">
            <w:pPr>
              <w:rPr>
                <w:sz w:val="20"/>
                <w:szCs w:val="20"/>
              </w:rPr>
            </w:pPr>
            <w:r w:rsidRPr="005D5957">
              <w:rPr>
                <w:sz w:val="20"/>
                <w:szCs w:val="20"/>
              </w:rPr>
              <w:t> </w:t>
            </w:r>
          </w:p>
        </w:tc>
        <w:tc>
          <w:tcPr>
            <w:tcW w:w="1260" w:type="dxa"/>
            <w:tcBorders>
              <w:top w:val="nil"/>
              <w:left w:val="nil"/>
              <w:bottom w:val="single" w:sz="4" w:space="0" w:color="auto"/>
              <w:right w:val="single" w:sz="8" w:space="0" w:color="auto"/>
            </w:tcBorders>
            <w:shd w:val="clear" w:color="auto" w:fill="auto"/>
            <w:noWrap/>
            <w:vAlign w:val="bottom"/>
          </w:tcPr>
          <w:p w:rsidR="003D1FFB" w:rsidRPr="005D5957" w:rsidRDefault="003D1FFB" w:rsidP="00AD1934">
            <w:pPr>
              <w:jc w:val="right"/>
              <w:rPr>
                <w:sz w:val="20"/>
                <w:szCs w:val="20"/>
              </w:rPr>
            </w:pPr>
            <w:r w:rsidRPr="005D5957">
              <w:rPr>
                <w:sz w:val="20"/>
                <w:szCs w:val="20"/>
              </w:rPr>
              <w:t>c.1,200</w:t>
            </w:r>
          </w:p>
        </w:tc>
      </w:tr>
      <w:tr w:rsidR="003D1FFB" w:rsidRPr="005D5957" w:rsidTr="00AD1934">
        <w:trPr>
          <w:trHeight w:val="255"/>
        </w:trPr>
        <w:tc>
          <w:tcPr>
            <w:tcW w:w="3070" w:type="dxa"/>
            <w:tcBorders>
              <w:top w:val="nil"/>
              <w:left w:val="single" w:sz="8" w:space="0" w:color="auto"/>
              <w:bottom w:val="single" w:sz="4" w:space="0" w:color="auto"/>
              <w:right w:val="single" w:sz="4" w:space="0" w:color="auto"/>
            </w:tcBorders>
            <w:shd w:val="clear" w:color="auto" w:fill="auto"/>
            <w:vAlign w:val="center"/>
          </w:tcPr>
          <w:p w:rsidR="003D1FFB" w:rsidRPr="005D5957" w:rsidRDefault="003D1FFB" w:rsidP="00AD1934">
            <w:pPr>
              <w:rPr>
                <w:sz w:val="20"/>
                <w:szCs w:val="20"/>
              </w:rPr>
            </w:pPr>
            <w:smartTag w:uri="urn:schemas-microsoft-com:office:smarttags" w:element="place">
              <w:smartTag w:uri="urn:schemas-microsoft-com:office:smarttags" w:element="PlaceName">
                <w:r w:rsidRPr="005D5957">
                  <w:rPr>
                    <w:sz w:val="20"/>
                    <w:szCs w:val="20"/>
                  </w:rPr>
                  <w:t>Coloisuva</w:t>
                </w:r>
              </w:smartTag>
              <w:r w:rsidRPr="005D5957">
                <w:rPr>
                  <w:sz w:val="20"/>
                  <w:szCs w:val="20"/>
                </w:rPr>
                <w:t xml:space="preserve"> </w:t>
              </w:r>
              <w:smartTag w:uri="urn:schemas-microsoft-com:office:smarttags" w:element="PlaceName">
                <w:r w:rsidRPr="005D5957">
                  <w:rPr>
                    <w:sz w:val="20"/>
                    <w:szCs w:val="20"/>
                  </w:rPr>
                  <w:t>Amenity</w:t>
                </w:r>
              </w:smartTag>
              <w:r w:rsidRPr="005D5957">
                <w:rPr>
                  <w:sz w:val="20"/>
                  <w:szCs w:val="20"/>
                </w:rPr>
                <w:t xml:space="preserve"> </w:t>
              </w:r>
              <w:smartTag w:uri="urn:schemas-microsoft-com:office:smarttags" w:element="PlaceType">
                <w:r w:rsidRPr="005D5957">
                  <w:rPr>
                    <w:sz w:val="20"/>
                    <w:szCs w:val="20"/>
                  </w:rPr>
                  <w:t>Park</w:t>
                </w:r>
              </w:smartTag>
            </w:smartTag>
          </w:p>
        </w:tc>
        <w:tc>
          <w:tcPr>
            <w:tcW w:w="1980" w:type="dxa"/>
            <w:vMerge/>
            <w:tcBorders>
              <w:top w:val="nil"/>
              <w:left w:val="single" w:sz="4" w:space="0" w:color="auto"/>
              <w:bottom w:val="single" w:sz="4" w:space="0" w:color="auto"/>
              <w:right w:val="single" w:sz="4" w:space="0" w:color="auto"/>
            </w:tcBorders>
            <w:vAlign w:val="center"/>
          </w:tcPr>
          <w:p w:rsidR="003D1FFB" w:rsidRPr="005D5957" w:rsidRDefault="003D1FFB" w:rsidP="00AD1934">
            <w:pPr>
              <w:rPr>
                <w:sz w:val="20"/>
                <w:szCs w:val="20"/>
              </w:rPr>
            </w:pPr>
          </w:p>
        </w:tc>
        <w:tc>
          <w:tcPr>
            <w:tcW w:w="1080" w:type="dxa"/>
            <w:tcBorders>
              <w:top w:val="nil"/>
              <w:left w:val="nil"/>
              <w:bottom w:val="single" w:sz="4" w:space="0" w:color="auto"/>
              <w:right w:val="nil"/>
            </w:tcBorders>
            <w:vAlign w:val="center"/>
          </w:tcPr>
          <w:p w:rsidR="003D1FFB" w:rsidRPr="005D5957" w:rsidRDefault="003D1FFB" w:rsidP="00AD1934">
            <w:pPr>
              <w:jc w:val="center"/>
              <w:rPr>
                <w:sz w:val="20"/>
                <w:szCs w:val="20"/>
              </w:rPr>
            </w:pPr>
            <w:r w:rsidRPr="005D5957">
              <w:rPr>
                <w:sz w:val="20"/>
                <w:szCs w:val="20"/>
              </w:rPr>
              <w:t>II</w:t>
            </w:r>
          </w:p>
        </w:tc>
        <w:tc>
          <w:tcPr>
            <w:tcW w:w="1080" w:type="dxa"/>
            <w:tcBorders>
              <w:top w:val="nil"/>
              <w:left w:val="nil"/>
              <w:bottom w:val="single" w:sz="4" w:space="0" w:color="auto"/>
              <w:right w:val="single" w:sz="4" w:space="0" w:color="auto"/>
            </w:tcBorders>
            <w:shd w:val="clear" w:color="auto" w:fill="auto"/>
            <w:noWrap/>
            <w:vAlign w:val="bottom"/>
          </w:tcPr>
          <w:p w:rsidR="003D1FFB" w:rsidRPr="005D5957" w:rsidRDefault="003D1FFB" w:rsidP="00AD1934">
            <w:pPr>
              <w:jc w:val="right"/>
              <w:rPr>
                <w:sz w:val="20"/>
                <w:szCs w:val="20"/>
              </w:rPr>
            </w:pPr>
            <w:r w:rsidRPr="005D5957">
              <w:rPr>
                <w:sz w:val="20"/>
                <w:szCs w:val="20"/>
              </w:rPr>
              <w:t>1952</w:t>
            </w:r>
          </w:p>
        </w:tc>
        <w:tc>
          <w:tcPr>
            <w:tcW w:w="1260" w:type="dxa"/>
            <w:tcBorders>
              <w:top w:val="nil"/>
              <w:left w:val="nil"/>
              <w:bottom w:val="single" w:sz="4" w:space="0" w:color="auto"/>
              <w:right w:val="single" w:sz="8" w:space="0" w:color="auto"/>
            </w:tcBorders>
            <w:shd w:val="clear" w:color="auto" w:fill="auto"/>
            <w:noWrap/>
            <w:vAlign w:val="bottom"/>
          </w:tcPr>
          <w:p w:rsidR="003D1FFB" w:rsidRPr="005D5957" w:rsidRDefault="003D1FFB" w:rsidP="00AD1934">
            <w:pPr>
              <w:jc w:val="right"/>
              <w:rPr>
                <w:sz w:val="20"/>
                <w:szCs w:val="20"/>
              </w:rPr>
            </w:pPr>
            <w:r w:rsidRPr="005D5957">
              <w:rPr>
                <w:sz w:val="20"/>
                <w:szCs w:val="20"/>
              </w:rPr>
              <w:t>91</w:t>
            </w:r>
          </w:p>
        </w:tc>
      </w:tr>
      <w:tr w:rsidR="003D1FFB" w:rsidRPr="005D5957" w:rsidTr="00AD1934">
        <w:trPr>
          <w:trHeight w:val="765"/>
        </w:trPr>
        <w:tc>
          <w:tcPr>
            <w:tcW w:w="3070" w:type="dxa"/>
            <w:tcBorders>
              <w:top w:val="nil"/>
              <w:left w:val="single" w:sz="8" w:space="0" w:color="auto"/>
              <w:bottom w:val="single" w:sz="4" w:space="0" w:color="auto"/>
              <w:right w:val="single" w:sz="4" w:space="0" w:color="auto"/>
            </w:tcBorders>
            <w:shd w:val="clear" w:color="auto" w:fill="auto"/>
            <w:vAlign w:val="center"/>
          </w:tcPr>
          <w:p w:rsidR="003D1FFB" w:rsidRPr="005D5957" w:rsidRDefault="003D1FFB" w:rsidP="00AD1934">
            <w:pPr>
              <w:rPr>
                <w:sz w:val="20"/>
                <w:szCs w:val="20"/>
              </w:rPr>
            </w:pPr>
            <w:smartTag w:uri="urn:schemas-microsoft-com:office:smarttags" w:element="place">
              <w:smartTag w:uri="urn:schemas-microsoft-com:office:smarttags" w:element="PlaceName">
                <w:r w:rsidRPr="005D5957">
                  <w:rPr>
                    <w:sz w:val="20"/>
                    <w:szCs w:val="20"/>
                  </w:rPr>
                  <w:t>Bouma</w:t>
                </w:r>
              </w:smartTag>
              <w:r w:rsidRPr="005D5957">
                <w:rPr>
                  <w:sz w:val="20"/>
                  <w:szCs w:val="20"/>
                </w:rPr>
                <w:t xml:space="preserve"> </w:t>
              </w:r>
              <w:smartTag w:uri="urn:schemas-microsoft-com:office:smarttags" w:element="PlaceName">
                <w:r w:rsidRPr="005D5957">
                  <w:rPr>
                    <w:sz w:val="20"/>
                    <w:szCs w:val="20"/>
                  </w:rPr>
                  <w:t>National</w:t>
                </w:r>
              </w:smartTag>
              <w:r w:rsidRPr="005D5957">
                <w:rPr>
                  <w:sz w:val="20"/>
                  <w:szCs w:val="20"/>
                </w:rPr>
                <w:t xml:space="preserve"> </w:t>
              </w:r>
              <w:smartTag w:uri="urn:schemas-microsoft-com:office:smarttags" w:element="PlaceName">
                <w:r w:rsidRPr="005D5957">
                  <w:rPr>
                    <w:sz w:val="20"/>
                    <w:szCs w:val="20"/>
                  </w:rPr>
                  <w:t>Heritage</w:t>
                </w:r>
              </w:smartTag>
              <w:r w:rsidRPr="005D5957">
                <w:rPr>
                  <w:sz w:val="20"/>
                  <w:szCs w:val="20"/>
                </w:rPr>
                <w:t xml:space="preserve"> </w:t>
              </w:r>
              <w:smartTag w:uri="urn:schemas-microsoft-com:office:smarttags" w:element="PlaceType">
                <w:r w:rsidRPr="005D5957">
                  <w:rPr>
                    <w:sz w:val="20"/>
                    <w:szCs w:val="20"/>
                  </w:rPr>
                  <w:t>Park</w:t>
                </w:r>
              </w:smartTag>
            </w:smartTag>
          </w:p>
        </w:tc>
        <w:tc>
          <w:tcPr>
            <w:tcW w:w="1980" w:type="dxa"/>
            <w:tcBorders>
              <w:top w:val="nil"/>
              <w:left w:val="nil"/>
              <w:bottom w:val="single" w:sz="4" w:space="0" w:color="auto"/>
              <w:right w:val="single" w:sz="4" w:space="0" w:color="auto"/>
            </w:tcBorders>
            <w:shd w:val="clear" w:color="auto" w:fill="auto"/>
            <w:vAlign w:val="bottom"/>
          </w:tcPr>
          <w:p w:rsidR="003D1FFB" w:rsidRPr="005D5957" w:rsidRDefault="003D1FFB" w:rsidP="00AD1934">
            <w:pPr>
              <w:rPr>
                <w:sz w:val="20"/>
                <w:szCs w:val="20"/>
              </w:rPr>
            </w:pPr>
            <w:r w:rsidRPr="005D5957">
              <w:rPr>
                <w:sz w:val="20"/>
                <w:szCs w:val="20"/>
              </w:rPr>
              <w:t>Memorandum of Understanding – 99 years. NLTB, DoF, NZGovt.</w:t>
            </w:r>
          </w:p>
          <w:p w:rsidR="003D1FFB" w:rsidRPr="005D5957" w:rsidRDefault="003D1FFB" w:rsidP="00AD1934">
            <w:pPr>
              <w:rPr>
                <w:sz w:val="20"/>
                <w:szCs w:val="20"/>
              </w:rPr>
            </w:pPr>
            <w:r w:rsidRPr="005D5957">
              <w:rPr>
                <w:sz w:val="20"/>
                <w:szCs w:val="20"/>
              </w:rPr>
              <w:t>Landowner managed</w:t>
            </w:r>
          </w:p>
        </w:tc>
        <w:tc>
          <w:tcPr>
            <w:tcW w:w="1080" w:type="dxa"/>
            <w:tcBorders>
              <w:top w:val="nil"/>
              <w:left w:val="nil"/>
              <w:bottom w:val="single" w:sz="4" w:space="0" w:color="auto"/>
              <w:right w:val="nil"/>
            </w:tcBorders>
            <w:vAlign w:val="center"/>
          </w:tcPr>
          <w:p w:rsidR="003D1FFB" w:rsidRPr="005D5957" w:rsidRDefault="003D1FFB" w:rsidP="00AD1934">
            <w:pPr>
              <w:jc w:val="center"/>
              <w:rPr>
                <w:sz w:val="20"/>
                <w:szCs w:val="20"/>
              </w:rPr>
            </w:pPr>
            <w:r w:rsidRPr="005D5957">
              <w:rPr>
                <w:sz w:val="20"/>
                <w:szCs w:val="20"/>
              </w:rPr>
              <w:t>II (VI)</w:t>
            </w:r>
          </w:p>
        </w:tc>
        <w:tc>
          <w:tcPr>
            <w:tcW w:w="1080" w:type="dxa"/>
            <w:tcBorders>
              <w:top w:val="nil"/>
              <w:left w:val="nil"/>
              <w:bottom w:val="single" w:sz="4" w:space="0" w:color="auto"/>
              <w:right w:val="single" w:sz="4" w:space="0" w:color="auto"/>
            </w:tcBorders>
            <w:shd w:val="clear" w:color="auto" w:fill="auto"/>
            <w:noWrap/>
            <w:vAlign w:val="bottom"/>
          </w:tcPr>
          <w:p w:rsidR="003D1FFB" w:rsidRPr="005D5957" w:rsidRDefault="003D1FFB" w:rsidP="00AD1934">
            <w:pPr>
              <w:jc w:val="right"/>
              <w:rPr>
                <w:sz w:val="20"/>
                <w:szCs w:val="20"/>
              </w:rPr>
            </w:pPr>
            <w:r w:rsidRPr="005D5957">
              <w:rPr>
                <w:sz w:val="20"/>
                <w:szCs w:val="20"/>
              </w:rPr>
              <w:t>1990</w:t>
            </w:r>
          </w:p>
        </w:tc>
        <w:tc>
          <w:tcPr>
            <w:tcW w:w="1260" w:type="dxa"/>
            <w:tcBorders>
              <w:top w:val="nil"/>
              <w:left w:val="nil"/>
              <w:bottom w:val="single" w:sz="4" w:space="0" w:color="auto"/>
              <w:right w:val="single" w:sz="8" w:space="0" w:color="auto"/>
            </w:tcBorders>
            <w:shd w:val="clear" w:color="auto" w:fill="auto"/>
            <w:noWrap/>
            <w:vAlign w:val="bottom"/>
          </w:tcPr>
          <w:p w:rsidR="003D1FFB" w:rsidRPr="005D5957" w:rsidRDefault="003D1FFB" w:rsidP="00AD1934">
            <w:pPr>
              <w:jc w:val="right"/>
              <w:rPr>
                <w:sz w:val="20"/>
                <w:szCs w:val="20"/>
              </w:rPr>
            </w:pPr>
            <w:r w:rsidRPr="005D5957">
              <w:rPr>
                <w:sz w:val="20"/>
                <w:szCs w:val="20"/>
              </w:rPr>
              <w:t>1,417</w:t>
            </w:r>
          </w:p>
        </w:tc>
      </w:tr>
      <w:tr w:rsidR="003D1FFB" w:rsidRPr="005D5957" w:rsidTr="00AD1934">
        <w:trPr>
          <w:trHeight w:val="255"/>
        </w:trPr>
        <w:tc>
          <w:tcPr>
            <w:tcW w:w="3070" w:type="dxa"/>
            <w:tcBorders>
              <w:top w:val="single" w:sz="4" w:space="0" w:color="auto"/>
              <w:left w:val="single" w:sz="8" w:space="0" w:color="auto"/>
              <w:bottom w:val="single" w:sz="8" w:space="0" w:color="auto"/>
              <w:right w:val="single" w:sz="4" w:space="0" w:color="auto"/>
            </w:tcBorders>
            <w:shd w:val="clear" w:color="auto" w:fill="auto"/>
            <w:vAlign w:val="center"/>
          </w:tcPr>
          <w:p w:rsidR="003D1FFB" w:rsidRPr="005D5957" w:rsidRDefault="003D1FFB" w:rsidP="00AD1934">
            <w:pPr>
              <w:rPr>
                <w:sz w:val="20"/>
                <w:szCs w:val="20"/>
              </w:rPr>
            </w:pPr>
            <w:smartTag w:uri="urn:schemas-microsoft-com:office:smarttags" w:element="place">
              <w:smartTag w:uri="urn:schemas-microsoft-com:office:smarttags" w:element="PlaceName">
                <w:r w:rsidRPr="005D5957">
                  <w:rPr>
                    <w:sz w:val="20"/>
                    <w:szCs w:val="20"/>
                  </w:rPr>
                  <w:t>Koroyanitu</w:t>
                </w:r>
              </w:smartTag>
              <w:r w:rsidRPr="005D5957">
                <w:rPr>
                  <w:sz w:val="20"/>
                  <w:szCs w:val="20"/>
                </w:rPr>
                <w:t xml:space="preserve"> </w:t>
              </w:r>
              <w:smartTag w:uri="urn:schemas-microsoft-com:office:smarttags" w:element="PlaceName">
                <w:r w:rsidRPr="005D5957">
                  <w:rPr>
                    <w:sz w:val="20"/>
                    <w:szCs w:val="20"/>
                  </w:rPr>
                  <w:t>National</w:t>
                </w:r>
              </w:smartTag>
              <w:r w:rsidRPr="005D5957">
                <w:rPr>
                  <w:sz w:val="20"/>
                  <w:szCs w:val="20"/>
                </w:rPr>
                <w:t xml:space="preserve"> </w:t>
              </w:r>
              <w:smartTag w:uri="urn:schemas-microsoft-com:office:smarttags" w:element="PlaceName">
                <w:r w:rsidRPr="005D5957">
                  <w:rPr>
                    <w:sz w:val="20"/>
                    <w:szCs w:val="20"/>
                  </w:rPr>
                  <w:t>Heritage</w:t>
                </w:r>
              </w:smartTag>
              <w:r w:rsidRPr="005D5957">
                <w:rPr>
                  <w:sz w:val="20"/>
                  <w:szCs w:val="20"/>
                </w:rPr>
                <w:t xml:space="preserve"> </w:t>
              </w:r>
              <w:smartTag w:uri="urn:schemas-microsoft-com:office:smarttags" w:element="PlaceType">
                <w:r w:rsidRPr="005D5957">
                  <w:rPr>
                    <w:sz w:val="20"/>
                    <w:szCs w:val="20"/>
                  </w:rPr>
                  <w:t>Park</w:t>
                </w:r>
              </w:smartTag>
            </w:smartTag>
          </w:p>
        </w:tc>
        <w:tc>
          <w:tcPr>
            <w:tcW w:w="1980" w:type="dxa"/>
            <w:tcBorders>
              <w:top w:val="single" w:sz="4" w:space="0" w:color="auto"/>
              <w:left w:val="nil"/>
              <w:bottom w:val="single" w:sz="8" w:space="0" w:color="auto"/>
              <w:right w:val="single" w:sz="4" w:space="0" w:color="auto"/>
            </w:tcBorders>
            <w:shd w:val="clear" w:color="auto" w:fill="auto"/>
            <w:vAlign w:val="bottom"/>
          </w:tcPr>
          <w:p w:rsidR="003D1FFB" w:rsidRPr="005D5957" w:rsidRDefault="003D1FFB" w:rsidP="00AD1934">
            <w:pPr>
              <w:rPr>
                <w:sz w:val="20"/>
                <w:szCs w:val="20"/>
              </w:rPr>
            </w:pPr>
            <w:r w:rsidRPr="005D5957">
              <w:rPr>
                <w:sz w:val="20"/>
                <w:szCs w:val="20"/>
              </w:rPr>
              <w:t>Landowner managed</w:t>
            </w:r>
          </w:p>
        </w:tc>
        <w:tc>
          <w:tcPr>
            <w:tcW w:w="1080" w:type="dxa"/>
            <w:tcBorders>
              <w:top w:val="single" w:sz="4" w:space="0" w:color="auto"/>
              <w:left w:val="nil"/>
              <w:bottom w:val="single" w:sz="8" w:space="0" w:color="auto"/>
              <w:right w:val="nil"/>
            </w:tcBorders>
            <w:vAlign w:val="center"/>
          </w:tcPr>
          <w:p w:rsidR="003D1FFB" w:rsidRPr="005D5957" w:rsidRDefault="003D1FFB" w:rsidP="00AD1934">
            <w:pPr>
              <w:jc w:val="center"/>
              <w:rPr>
                <w:sz w:val="20"/>
                <w:szCs w:val="20"/>
              </w:rPr>
            </w:pPr>
            <w:r w:rsidRPr="005D5957">
              <w:rPr>
                <w:sz w:val="20"/>
                <w:szCs w:val="20"/>
              </w:rPr>
              <w:t>II (VI)</w:t>
            </w:r>
          </w:p>
        </w:tc>
        <w:tc>
          <w:tcPr>
            <w:tcW w:w="1080" w:type="dxa"/>
            <w:tcBorders>
              <w:top w:val="single" w:sz="4" w:space="0" w:color="auto"/>
              <w:left w:val="nil"/>
              <w:bottom w:val="single" w:sz="8" w:space="0" w:color="auto"/>
              <w:right w:val="single" w:sz="4" w:space="0" w:color="auto"/>
            </w:tcBorders>
            <w:shd w:val="clear" w:color="auto" w:fill="auto"/>
            <w:noWrap/>
            <w:vAlign w:val="bottom"/>
          </w:tcPr>
          <w:p w:rsidR="003D1FFB" w:rsidRPr="005D5957" w:rsidRDefault="003D1FFB" w:rsidP="00AD1934">
            <w:pPr>
              <w:jc w:val="right"/>
              <w:rPr>
                <w:sz w:val="20"/>
                <w:szCs w:val="20"/>
              </w:rPr>
            </w:pPr>
            <w:r w:rsidRPr="005D5957">
              <w:rPr>
                <w:sz w:val="20"/>
                <w:szCs w:val="20"/>
              </w:rPr>
              <w:t>1989</w:t>
            </w:r>
          </w:p>
        </w:tc>
        <w:tc>
          <w:tcPr>
            <w:tcW w:w="1260" w:type="dxa"/>
            <w:tcBorders>
              <w:top w:val="single" w:sz="4" w:space="0" w:color="auto"/>
              <w:left w:val="nil"/>
              <w:bottom w:val="single" w:sz="8" w:space="0" w:color="auto"/>
              <w:right w:val="single" w:sz="8" w:space="0" w:color="auto"/>
            </w:tcBorders>
            <w:shd w:val="clear" w:color="auto" w:fill="auto"/>
            <w:noWrap/>
            <w:vAlign w:val="bottom"/>
          </w:tcPr>
          <w:p w:rsidR="003D1FFB" w:rsidRPr="005D5957" w:rsidRDefault="003D1FFB" w:rsidP="00AD1934">
            <w:pPr>
              <w:jc w:val="right"/>
              <w:rPr>
                <w:sz w:val="20"/>
                <w:szCs w:val="20"/>
              </w:rPr>
            </w:pPr>
            <w:r w:rsidRPr="005D5957">
              <w:rPr>
                <w:sz w:val="20"/>
                <w:szCs w:val="20"/>
              </w:rPr>
              <w:t>1,200</w:t>
            </w:r>
          </w:p>
        </w:tc>
      </w:tr>
      <w:tr w:rsidR="003D1FFB" w:rsidRPr="005D5957" w:rsidTr="00AD1934">
        <w:trPr>
          <w:trHeight w:val="255"/>
        </w:trPr>
        <w:tc>
          <w:tcPr>
            <w:tcW w:w="7210" w:type="dxa"/>
            <w:gridSpan w:val="4"/>
            <w:tcBorders>
              <w:top w:val="single" w:sz="8" w:space="0" w:color="auto"/>
              <w:left w:val="single" w:sz="8" w:space="0" w:color="auto"/>
              <w:bottom w:val="single" w:sz="4" w:space="0" w:color="auto"/>
              <w:right w:val="single" w:sz="4" w:space="0" w:color="auto"/>
            </w:tcBorders>
            <w:shd w:val="clear" w:color="auto" w:fill="auto"/>
            <w:vAlign w:val="center"/>
          </w:tcPr>
          <w:p w:rsidR="003D1FFB" w:rsidRPr="005D5957" w:rsidRDefault="003D1FFB" w:rsidP="00AD1934">
            <w:pPr>
              <w:jc w:val="center"/>
              <w:rPr>
                <w:b/>
                <w:sz w:val="20"/>
                <w:szCs w:val="20"/>
              </w:rPr>
            </w:pPr>
            <w:r w:rsidRPr="005D5957">
              <w:rPr>
                <w:b/>
                <w:sz w:val="20"/>
                <w:szCs w:val="20"/>
              </w:rPr>
              <w:t>Total</w:t>
            </w:r>
          </w:p>
        </w:tc>
        <w:tc>
          <w:tcPr>
            <w:tcW w:w="1260" w:type="dxa"/>
            <w:tcBorders>
              <w:top w:val="single" w:sz="8" w:space="0" w:color="auto"/>
              <w:left w:val="nil"/>
              <w:bottom w:val="single" w:sz="4" w:space="0" w:color="auto"/>
              <w:right w:val="single" w:sz="8" w:space="0" w:color="auto"/>
            </w:tcBorders>
            <w:shd w:val="clear" w:color="auto" w:fill="auto"/>
            <w:noWrap/>
            <w:vAlign w:val="bottom"/>
          </w:tcPr>
          <w:p w:rsidR="003D1FFB" w:rsidRPr="005D5957" w:rsidRDefault="003D1FFB" w:rsidP="00AD1934">
            <w:pPr>
              <w:jc w:val="right"/>
              <w:rPr>
                <w:b/>
                <w:sz w:val="20"/>
                <w:szCs w:val="20"/>
              </w:rPr>
            </w:pPr>
            <w:r w:rsidRPr="005D5957">
              <w:rPr>
                <w:b/>
                <w:sz w:val="20"/>
                <w:szCs w:val="20"/>
              </w:rPr>
              <w:t>43,748</w:t>
            </w:r>
          </w:p>
        </w:tc>
      </w:tr>
      <w:tr w:rsidR="003D1FFB" w:rsidRPr="005D5957" w:rsidTr="00AD1934">
        <w:trPr>
          <w:trHeight w:val="255"/>
        </w:trPr>
        <w:tc>
          <w:tcPr>
            <w:tcW w:w="3070" w:type="dxa"/>
            <w:tcBorders>
              <w:top w:val="single" w:sz="8" w:space="0" w:color="auto"/>
              <w:left w:val="single" w:sz="8" w:space="0" w:color="auto"/>
              <w:bottom w:val="single" w:sz="4" w:space="0" w:color="auto"/>
              <w:right w:val="single" w:sz="4" w:space="0" w:color="auto"/>
            </w:tcBorders>
            <w:shd w:val="clear" w:color="auto" w:fill="auto"/>
            <w:vAlign w:val="center"/>
          </w:tcPr>
          <w:p w:rsidR="003D1FFB" w:rsidRPr="005D5957" w:rsidRDefault="003D1FFB" w:rsidP="00AD1934">
            <w:pPr>
              <w:rPr>
                <w:b/>
                <w:bCs/>
                <w:sz w:val="20"/>
                <w:szCs w:val="20"/>
              </w:rPr>
            </w:pPr>
            <w:r w:rsidRPr="005D5957">
              <w:rPr>
                <w:b/>
                <w:bCs/>
                <w:sz w:val="20"/>
                <w:szCs w:val="20"/>
              </w:rPr>
              <w:t>Water Supply Catchments</w:t>
            </w:r>
          </w:p>
        </w:tc>
        <w:tc>
          <w:tcPr>
            <w:tcW w:w="1980" w:type="dxa"/>
            <w:tcBorders>
              <w:top w:val="single" w:sz="8" w:space="0" w:color="auto"/>
              <w:left w:val="nil"/>
              <w:bottom w:val="single" w:sz="4" w:space="0" w:color="auto"/>
              <w:right w:val="single" w:sz="4" w:space="0" w:color="auto"/>
            </w:tcBorders>
            <w:shd w:val="clear" w:color="auto" w:fill="auto"/>
            <w:vAlign w:val="bottom"/>
          </w:tcPr>
          <w:p w:rsidR="003D1FFB" w:rsidRPr="005D5957" w:rsidRDefault="003D1FFB" w:rsidP="00AD1934">
            <w:pPr>
              <w:rPr>
                <w:sz w:val="20"/>
                <w:szCs w:val="20"/>
              </w:rPr>
            </w:pPr>
            <w:r w:rsidRPr="005D5957">
              <w:rPr>
                <w:sz w:val="20"/>
                <w:szCs w:val="20"/>
              </w:rPr>
              <w:t> </w:t>
            </w:r>
          </w:p>
        </w:tc>
        <w:tc>
          <w:tcPr>
            <w:tcW w:w="1080" w:type="dxa"/>
            <w:tcBorders>
              <w:top w:val="single" w:sz="8" w:space="0" w:color="auto"/>
              <w:left w:val="nil"/>
              <w:bottom w:val="single" w:sz="4" w:space="0" w:color="auto"/>
              <w:right w:val="nil"/>
            </w:tcBorders>
            <w:vAlign w:val="center"/>
          </w:tcPr>
          <w:p w:rsidR="003D1FFB" w:rsidRPr="005D5957" w:rsidRDefault="003D1FFB" w:rsidP="00AD1934">
            <w:pPr>
              <w:jc w:val="center"/>
              <w:rPr>
                <w:sz w:val="20"/>
                <w:szCs w:val="20"/>
              </w:rPr>
            </w:pPr>
          </w:p>
        </w:tc>
        <w:tc>
          <w:tcPr>
            <w:tcW w:w="1080" w:type="dxa"/>
            <w:tcBorders>
              <w:top w:val="single" w:sz="8" w:space="0" w:color="auto"/>
              <w:left w:val="nil"/>
              <w:bottom w:val="single" w:sz="4" w:space="0" w:color="auto"/>
              <w:right w:val="single" w:sz="4" w:space="0" w:color="auto"/>
            </w:tcBorders>
            <w:shd w:val="clear" w:color="auto" w:fill="auto"/>
            <w:noWrap/>
            <w:vAlign w:val="bottom"/>
          </w:tcPr>
          <w:p w:rsidR="003D1FFB" w:rsidRPr="005D5957" w:rsidRDefault="003D1FFB" w:rsidP="00AD1934">
            <w:pPr>
              <w:rPr>
                <w:sz w:val="20"/>
                <w:szCs w:val="20"/>
              </w:rPr>
            </w:pPr>
            <w:r w:rsidRPr="005D5957">
              <w:rPr>
                <w:sz w:val="20"/>
                <w:szCs w:val="20"/>
              </w:rPr>
              <w:t> </w:t>
            </w:r>
          </w:p>
        </w:tc>
        <w:tc>
          <w:tcPr>
            <w:tcW w:w="1260" w:type="dxa"/>
            <w:tcBorders>
              <w:top w:val="single" w:sz="8" w:space="0" w:color="auto"/>
              <w:left w:val="nil"/>
              <w:bottom w:val="single" w:sz="4" w:space="0" w:color="auto"/>
              <w:right w:val="single" w:sz="8" w:space="0" w:color="auto"/>
            </w:tcBorders>
            <w:shd w:val="clear" w:color="auto" w:fill="auto"/>
            <w:noWrap/>
            <w:vAlign w:val="bottom"/>
          </w:tcPr>
          <w:p w:rsidR="003D1FFB" w:rsidRPr="005D5957" w:rsidRDefault="003D1FFB" w:rsidP="00AD1934">
            <w:pPr>
              <w:rPr>
                <w:sz w:val="20"/>
                <w:szCs w:val="20"/>
              </w:rPr>
            </w:pPr>
            <w:r w:rsidRPr="005D5957">
              <w:rPr>
                <w:sz w:val="20"/>
                <w:szCs w:val="20"/>
              </w:rPr>
              <w:t> </w:t>
            </w:r>
          </w:p>
        </w:tc>
      </w:tr>
      <w:tr w:rsidR="003D1FFB" w:rsidRPr="005D5957" w:rsidTr="00AD1934">
        <w:trPr>
          <w:trHeight w:val="510"/>
        </w:trPr>
        <w:tc>
          <w:tcPr>
            <w:tcW w:w="3070" w:type="dxa"/>
            <w:tcBorders>
              <w:top w:val="nil"/>
              <w:left w:val="single" w:sz="8" w:space="0" w:color="auto"/>
              <w:bottom w:val="single" w:sz="4" w:space="0" w:color="auto"/>
              <w:right w:val="single" w:sz="4" w:space="0" w:color="auto"/>
            </w:tcBorders>
            <w:shd w:val="clear" w:color="auto" w:fill="auto"/>
            <w:vAlign w:val="center"/>
          </w:tcPr>
          <w:p w:rsidR="003D1FFB" w:rsidRPr="005D5957" w:rsidRDefault="003D1FFB" w:rsidP="00AD1934">
            <w:pPr>
              <w:rPr>
                <w:sz w:val="20"/>
                <w:szCs w:val="20"/>
              </w:rPr>
            </w:pPr>
            <w:r w:rsidRPr="005D5957">
              <w:rPr>
                <w:sz w:val="20"/>
                <w:szCs w:val="20"/>
              </w:rPr>
              <w:t>c.30 for metered water supplies. The following of ecological importance</w:t>
            </w:r>
          </w:p>
        </w:tc>
        <w:tc>
          <w:tcPr>
            <w:tcW w:w="1980" w:type="dxa"/>
            <w:vMerge w:val="restart"/>
            <w:tcBorders>
              <w:top w:val="nil"/>
              <w:left w:val="single" w:sz="4" w:space="0" w:color="auto"/>
              <w:bottom w:val="single" w:sz="8" w:space="0" w:color="000000"/>
              <w:right w:val="single" w:sz="4" w:space="0" w:color="auto"/>
            </w:tcBorders>
            <w:shd w:val="clear" w:color="auto" w:fill="auto"/>
            <w:vAlign w:val="center"/>
          </w:tcPr>
          <w:p w:rsidR="003D1FFB" w:rsidRPr="005D5957" w:rsidRDefault="003D1FFB" w:rsidP="00AD1934">
            <w:pPr>
              <w:rPr>
                <w:sz w:val="20"/>
                <w:szCs w:val="20"/>
              </w:rPr>
            </w:pPr>
            <w:r w:rsidRPr="005D5957">
              <w:rPr>
                <w:sz w:val="20"/>
                <w:szCs w:val="20"/>
              </w:rPr>
              <w:t>Most of the older, larger ones gazetted under the Water Supply Act. Many have no legal arrangement but this is changing</w:t>
            </w:r>
          </w:p>
        </w:tc>
        <w:tc>
          <w:tcPr>
            <w:tcW w:w="1080" w:type="dxa"/>
            <w:tcBorders>
              <w:top w:val="nil"/>
              <w:left w:val="nil"/>
              <w:bottom w:val="single" w:sz="4" w:space="0" w:color="auto"/>
              <w:right w:val="nil"/>
            </w:tcBorders>
            <w:vAlign w:val="center"/>
          </w:tcPr>
          <w:p w:rsidR="003D1FFB" w:rsidRPr="005D5957" w:rsidRDefault="003D1FFB" w:rsidP="00AD1934">
            <w:pPr>
              <w:jc w:val="center"/>
              <w:rPr>
                <w:sz w:val="20"/>
                <w:szCs w:val="20"/>
              </w:rPr>
            </w:pPr>
            <w:r w:rsidRPr="005D5957">
              <w:rPr>
                <w:sz w:val="20"/>
                <w:szCs w:val="20"/>
              </w:rPr>
              <w:t>VI</w:t>
            </w:r>
          </w:p>
        </w:tc>
        <w:tc>
          <w:tcPr>
            <w:tcW w:w="1080" w:type="dxa"/>
            <w:tcBorders>
              <w:top w:val="nil"/>
              <w:left w:val="nil"/>
              <w:bottom w:val="single" w:sz="4" w:space="0" w:color="auto"/>
              <w:right w:val="single" w:sz="4" w:space="0" w:color="auto"/>
            </w:tcBorders>
            <w:shd w:val="clear" w:color="auto" w:fill="auto"/>
            <w:noWrap/>
            <w:vAlign w:val="bottom"/>
          </w:tcPr>
          <w:p w:rsidR="003D1FFB" w:rsidRPr="005D5957" w:rsidRDefault="003D1FFB" w:rsidP="00AD1934">
            <w:pPr>
              <w:rPr>
                <w:sz w:val="20"/>
                <w:szCs w:val="20"/>
              </w:rPr>
            </w:pPr>
            <w:r w:rsidRPr="005D5957">
              <w:rPr>
                <w:sz w:val="20"/>
                <w:szCs w:val="20"/>
              </w:rPr>
              <w:t> </w:t>
            </w:r>
          </w:p>
        </w:tc>
        <w:tc>
          <w:tcPr>
            <w:tcW w:w="1260" w:type="dxa"/>
            <w:tcBorders>
              <w:top w:val="nil"/>
              <w:left w:val="nil"/>
              <w:bottom w:val="single" w:sz="4" w:space="0" w:color="auto"/>
              <w:right w:val="single" w:sz="8" w:space="0" w:color="auto"/>
            </w:tcBorders>
            <w:shd w:val="clear" w:color="auto" w:fill="auto"/>
            <w:noWrap/>
            <w:vAlign w:val="bottom"/>
          </w:tcPr>
          <w:p w:rsidR="003D1FFB" w:rsidRPr="005D5957" w:rsidRDefault="003D1FFB" w:rsidP="00AD1934">
            <w:pPr>
              <w:rPr>
                <w:sz w:val="20"/>
                <w:szCs w:val="20"/>
              </w:rPr>
            </w:pPr>
            <w:r w:rsidRPr="005D5957">
              <w:rPr>
                <w:sz w:val="20"/>
                <w:szCs w:val="20"/>
              </w:rPr>
              <w:t> </w:t>
            </w:r>
          </w:p>
        </w:tc>
      </w:tr>
      <w:tr w:rsidR="003D1FFB" w:rsidRPr="005D5957" w:rsidTr="00AD1934">
        <w:trPr>
          <w:trHeight w:val="255"/>
        </w:trPr>
        <w:tc>
          <w:tcPr>
            <w:tcW w:w="3070" w:type="dxa"/>
            <w:tcBorders>
              <w:top w:val="nil"/>
              <w:left w:val="single" w:sz="8" w:space="0" w:color="auto"/>
              <w:bottom w:val="single" w:sz="4" w:space="0" w:color="auto"/>
              <w:right w:val="single" w:sz="4" w:space="0" w:color="auto"/>
            </w:tcBorders>
            <w:shd w:val="clear" w:color="auto" w:fill="auto"/>
            <w:vAlign w:val="center"/>
          </w:tcPr>
          <w:p w:rsidR="003D1FFB" w:rsidRPr="005D5957" w:rsidRDefault="003D1FFB" w:rsidP="00AD1934">
            <w:pPr>
              <w:rPr>
                <w:sz w:val="20"/>
                <w:szCs w:val="20"/>
              </w:rPr>
            </w:pPr>
            <w:r w:rsidRPr="005D5957">
              <w:rPr>
                <w:sz w:val="20"/>
                <w:szCs w:val="20"/>
              </w:rPr>
              <w:t>Tamavua-Savura 1&amp;2</w:t>
            </w:r>
          </w:p>
        </w:tc>
        <w:tc>
          <w:tcPr>
            <w:tcW w:w="1980" w:type="dxa"/>
            <w:vMerge/>
            <w:tcBorders>
              <w:top w:val="nil"/>
              <w:left w:val="single" w:sz="4" w:space="0" w:color="auto"/>
              <w:bottom w:val="single" w:sz="8" w:space="0" w:color="000000"/>
              <w:right w:val="single" w:sz="4" w:space="0" w:color="auto"/>
            </w:tcBorders>
            <w:vAlign w:val="center"/>
          </w:tcPr>
          <w:p w:rsidR="003D1FFB" w:rsidRPr="005D5957" w:rsidRDefault="003D1FFB" w:rsidP="00AD1934">
            <w:pPr>
              <w:rPr>
                <w:sz w:val="20"/>
                <w:szCs w:val="20"/>
              </w:rPr>
            </w:pPr>
          </w:p>
        </w:tc>
        <w:tc>
          <w:tcPr>
            <w:tcW w:w="1080" w:type="dxa"/>
            <w:tcBorders>
              <w:top w:val="nil"/>
              <w:left w:val="nil"/>
              <w:bottom w:val="single" w:sz="4" w:space="0" w:color="auto"/>
              <w:right w:val="nil"/>
            </w:tcBorders>
            <w:vAlign w:val="center"/>
          </w:tcPr>
          <w:p w:rsidR="003D1FFB" w:rsidRPr="005D5957" w:rsidRDefault="003D1FFB" w:rsidP="00AD1934">
            <w:pPr>
              <w:jc w:val="center"/>
              <w:rPr>
                <w:sz w:val="20"/>
                <w:szCs w:val="20"/>
              </w:rPr>
            </w:pPr>
            <w:r w:rsidRPr="005D5957">
              <w:rPr>
                <w:sz w:val="20"/>
                <w:szCs w:val="20"/>
              </w:rPr>
              <w:t>VI</w:t>
            </w:r>
          </w:p>
        </w:tc>
        <w:tc>
          <w:tcPr>
            <w:tcW w:w="1080" w:type="dxa"/>
            <w:tcBorders>
              <w:top w:val="nil"/>
              <w:left w:val="nil"/>
              <w:bottom w:val="single" w:sz="4" w:space="0" w:color="auto"/>
              <w:right w:val="single" w:sz="4" w:space="0" w:color="auto"/>
            </w:tcBorders>
            <w:shd w:val="clear" w:color="auto" w:fill="auto"/>
            <w:noWrap/>
            <w:vAlign w:val="bottom"/>
          </w:tcPr>
          <w:p w:rsidR="003D1FFB" w:rsidRPr="005D5957" w:rsidRDefault="003D1FFB" w:rsidP="00AD1934">
            <w:pPr>
              <w:rPr>
                <w:sz w:val="20"/>
                <w:szCs w:val="20"/>
              </w:rPr>
            </w:pPr>
            <w:r w:rsidRPr="005D5957">
              <w:rPr>
                <w:sz w:val="20"/>
                <w:szCs w:val="20"/>
              </w:rPr>
              <w:t> </w:t>
            </w:r>
          </w:p>
        </w:tc>
        <w:tc>
          <w:tcPr>
            <w:tcW w:w="1260" w:type="dxa"/>
            <w:tcBorders>
              <w:top w:val="nil"/>
              <w:left w:val="nil"/>
              <w:bottom w:val="single" w:sz="4" w:space="0" w:color="auto"/>
              <w:right w:val="single" w:sz="8" w:space="0" w:color="auto"/>
            </w:tcBorders>
            <w:shd w:val="clear" w:color="auto" w:fill="auto"/>
            <w:noWrap/>
            <w:vAlign w:val="bottom"/>
          </w:tcPr>
          <w:p w:rsidR="003D1FFB" w:rsidRPr="005D5957" w:rsidRDefault="003D1FFB" w:rsidP="00AD1934">
            <w:pPr>
              <w:rPr>
                <w:sz w:val="20"/>
                <w:szCs w:val="20"/>
              </w:rPr>
            </w:pPr>
            <w:r w:rsidRPr="005D5957">
              <w:rPr>
                <w:sz w:val="20"/>
                <w:szCs w:val="20"/>
              </w:rPr>
              <w:t> </w:t>
            </w:r>
          </w:p>
        </w:tc>
      </w:tr>
      <w:tr w:rsidR="003D1FFB" w:rsidRPr="005D5957" w:rsidTr="00AD1934">
        <w:trPr>
          <w:trHeight w:val="255"/>
        </w:trPr>
        <w:tc>
          <w:tcPr>
            <w:tcW w:w="3070" w:type="dxa"/>
            <w:tcBorders>
              <w:top w:val="nil"/>
              <w:left w:val="single" w:sz="8" w:space="0" w:color="auto"/>
              <w:bottom w:val="single" w:sz="4" w:space="0" w:color="auto"/>
              <w:right w:val="single" w:sz="4" w:space="0" w:color="auto"/>
            </w:tcBorders>
            <w:shd w:val="clear" w:color="auto" w:fill="auto"/>
            <w:vAlign w:val="center"/>
          </w:tcPr>
          <w:p w:rsidR="003D1FFB" w:rsidRPr="005D5957" w:rsidRDefault="003D1FFB" w:rsidP="00AD1934">
            <w:pPr>
              <w:rPr>
                <w:sz w:val="20"/>
                <w:szCs w:val="20"/>
              </w:rPr>
            </w:pPr>
            <w:r w:rsidRPr="005D5957">
              <w:rPr>
                <w:sz w:val="20"/>
                <w:szCs w:val="20"/>
              </w:rPr>
              <w:t>Somosomo</w:t>
            </w:r>
          </w:p>
        </w:tc>
        <w:tc>
          <w:tcPr>
            <w:tcW w:w="1980" w:type="dxa"/>
            <w:vMerge/>
            <w:tcBorders>
              <w:top w:val="nil"/>
              <w:left w:val="single" w:sz="4" w:space="0" w:color="auto"/>
              <w:bottom w:val="single" w:sz="8" w:space="0" w:color="000000"/>
              <w:right w:val="single" w:sz="4" w:space="0" w:color="auto"/>
            </w:tcBorders>
            <w:vAlign w:val="center"/>
          </w:tcPr>
          <w:p w:rsidR="003D1FFB" w:rsidRPr="005D5957" w:rsidRDefault="003D1FFB" w:rsidP="00AD1934">
            <w:pPr>
              <w:rPr>
                <w:sz w:val="20"/>
                <w:szCs w:val="20"/>
              </w:rPr>
            </w:pPr>
          </w:p>
        </w:tc>
        <w:tc>
          <w:tcPr>
            <w:tcW w:w="1080" w:type="dxa"/>
            <w:tcBorders>
              <w:top w:val="nil"/>
              <w:left w:val="nil"/>
              <w:bottom w:val="single" w:sz="4" w:space="0" w:color="auto"/>
              <w:right w:val="nil"/>
            </w:tcBorders>
            <w:vAlign w:val="center"/>
          </w:tcPr>
          <w:p w:rsidR="003D1FFB" w:rsidRPr="005D5957" w:rsidRDefault="003D1FFB" w:rsidP="00AD1934">
            <w:pPr>
              <w:jc w:val="center"/>
              <w:rPr>
                <w:sz w:val="20"/>
                <w:szCs w:val="20"/>
              </w:rPr>
            </w:pPr>
            <w:r w:rsidRPr="005D5957">
              <w:rPr>
                <w:sz w:val="20"/>
                <w:szCs w:val="20"/>
              </w:rPr>
              <w:t>VI</w:t>
            </w:r>
          </w:p>
        </w:tc>
        <w:tc>
          <w:tcPr>
            <w:tcW w:w="1080" w:type="dxa"/>
            <w:tcBorders>
              <w:top w:val="nil"/>
              <w:left w:val="nil"/>
              <w:bottom w:val="single" w:sz="4" w:space="0" w:color="auto"/>
              <w:right w:val="single" w:sz="4" w:space="0" w:color="auto"/>
            </w:tcBorders>
            <w:shd w:val="clear" w:color="auto" w:fill="auto"/>
            <w:noWrap/>
            <w:vAlign w:val="bottom"/>
          </w:tcPr>
          <w:p w:rsidR="003D1FFB" w:rsidRPr="005D5957" w:rsidRDefault="003D1FFB" w:rsidP="00AD1934">
            <w:pPr>
              <w:rPr>
                <w:sz w:val="20"/>
                <w:szCs w:val="20"/>
              </w:rPr>
            </w:pPr>
            <w:r w:rsidRPr="005D5957">
              <w:rPr>
                <w:sz w:val="20"/>
                <w:szCs w:val="20"/>
              </w:rPr>
              <w:t> </w:t>
            </w:r>
          </w:p>
        </w:tc>
        <w:tc>
          <w:tcPr>
            <w:tcW w:w="1260" w:type="dxa"/>
            <w:tcBorders>
              <w:top w:val="nil"/>
              <w:left w:val="nil"/>
              <w:bottom w:val="single" w:sz="4" w:space="0" w:color="auto"/>
              <w:right w:val="single" w:sz="8" w:space="0" w:color="auto"/>
            </w:tcBorders>
            <w:shd w:val="clear" w:color="auto" w:fill="auto"/>
            <w:noWrap/>
            <w:vAlign w:val="bottom"/>
          </w:tcPr>
          <w:p w:rsidR="003D1FFB" w:rsidRPr="005D5957" w:rsidRDefault="003D1FFB" w:rsidP="00AD1934">
            <w:pPr>
              <w:rPr>
                <w:sz w:val="20"/>
                <w:szCs w:val="20"/>
              </w:rPr>
            </w:pPr>
            <w:r w:rsidRPr="005D5957">
              <w:rPr>
                <w:sz w:val="20"/>
                <w:szCs w:val="20"/>
              </w:rPr>
              <w:t> </w:t>
            </w:r>
          </w:p>
        </w:tc>
      </w:tr>
      <w:tr w:rsidR="003D1FFB" w:rsidRPr="005D5957" w:rsidTr="00AD1934">
        <w:trPr>
          <w:trHeight w:val="255"/>
        </w:trPr>
        <w:tc>
          <w:tcPr>
            <w:tcW w:w="3070" w:type="dxa"/>
            <w:tcBorders>
              <w:top w:val="nil"/>
              <w:left w:val="single" w:sz="8" w:space="0" w:color="auto"/>
              <w:bottom w:val="single" w:sz="4" w:space="0" w:color="auto"/>
              <w:right w:val="single" w:sz="4" w:space="0" w:color="auto"/>
            </w:tcBorders>
            <w:shd w:val="clear" w:color="auto" w:fill="auto"/>
            <w:vAlign w:val="center"/>
          </w:tcPr>
          <w:p w:rsidR="003D1FFB" w:rsidRPr="005D5957" w:rsidRDefault="003D1FFB" w:rsidP="00AD1934">
            <w:pPr>
              <w:rPr>
                <w:sz w:val="20"/>
                <w:szCs w:val="20"/>
              </w:rPr>
            </w:pPr>
            <w:r w:rsidRPr="005D5957">
              <w:rPr>
                <w:sz w:val="20"/>
                <w:szCs w:val="20"/>
              </w:rPr>
              <w:t>Waievu</w:t>
            </w:r>
          </w:p>
        </w:tc>
        <w:tc>
          <w:tcPr>
            <w:tcW w:w="1980" w:type="dxa"/>
            <w:vMerge/>
            <w:tcBorders>
              <w:top w:val="nil"/>
              <w:left w:val="single" w:sz="4" w:space="0" w:color="auto"/>
              <w:bottom w:val="single" w:sz="8" w:space="0" w:color="000000"/>
              <w:right w:val="single" w:sz="4" w:space="0" w:color="auto"/>
            </w:tcBorders>
            <w:vAlign w:val="center"/>
          </w:tcPr>
          <w:p w:rsidR="003D1FFB" w:rsidRPr="005D5957" w:rsidRDefault="003D1FFB" w:rsidP="00AD1934">
            <w:pPr>
              <w:rPr>
                <w:sz w:val="20"/>
                <w:szCs w:val="20"/>
              </w:rPr>
            </w:pPr>
          </w:p>
        </w:tc>
        <w:tc>
          <w:tcPr>
            <w:tcW w:w="1080" w:type="dxa"/>
            <w:tcBorders>
              <w:top w:val="nil"/>
              <w:left w:val="nil"/>
              <w:bottom w:val="single" w:sz="4" w:space="0" w:color="auto"/>
              <w:right w:val="nil"/>
            </w:tcBorders>
            <w:vAlign w:val="center"/>
          </w:tcPr>
          <w:p w:rsidR="003D1FFB" w:rsidRPr="005D5957" w:rsidRDefault="003D1FFB" w:rsidP="00AD1934">
            <w:pPr>
              <w:jc w:val="center"/>
              <w:rPr>
                <w:sz w:val="20"/>
                <w:szCs w:val="20"/>
              </w:rPr>
            </w:pPr>
            <w:r w:rsidRPr="005D5957">
              <w:rPr>
                <w:sz w:val="20"/>
                <w:szCs w:val="20"/>
              </w:rPr>
              <w:t>VI</w:t>
            </w:r>
          </w:p>
        </w:tc>
        <w:tc>
          <w:tcPr>
            <w:tcW w:w="1080" w:type="dxa"/>
            <w:tcBorders>
              <w:top w:val="nil"/>
              <w:left w:val="nil"/>
              <w:bottom w:val="single" w:sz="4" w:space="0" w:color="auto"/>
              <w:right w:val="single" w:sz="4" w:space="0" w:color="auto"/>
            </w:tcBorders>
            <w:shd w:val="clear" w:color="auto" w:fill="auto"/>
            <w:noWrap/>
            <w:vAlign w:val="bottom"/>
          </w:tcPr>
          <w:p w:rsidR="003D1FFB" w:rsidRPr="005D5957" w:rsidRDefault="003D1FFB" w:rsidP="00AD1934">
            <w:pPr>
              <w:rPr>
                <w:sz w:val="20"/>
                <w:szCs w:val="20"/>
              </w:rPr>
            </w:pPr>
            <w:r w:rsidRPr="005D5957">
              <w:rPr>
                <w:sz w:val="20"/>
                <w:szCs w:val="20"/>
              </w:rPr>
              <w:t> </w:t>
            </w:r>
          </w:p>
        </w:tc>
        <w:tc>
          <w:tcPr>
            <w:tcW w:w="1260" w:type="dxa"/>
            <w:tcBorders>
              <w:top w:val="nil"/>
              <w:left w:val="nil"/>
              <w:bottom w:val="single" w:sz="4" w:space="0" w:color="auto"/>
              <w:right w:val="single" w:sz="8" w:space="0" w:color="auto"/>
            </w:tcBorders>
            <w:shd w:val="clear" w:color="auto" w:fill="auto"/>
            <w:noWrap/>
            <w:vAlign w:val="bottom"/>
          </w:tcPr>
          <w:p w:rsidR="003D1FFB" w:rsidRPr="005D5957" w:rsidRDefault="003D1FFB" w:rsidP="00AD1934">
            <w:pPr>
              <w:rPr>
                <w:sz w:val="20"/>
                <w:szCs w:val="20"/>
              </w:rPr>
            </w:pPr>
            <w:r w:rsidRPr="005D5957">
              <w:rPr>
                <w:sz w:val="20"/>
                <w:szCs w:val="20"/>
              </w:rPr>
              <w:t> </w:t>
            </w:r>
          </w:p>
        </w:tc>
      </w:tr>
      <w:tr w:rsidR="003D1FFB" w:rsidRPr="005D5957" w:rsidTr="00AD1934">
        <w:trPr>
          <w:trHeight w:val="270"/>
        </w:trPr>
        <w:tc>
          <w:tcPr>
            <w:tcW w:w="3070" w:type="dxa"/>
            <w:tcBorders>
              <w:top w:val="nil"/>
              <w:left w:val="single" w:sz="8" w:space="0" w:color="auto"/>
              <w:bottom w:val="single" w:sz="8" w:space="0" w:color="auto"/>
              <w:right w:val="single" w:sz="4" w:space="0" w:color="auto"/>
            </w:tcBorders>
            <w:shd w:val="clear" w:color="auto" w:fill="auto"/>
            <w:vAlign w:val="center"/>
          </w:tcPr>
          <w:p w:rsidR="003D1FFB" w:rsidRPr="005D5957" w:rsidRDefault="003D1FFB" w:rsidP="00AD1934">
            <w:pPr>
              <w:rPr>
                <w:sz w:val="20"/>
                <w:szCs w:val="20"/>
              </w:rPr>
            </w:pPr>
            <w:r w:rsidRPr="005D5957">
              <w:rPr>
                <w:sz w:val="20"/>
                <w:szCs w:val="20"/>
              </w:rPr>
              <w:t>Vaturu</w:t>
            </w:r>
          </w:p>
        </w:tc>
        <w:tc>
          <w:tcPr>
            <w:tcW w:w="1980" w:type="dxa"/>
            <w:vMerge/>
            <w:tcBorders>
              <w:top w:val="nil"/>
              <w:left w:val="single" w:sz="4" w:space="0" w:color="auto"/>
              <w:bottom w:val="single" w:sz="8" w:space="0" w:color="000000"/>
              <w:right w:val="single" w:sz="4" w:space="0" w:color="auto"/>
            </w:tcBorders>
            <w:vAlign w:val="center"/>
          </w:tcPr>
          <w:p w:rsidR="003D1FFB" w:rsidRPr="005D5957" w:rsidRDefault="003D1FFB" w:rsidP="00AD1934">
            <w:pPr>
              <w:rPr>
                <w:sz w:val="20"/>
                <w:szCs w:val="20"/>
              </w:rPr>
            </w:pPr>
          </w:p>
        </w:tc>
        <w:tc>
          <w:tcPr>
            <w:tcW w:w="1080" w:type="dxa"/>
            <w:tcBorders>
              <w:top w:val="nil"/>
              <w:left w:val="nil"/>
              <w:bottom w:val="single" w:sz="8" w:space="0" w:color="auto"/>
              <w:right w:val="nil"/>
            </w:tcBorders>
            <w:vAlign w:val="center"/>
          </w:tcPr>
          <w:p w:rsidR="003D1FFB" w:rsidRPr="005D5957" w:rsidRDefault="003D1FFB" w:rsidP="00AD1934">
            <w:pPr>
              <w:jc w:val="center"/>
              <w:rPr>
                <w:sz w:val="20"/>
                <w:szCs w:val="20"/>
              </w:rPr>
            </w:pPr>
            <w:r w:rsidRPr="005D5957">
              <w:rPr>
                <w:sz w:val="20"/>
                <w:szCs w:val="20"/>
              </w:rPr>
              <w:t>VI</w:t>
            </w:r>
          </w:p>
        </w:tc>
        <w:tc>
          <w:tcPr>
            <w:tcW w:w="1080" w:type="dxa"/>
            <w:tcBorders>
              <w:top w:val="nil"/>
              <w:left w:val="nil"/>
              <w:bottom w:val="single" w:sz="8" w:space="0" w:color="auto"/>
              <w:right w:val="single" w:sz="4" w:space="0" w:color="auto"/>
            </w:tcBorders>
            <w:shd w:val="clear" w:color="auto" w:fill="auto"/>
            <w:noWrap/>
            <w:vAlign w:val="bottom"/>
          </w:tcPr>
          <w:p w:rsidR="003D1FFB" w:rsidRPr="005D5957" w:rsidRDefault="003D1FFB" w:rsidP="00AD1934">
            <w:pPr>
              <w:rPr>
                <w:sz w:val="20"/>
                <w:szCs w:val="20"/>
              </w:rPr>
            </w:pPr>
            <w:r w:rsidRPr="005D5957">
              <w:rPr>
                <w:sz w:val="20"/>
                <w:szCs w:val="20"/>
              </w:rPr>
              <w:t> </w:t>
            </w:r>
          </w:p>
        </w:tc>
        <w:tc>
          <w:tcPr>
            <w:tcW w:w="1260" w:type="dxa"/>
            <w:tcBorders>
              <w:top w:val="nil"/>
              <w:left w:val="nil"/>
              <w:bottom w:val="single" w:sz="8" w:space="0" w:color="auto"/>
              <w:right w:val="single" w:sz="8" w:space="0" w:color="auto"/>
            </w:tcBorders>
            <w:shd w:val="clear" w:color="auto" w:fill="auto"/>
            <w:noWrap/>
            <w:vAlign w:val="bottom"/>
          </w:tcPr>
          <w:p w:rsidR="003D1FFB" w:rsidRPr="005D5957" w:rsidRDefault="003D1FFB" w:rsidP="00AD1934">
            <w:pPr>
              <w:rPr>
                <w:sz w:val="20"/>
                <w:szCs w:val="20"/>
              </w:rPr>
            </w:pPr>
            <w:r w:rsidRPr="005D5957">
              <w:rPr>
                <w:sz w:val="20"/>
                <w:szCs w:val="20"/>
              </w:rPr>
              <w:t> </w:t>
            </w:r>
          </w:p>
        </w:tc>
      </w:tr>
      <w:tr w:rsidR="003D1FFB" w:rsidRPr="005D5957" w:rsidTr="00AD1934">
        <w:trPr>
          <w:trHeight w:val="780"/>
        </w:trPr>
        <w:tc>
          <w:tcPr>
            <w:tcW w:w="3070" w:type="dxa"/>
            <w:tcBorders>
              <w:top w:val="nil"/>
              <w:left w:val="single" w:sz="8" w:space="0" w:color="auto"/>
              <w:bottom w:val="nil"/>
              <w:right w:val="single" w:sz="4" w:space="0" w:color="auto"/>
            </w:tcBorders>
            <w:shd w:val="clear" w:color="auto" w:fill="auto"/>
            <w:vAlign w:val="center"/>
          </w:tcPr>
          <w:p w:rsidR="003D1FFB" w:rsidRPr="005D5957" w:rsidRDefault="003D1FFB" w:rsidP="00AD1934">
            <w:pPr>
              <w:jc w:val="center"/>
              <w:rPr>
                <w:b/>
                <w:bCs/>
                <w:sz w:val="20"/>
                <w:szCs w:val="20"/>
              </w:rPr>
            </w:pPr>
            <w:r w:rsidRPr="005D5957">
              <w:rPr>
                <w:b/>
                <w:bCs/>
                <w:sz w:val="20"/>
                <w:szCs w:val="20"/>
              </w:rPr>
              <w:t>Marine Sites</w:t>
            </w:r>
          </w:p>
        </w:tc>
        <w:tc>
          <w:tcPr>
            <w:tcW w:w="1980" w:type="dxa"/>
            <w:tcBorders>
              <w:top w:val="nil"/>
              <w:left w:val="nil"/>
              <w:bottom w:val="nil"/>
              <w:right w:val="single" w:sz="4" w:space="0" w:color="auto"/>
            </w:tcBorders>
            <w:shd w:val="clear" w:color="auto" w:fill="auto"/>
            <w:vAlign w:val="center"/>
          </w:tcPr>
          <w:p w:rsidR="003D1FFB" w:rsidRPr="005D5957" w:rsidRDefault="003D1FFB" w:rsidP="00AD1934">
            <w:pPr>
              <w:jc w:val="center"/>
              <w:rPr>
                <w:b/>
                <w:bCs/>
                <w:sz w:val="20"/>
                <w:szCs w:val="20"/>
              </w:rPr>
            </w:pPr>
            <w:r w:rsidRPr="005D5957">
              <w:rPr>
                <w:b/>
                <w:bCs/>
                <w:sz w:val="20"/>
                <w:szCs w:val="20"/>
              </w:rPr>
              <w:t>Institutional Arrangement</w:t>
            </w:r>
          </w:p>
        </w:tc>
        <w:tc>
          <w:tcPr>
            <w:tcW w:w="1080" w:type="dxa"/>
            <w:tcBorders>
              <w:top w:val="nil"/>
              <w:left w:val="nil"/>
              <w:bottom w:val="nil"/>
              <w:right w:val="nil"/>
            </w:tcBorders>
            <w:vAlign w:val="center"/>
          </w:tcPr>
          <w:p w:rsidR="003D1FFB" w:rsidRPr="005D5957" w:rsidRDefault="003D1FFB" w:rsidP="00AD1934">
            <w:pPr>
              <w:jc w:val="center"/>
              <w:rPr>
                <w:b/>
                <w:bCs/>
                <w:sz w:val="20"/>
                <w:szCs w:val="20"/>
              </w:rPr>
            </w:pPr>
          </w:p>
        </w:tc>
        <w:tc>
          <w:tcPr>
            <w:tcW w:w="1080" w:type="dxa"/>
            <w:tcBorders>
              <w:top w:val="nil"/>
              <w:left w:val="nil"/>
              <w:bottom w:val="nil"/>
              <w:right w:val="single" w:sz="4" w:space="0" w:color="auto"/>
            </w:tcBorders>
            <w:shd w:val="clear" w:color="auto" w:fill="auto"/>
            <w:vAlign w:val="center"/>
          </w:tcPr>
          <w:p w:rsidR="003D1FFB" w:rsidRPr="005D5957" w:rsidRDefault="003D1FFB" w:rsidP="00AD1934">
            <w:pPr>
              <w:jc w:val="center"/>
              <w:rPr>
                <w:b/>
                <w:bCs/>
                <w:sz w:val="20"/>
                <w:szCs w:val="20"/>
              </w:rPr>
            </w:pPr>
            <w:r w:rsidRPr="005D5957">
              <w:rPr>
                <w:b/>
                <w:bCs/>
                <w:sz w:val="20"/>
                <w:szCs w:val="20"/>
              </w:rPr>
              <w:t>Year of Establishment</w:t>
            </w:r>
          </w:p>
        </w:tc>
        <w:tc>
          <w:tcPr>
            <w:tcW w:w="1260" w:type="dxa"/>
            <w:tcBorders>
              <w:top w:val="nil"/>
              <w:left w:val="nil"/>
              <w:bottom w:val="nil"/>
              <w:right w:val="single" w:sz="8" w:space="0" w:color="auto"/>
            </w:tcBorders>
            <w:shd w:val="clear" w:color="auto" w:fill="auto"/>
            <w:vAlign w:val="center"/>
          </w:tcPr>
          <w:p w:rsidR="003D1FFB" w:rsidRPr="005D5957" w:rsidRDefault="003D1FFB" w:rsidP="00AD1934">
            <w:pPr>
              <w:jc w:val="center"/>
              <w:rPr>
                <w:b/>
                <w:bCs/>
                <w:sz w:val="20"/>
                <w:szCs w:val="20"/>
              </w:rPr>
            </w:pPr>
            <w:r w:rsidRPr="005D5957">
              <w:rPr>
                <w:b/>
                <w:bCs/>
                <w:sz w:val="20"/>
                <w:szCs w:val="20"/>
              </w:rPr>
              <w:t>Area (ha)</w:t>
            </w:r>
          </w:p>
        </w:tc>
      </w:tr>
      <w:tr w:rsidR="003D1FFB" w:rsidRPr="005D5957" w:rsidTr="00AD1934">
        <w:trPr>
          <w:trHeight w:val="255"/>
        </w:trPr>
        <w:tc>
          <w:tcPr>
            <w:tcW w:w="3070" w:type="dxa"/>
            <w:tcBorders>
              <w:top w:val="single" w:sz="8" w:space="0" w:color="auto"/>
              <w:left w:val="single" w:sz="8" w:space="0" w:color="auto"/>
              <w:bottom w:val="single" w:sz="4" w:space="0" w:color="auto"/>
              <w:right w:val="single" w:sz="4" w:space="0" w:color="auto"/>
            </w:tcBorders>
            <w:shd w:val="clear" w:color="auto" w:fill="auto"/>
            <w:noWrap/>
            <w:vAlign w:val="bottom"/>
          </w:tcPr>
          <w:p w:rsidR="003D1FFB" w:rsidRPr="005D5957" w:rsidRDefault="003D1FFB" w:rsidP="00AD1934">
            <w:pPr>
              <w:rPr>
                <w:sz w:val="20"/>
                <w:szCs w:val="20"/>
              </w:rPr>
            </w:pPr>
            <w:r w:rsidRPr="005D5957">
              <w:rPr>
                <w:sz w:val="20"/>
                <w:szCs w:val="20"/>
              </w:rPr>
              <w:t>Ulunikoro Marine Reserve</w:t>
            </w:r>
          </w:p>
        </w:tc>
        <w:tc>
          <w:tcPr>
            <w:tcW w:w="3060" w:type="dxa"/>
            <w:gridSpan w:val="2"/>
            <w:tcBorders>
              <w:top w:val="single" w:sz="8" w:space="0" w:color="auto"/>
              <w:left w:val="nil"/>
              <w:bottom w:val="single" w:sz="4" w:space="0" w:color="auto"/>
              <w:right w:val="single" w:sz="4" w:space="0" w:color="auto"/>
            </w:tcBorders>
            <w:shd w:val="clear" w:color="auto" w:fill="auto"/>
            <w:noWrap/>
            <w:vAlign w:val="center"/>
          </w:tcPr>
          <w:p w:rsidR="003D1FFB" w:rsidRPr="005D5957" w:rsidRDefault="003D1FFB" w:rsidP="00AD1934">
            <w:pPr>
              <w:jc w:val="center"/>
              <w:rPr>
                <w:sz w:val="20"/>
                <w:szCs w:val="20"/>
              </w:rPr>
            </w:pPr>
            <w:r w:rsidRPr="005D5957">
              <w:rPr>
                <w:sz w:val="20"/>
                <w:szCs w:val="20"/>
              </w:rPr>
              <w:t>Marine Reserve – Fisheries Act</w:t>
            </w:r>
          </w:p>
        </w:tc>
        <w:tc>
          <w:tcPr>
            <w:tcW w:w="1080" w:type="dxa"/>
            <w:tcBorders>
              <w:top w:val="single" w:sz="8" w:space="0" w:color="auto"/>
              <w:left w:val="nil"/>
              <w:bottom w:val="single" w:sz="4" w:space="0" w:color="auto"/>
              <w:right w:val="single" w:sz="4" w:space="0" w:color="auto"/>
            </w:tcBorders>
            <w:shd w:val="clear" w:color="auto" w:fill="auto"/>
            <w:noWrap/>
            <w:vAlign w:val="bottom"/>
          </w:tcPr>
          <w:p w:rsidR="003D1FFB" w:rsidRPr="005D5957" w:rsidRDefault="003D1FFB" w:rsidP="00AD1934">
            <w:pPr>
              <w:jc w:val="right"/>
              <w:rPr>
                <w:sz w:val="20"/>
                <w:szCs w:val="20"/>
              </w:rPr>
            </w:pPr>
            <w:r w:rsidRPr="005D5957">
              <w:rPr>
                <w:sz w:val="20"/>
                <w:szCs w:val="20"/>
              </w:rPr>
              <w:t> 2003</w:t>
            </w:r>
          </w:p>
        </w:tc>
        <w:tc>
          <w:tcPr>
            <w:tcW w:w="1260" w:type="dxa"/>
            <w:tcBorders>
              <w:top w:val="single" w:sz="8" w:space="0" w:color="auto"/>
              <w:left w:val="nil"/>
              <w:bottom w:val="single" w:sz="4" w:space="0" w:color="auto"/>
              <w:right w:val="single" w:sz="8" w:space="0" w:color="auto"/>
            </w:tcBorders>
            <w:shd w:val="clear" w:color="auto" w:fill="auto"/>
            <w:noWrap/>
            <w:vAlign w:val="bottom"/>
          </w:tcPr>
          <w:p w:rsidR="003D1FFB" w:rsidRPr="005D5957" w:rsidRDefault="003D1FFB" w:rsidP="00AD1934">
            <w:pPr>
              <w:rPr>
                <w:sz w:val="20"/>
                <w:szCs w:val="20"/>
              </w:rPr>
            </w:pPr>
            <w:r w:rsidRPr="005D5957">
              <w:rPr>
                <w:sz w:val="20"/>
                <w:szCs w:val="20"/>
              </w:rPr>
              <w:t> </w:t>
            </w:r>
          </w:p>
        </w:tc>
      </w:tr>
      <w:tr w:rsidR="003D1FFB" w:rsidRPr="005D5957" w:rsidTr="00AD1934">
        <w:trPr>
          <w:trHeight w:val="255"/>
        </w:trPr>
        <w:tc>
          <w:tcPr>
            <w:tcW w:w="3070" w:type="dxa"/>
            <w:tcBorders>
              <w:top w:val="single" w:sz="4" w:space="0" w:color="auto"/>
              <w:left w:val="single" w:sz="8" w:space="0" w:color="auto"/>
              <w:bottom w:val="single" w:sz="8" w:space="0" w:color="auto"/>
              <w:right w:val="single" w:sz="4" w:space="0" w:color="auto"/>
            </w:tcBorders>
            <w:shd w:val="clear" w:color="auto" w:fill="auto"/>
            <w:noWrap/>
            <w:vAlign w:val="bottom"/>
          </w:tcPr>
          <w:p w:rsidR="003D1FFB" w:rsidRPr="005D5957" w:rsidRDefault="003D1FFB" w:rsidP="00AD1934">
            <w:pPr>
              <w:rPr>
                <w:sz w:val="20"/>
                <w:szCs w:val="20"/>
              </w:rPr>
            </w:pPr>
            <w:r w:rsidRPr="005D5957">
              <w:rPr>
                <w:sz w:val="20"/>
                <w:szCs w:val="20"/>
              </w:rPr>
              <w:t> 216 Locally Managed Marine Areas</w:t>
            </w:r>
          </w:p>
        </w:tc>
        <w:tc>
          <w:tcPr>
            <w:tcW w:w="3060" w:type="dxa"/>
            <w:gridSpan w:val="2"/>
            <w:tcBorders>
              <w:top w:val="single" w:sz="4" w:space="0" w:color="auto"/>
              <w:left w:val="nil"/>
              <w:bottom w:val="single" w:sz="8" w:space="0" w:color="auto"/>
              <w:right w:val="single" w:sz="4" w:space="0" w:color="auto"/>
            </w:tcBorders>
            <w:shd w:val="clear" w:color="auto" w:fill="auto"/>
            <w:noWrap/>
            <w:vAlign w:val="center"/>
          </w:tcPr>
          <w:p w:rsidR="003D1FFB" w:rsidRPr="005D5957" w:rsidRDefault="003D1FFB" w:rsidP="00AD1934">
            <w:pPr>
              <w:jc w:val="center"/>
              <w:rPr>
                <w:sz w:val="20"/>
                <w:szCs w:val="20"/>
              </w:rPr>
            </w:pPr>
            <w:r w:rsidRPr="005D5957">
              <w:rPr>
                <w:sz w:val="20"/>
                <w:szCs w:val="20"/>
              </w:rPr>
              <w:t>None</w:t>
            </w:r>
          </w:p>
        </w:tc>
        <w:tc>
          <w:tcPr>
            <w:tcW w:w="1080" w:type="dxa"/>
            <w:tcBorders>
              <w:top w:val="single" w:sz="4" w:space="0" w:color="auto"/>
              <w:left w:val="nil"/>
              <w:bottom w:val="single" w:sz="8" w:space="0" w:color="auto"/>
              <w:right w:val="single" w:sz="4" w:space="0" w:color="auto"/>
            </w:tcBorders>
            <w:shd w:val="clear" w:color="auto" w:fill="auto"/>
            <w:noWrap/>
            <w:vAlign w:val="bottom"/>
          </w:tcPr>
          <w:p w:rsidR="003D1FFB" w:rsidRPr="005D5957" w:rsidRDefault="003D1FFB" w:rsidP="00AD1934">
            <w:pPr>
              <w:rPr>
                <w:sz w:val="20"/>
                <w:szCs w:val="20"/>
              </w:rPr>
            </w:pPr>
            <w:r w:rsidRPr="005D5957">
              <w:rPr>
                <w:sz w:val="20"/>
                <w:szCs w:val="20"/>
              </w:rPr>
              <w:t> 1995-2008</w:t>
            </w:r>
          </w:p>
        </w:tc>
        <w:tc>
          <w:tcPr>
            <w:tcW w:w="1260" w:type="dxa"/>
            <w:tcBorders>
              <w:top w:val="single" w:sz="4" w:space="0" w:color="auto"/>
              <w:left w:val="nil"/>
              <w:bottom w:val="single" w:sz="8" w:space="0" w:color="auto"/>
              <w:right w:val="single" w:sz="8" w:space="0" w:color="auto"/>
            </w:tcBorders>
            <w:shd w:val="clear" w:color="auto" w:fill="auto"/>
            <w:noWrap/>
            <w:vAlign w:val="bottom"/>
          </w:tcPr>
          <w:p w:rsidR="003D1FFB" w:rsidRPr="005D5957" w:rsidRDefault="003D1FFB" w:rsidP="00AD1934">
            <w:pPr>
              <w:jc w:val="right"/>
              <w:rPr>
                <w:sz w:val="20"/>
                <w:szCs w:val="20"/>
              </w:rPr>
            </w:pPr>
            <w:r w:rsidRPr="005D5957">
              <w:rPr>
                <w:sz w:val="20"/>
                <w:szCs w:val="20"/>
              </w:rPr>
              <w:t xml:space="preserve"> 1,023,285 </w:t>
            </w:r>
          </w:p>
        </w:tc>
      </w:tr>
    </w:tbl>
    <w:p w:rsidR="003D1FFB" w:rsidRDefault="003D1FFB" w:rsidP="003D1FFB">
      <w:pPr>
        <w:ind w:left="360"/>
        <w:jc w:val="both"/>
        <w:rPr>
          <w:b/>
        </w:rPr>
      </w:pPr>
    </w:p>
    <w:p w:rsidR="003D1FFB" w:rsidRDefault="003D1FFB" w:rsidP="003D1FFB">
      <w:pPr>
        <w:ind w:left="360"/>
        <w:jc w:val="both"/>
        <w:rPr>
          <w:b/>
          <w:bCs/>
        </w:rPr>
      </w:pPr>
    </w:p>
    <w:p w:rsidR="00A06786" w:rsidRDefault="00A06786"/>
    <w:p w:rsidR="00A06786" w:rsidRDefault="00A06786">
      <w:r w:rsidRPr="00A06786">
        <w:rPr>
          <w:rStyle w:val="Heading1Char"/>
        </w:rPr>
        <w:t>Key threats</w:t>
      </w:r>
      <w:r>
        <w:t xml:space="preserve"> </w:t>
      </w:r>
    </w:p>
    <w:p w:rsidR="00624DBD" w:rsidRDefault="00624DBD">
      <w:r>
        <w:t>(Description of key threats, and maps, if available)</w:t>
      </w:r>
    </w:p>
    <w:p w:rsidR="003D1FFB" w:rsidRPr="00B311BC" w:rsidRDefault="003D1FFB" w:rsidP="003D1FFB">
      <w:pPr>
        <w:rPr>
          <w:i/>
          <w:iCs/>
        </w:rPr>
      </w:pPr>
      <w:r w:rsidRPr="00B311BC">
        <w:rPr>
          <w:b/>
          <w:bCs/>
        </w:rPr>
        <w:t>Threat 1: De</w:t>
      </w:r>
      <w:r>
        <w:rPr>
          <w:b/>
          <w:bCs/>
        </w:rPr>
        <w:t>-</w:t>
      </w:r>
      <w:r w:rsidRPr="00B311BC">
        <w:rPr>
          <w:b/>
          <w:bCs/>
        </w:rPr>
        <w:t>reservation of Nature Reserves</w:t>
      </w:r>
      <w:r w:rsidRPr="00B311BC">
        <w:tab/>
      </w:r>
    </w:p>
    <w:p w:rsidR="003D1FFB" w:rsidRPr="00B311BC" w:rsidRDefault="003D1FFB" w:rsidP="003D1FFB">
      <w:pPr>
        <w:pStyle w:val="ECFBodyCharChar"/>
        <w:rPr>
          <w:rFonts w:ascii="Times New Roman" w:hAnsi="Times New Roman"/>
          <w:sz w:val="22"/>
          <w:szCs w:val="22"/>
        </w:rPr>
      </w:pPr>
      <w:r w:rsidRPr="00B311BC">
        <w:rPr>
          <w:rFonts w:ascii="Times New Roman" w:hAnsi="Times New Roman"/>
          <w:sz w:val="22"/>
          <w:szCs w:val="22"/>
        </w:rPr>
        <w:t>The Nature Reserves were established in the colonial era under the Forestry Act (now Forest Decree). Political pressure has resulted in the Reserves (and other Crown A,</w:t>
      </w:r>
      <w:r>
        <w:rPr>
          <w:rFonts w:ascii="Times New Roman" w:hAnsi="Times New Roman"/>
          <w:sz w:val="22"/>
          <w:szCs w:val="22"/>
        </w:rPr>
        <w:t xml:space="preserve"> </w:t>
      </w:r>
      <w:r w:rsidRPr="00B311BC">
        <w:rPr>
          <w:rFonts w:ascii="Times New Roman" w:hAnsi="Times New Roman"/>
          <w:sz w:val="22"/>
          <w:szCs w:val="22"/>
        </w:rPr>
        <w:t>B land tenure) being reverted to native land ownership. There is no assurance at this point in time that any form of protected area will eventuate.</w:t>
      </w:r>
    </w:p>
    <w:p w:rsidR="003D1FFB" w:rsidRPr="00B311BC" w:rsidRDefault="003D1FFB" w:rsidP="003D1FFB">
      <w:pPr>
        <w:rPr>
          <w:b/>
          <w:bCs/>
        </w:rPr>
      </w:pPr>
    </w:p>
    <w:p w:rsidR="003D1FFB" w:rsidRPr="00B311BC" w:rsidRDefault="003D1FFB" w:rsidP="003D1FFB">
      <w:pPr>
        <w:rPr>
          <w:b/>
          <w:bCs/>
        </w:rPr>
      </w:pPr>
      <w:r w:rsidRPr="00B311BC">
        <w:rPr>
          <w:b/>
          <w:bCs/>
        </w:rPr>
        <w:t xml:space="preserve">Threat 2: Invasive species </w:t>
      </w:r>
    </w:p>
    <w:p w:rsidR="003D1FFB" w:rsidRPr="00B311BC" w:rsidRDefault="003D1FFB" w:rsidP="003D1FFB">
      <w:pPr>
        <w:pStyle w:val="ECFBodyCharChar"/>
        <w:rPr>
          <w:rFonts w:ascii="Times New Roman" w:hAnsi="Times New Roman"/>
          <w:sz w:val="22"/>
          <w:szCs w:val="22"/>
        </w:rPr>
      </w:pPr>
      <w:r w:rsidRPr="00B311BC">
        <w:rPr>
          <w:rFonts w:ascii="Times New Roman" w:hAnsi="Times New Roman"/>
          <w:sz w:val="22"/>
          <w:szCs w:val="22"/>
        </w:rPr>
        <w:t xml:space="preserve">Fiji suffers from a suite of invasive species common with most islands in the South Pacific including rats, cats, mongoose, cane toads, dogs, pigs, goats, horses, cattle, Indian Mynahs, red-vented bulbuls, </w:t>
      </w:r>
      <w:r w:rsidRPr="00B311BC">
        <w:rPr>
          <w:rFonts w:ascii="Times New Roman" w:hAnsi="Times New Roman"/>
          <w:i/>
          <w:sz w:val="22"/>
          <w:szCs w:val="22"/>
        </w:rPr>
        <w:t>Merremia peltata</w:t>
      </w:r>
      <w:r w:rsidRPr="00B311BC">
        <w:rPr>
          <w:rFonts w:ascii="Times New Roman" w:hAnsi="Times New Roman"/>
          <w:sz w:val="22"/>
          <w:szCs w:val="22"/>
        </w:rPr>
        <w:t xml:space="preserve"> creeper etc. Not all these invasive species are on every island and so there examples available to show the impacts of different species, as well as prevent further inter-island introduction.</w:t>
      </w:r>
    </w:p>
    <w:p w:rsidR="003D1FFB" w:rsidRDefault="003D1FFB" w:rsidP="003D1FFB">
      <w:pPr>
        <w:rPr>
          <w:b/>
          <w:bCs/>
        </w:rPr>
      </w:pPr>
    </w:p>
    <w:p w:rsidR="003D1FFB" w:rsidRPr="00B311BC" w:rsidRDefault="003D1FFB" w:rsidP="003D1FFB">
      <w:r w:rsidRPr="00B311BC">
        <w:rPr>
          <w:b/>
          <w:bCs/>
        </w:rPr>
        <w:t>Threat 3</w:t>
      </w:r>
      <w:r w:rsidRPr="00B311BC">
        <w:rPr>
          <w:b/>
        </w:rPr>
        <w:t>: Lack of capacity and enforcement</w:t>
      </w:r>
      <w:r w:rsidRPr="00B311BC">
        <w:tab/>
      </w:r>
    </w:p>
    <w:p w:rsidR="003D1FFB" w:rsidRPr="00B311BC" w:rsidRDefault="003D1FFB" w:rsidP="003D1FFB">
      <w:pPr>
        <w:pStyle w:val="ECFBodyCharChar"/>
        <w:rPr>
          <w:rFonts w:ascii="Times New Roman" w:hAnsi="Times New Roman"/>
          <w:sz w:val="22"/>
          <w:szCs w:val="22"/>
        </w:rPr>
      </w:pPr>
      <w:r w:rsidRPr="00B311BC">
        <w:rPr>
          <w:rFonts w:ascii="Times New Roman" w:hAnsi="Times New Roman"/>
          <w:sz w:val="22"/>
          <w:szCs w:val="22"/>
        </w:rPr>
        <w:t>None of the Government departments or agencies currently responsible for PA management have the necessary technical and financial resources provided by the central government to exercise proper enforcement and/or management.</w:t>
      </w:r>
    </w:p>
    <w:p w:rsidR="003D1FFB" w:rsidRPr="00B311BC" w:rsidRDefault="003D1FFB" w:rsidP="003D1FFB">
      <w:pPr>
        <w:pStyle w:val="ECFBodyCharChar"/>
        <w:rPr>
          <w:rFonts w:ascii="Times New Roman" w:hAnsi="Times New Roman"/>
          <w:sz w:val="22"/>
          <w:szCs w:val="22"/>
        </w:rPr>
      </w:pPr>
    </w:p>
    <w:p w:rsidR="003D1FFB" w:rsidRPr="00B311BC" w:rsidRDefault="003D1FFB" w:rsidP="003D1FFB">
      <w:pPr>
        <w:rPr>
          <w:b/>
          <w:bCs/>
        </w:rPr>
      </w:pPr>
      <w:r w:rsidRPr="00B311BC">
        <w:rPr>
          <w:b/>
          <w:bCs/>
        </w:rPr>
        <w:t>Threat 4: Commercial and unsustainable fishing practices</w:t>
      </w:r>
    </w:p>
    <w:p w:rsidR="003D1FFB" w:rsidRDefault="003D1FFB" w:rsidP="003D1FFB">
      <w:pPr>
        <w:jc w:val="both"/>
        <w:rPr>
          <w:b/>
          <w:bCs/>
        </w:rPr>
      </w:pPr>
      <w:r w:rsidRPr="00B311BC">
        <w:t>Despite the success of the Locally Managed Marine Areas initiative, none of them have a formal or legislative basis and enforcement is an increasingly difficult challenge. Some of the areas remain badly over-fished, and others are targeted by commercial fishermen from other areas. Consequently, the long-term effectiveness and sustainability of these community-managed marine areas, in respect of biodiversity conservation remains questionable</w:t>
      </w:r>
    </w:p>
    <w:p w:rsidR="003D1FFB" w:rsidRDefault="003D1FFB" w:rsidP="003D1FFB">
      <w:pPr>
        <w:jc w:val="both"/>
        <w:rPr>
          <w:b/>
        </w:rPr>
      </w:pPr>
    </w:p>
    <w:p w:rsidR="003D1FFB" w:rsidRDefault="003D1FFB" w:rsidP="003D1FFB">
      <w:pPr>
        <w:jc w:val="both"/>
        <w:rPr>
          <w:b/>
        </w:rPr>
      </w:pPr>
    </w:p>
    <w:p w:rsidR="00A06786" w:rsidRDefault="00A67B93">
      <w:r w:rsidRPr="00A06786">
        <w:rPr>
          <w:rStyle w:val="Heading1Char"/>
        </w:rPr>
        <w:t>Barriers for effective implementation</w:t>
      </w:r>
      <w:r w:rsidR="00A06786">
        <w:t xml:space="preserve"> </w:t>
      </w:r>
    </w:p>
    <w:p w:rsidR="00A67B93" w:rsidRDefault="00A06786">
      <w:r>
        <w:t>(Description of key barrier s for effective implementation)</w:t>
      </w:r>
    </w:p>
    <w:p w:rsidR="003D1FFB" w:rsidRPr="00B311BC" w:rsidRDefault="003D1FFB" w:rsidP="003D1FFB">
      <w:r w:rsidRPr="00B311BC">
        <w:rPr>
          <w:b/>
          <w:bCs/>
        </w:rPr>
        <w:t>Barrier 1: Weak government leadership and coordination</w:t>
      </w:r>
    </w:p>
    <w:p w:rsidR="003D1FFB" w:rsidRPr="00B311BC" w:rsidRDefault="003D1FFB" w:rsidP="003D1FFB">
      <w:pPr>
        <w:pStyle w:val="ECFBodyCharChar"/>
        <w:rPr>
          <w:rFonts w:ascii="Times New Roman" w:hAnsi="Times New Roman"/>
          <w:i/>
          <w:sz w:val="22"/>
          <w:szCs w:val="22"/>
        </w:rPr>
      </w:pPr>
      <w:r w:rsidRPr="00B311BC">
        <w:rPr>
          <w:rFonts w:ascii="Times New Roman" w:hAnsi="Times New Roman"/>
          <w:sz w:val="22"/>
          <w:szCs w:val="22"/>
        </w:rPr>
        <w:t>No one government department has the specified mandate to lead conservation and protected area initiatives. There is a recommendation in the National Environment Strategy for government to set up a Department of Conservation but this has never eventuated primarily due to financial and manpower constraints. As a result of this the Department of Environment, itself new and understaffed and underfinanced has been left to lead on conservation issues. Other government ministries such as Forestry, Fisheries, Agriculture and Mineral Resources also have some legal responsibilities. This has prevented a clear government led agenda and programme to address conservation issues in the country but in recent years the National Trust of Fiji, a government statutory body has emerged as a likely focal point for conservation issues in particular those related to protected area management.</w:t>
      </w:r>
    </w:p>
    <w:p w:rsidR="003D1FFB" w:rsidRPr="00B311BC" w:rsidRDefault="003D1FFB" w:rsidP="003D1FFB">
      <w:pPr>
        <w:autoSpaceDE w:val="0"/>
        <w:autoSpaceDN w:val="0"/>
        <w:adjustRightInd w:val="0"/>
      </w:pPr>
    </w:p>
    <w:p w:rsidR="003D1FFB" w:rsidRPr="00B311BC" w:rsidRDefault="003D1FFB" w:rsidP="003D1FFB">
      <w:pPr>
        <w:rPr>
          <w:i/>
          <w:iCs/>
        </w:rPr>
      </w:pPr>
      <w:r w:rsidRPr="00B311BC">
        <w:rPr>
          <w:b/>
          <w:bCs/>
        </w:rPr>
        <w:t>Barrier 2: Lack of PA priorities</w:t>
      </w:r>
    </w:p>
    <w:p w:rsidR="003D1FFB" w:rsidRPr="00B311BC" w:rsidRDefault="003D1FFB" w:rsidP="003D1FFB">
      <w:pPr>
        <w:pStyle w:val="ECFBodyCharChar"/>
        <w:rPr>
          <w:rFonts w:ascii="Times New Roman" w:hAnsi="Times New Roman"/>
          <w:sz w:val="22"/>
          <w:szCs w:val="22"/>
        </w:rPr>
      </w:pPr>
      <w:r w:rsidRPr="00B311BC">
        <w:rPr>
          <w:rFonts w:ascii="Times New Roman" w:hAnsi="Times New Roman"/>
          <w:sz w:val="22"/>
          <w:szCs w:val="22"/>
        </w:rPr>
        <w:t xml:space="preserve">Current PA priorities are contained in the Fiji Biodiversity Strategy and Action Plan which were drawn from the 1993 National Environment Strategy -  which in turn identified priority PAs based primarily on the 1989 Maruia Society – NLTB report. </w:t>
      </w:r>
    </w:p>
    <w:p w:rsidR="003D1FFB" w:rsidRPr="00B311BC" w:rsidRDefault="003D1FFB" w:rsidP="003D1FFB">
      <w:pPr>
        <w:pStyle w:val="ECFBodyCharChar"/>
        <w:rPr>
          <w:rFonts w:ascii="Times New Roman" w:hAnsi="Times New Roman"/>
          <w:sz w:val="22"/>
          <w:szCs w:val="22"/>
        </w:rPr>
      </w:pPr>
      <w:r w:rsidRPr="00B311BC">
        <w:rPr>
          <w:rFonts w:ascii="Times New Roman" w:hAnsi="Times New Roman"/>
          <w:sz w:val="22"/>
          <w:szCs w:val="22"/>
        </w:rPr>
        <w:t>There has been a great deal of survey, research and conservation documentation in the last decade (documented in the Initial PoWPA Assessment) such that there is now a bewildering array of recommended PAs. The consequence of this for government is best exemplified by decisions relating to the National Forestry Inventory 2007-8 (the 3</w:t>
      </w:r>
      <w:r w:rsidRPr="00B311BC">
        <w:rPr>
          <w:rFonts w:ascii="Times New Roman" w:hAnsi="Times New Roman"/>
          <w:sz w:val="22"/>
          <w:szCs w:val="22"/>
          <w:vertAlign w:val="superscript"/>
        </w:rPr>
        <w:t>rd</w:t>
      </w:r>
      <w:r w:rsidRPr="00B311BC">
        <w:rPr>
          <w:rFonts w:ascii="Times New Roman" w:hAnsi="Times New Roman"/>
          <w:sz w:val="22"/>
          <w:szCs w:val="22"/>
        </w:rPr>
        <w:t xml:space="preserve"> Forest Inventory). In 1993, the 2</w:t>
      </w:r>
      <w:r w:rsidRPr="00B311BC">
        <w:rPr>
          <w:rFonts w:ascii="Times New Roman" w:hAnsi="Times New Roman"/>
          <w:sz w:val="22"/>
          <w:szCs w:val="22"/>
          <w:vertAlign w:val="superscript"/>
        </w:rPr>
        <w:t>nd</w:t>
      </w:r>
      <w:r w:rsidRPr="00B311BC">
        <w:rPr>
          <w:rFonts w:ascii="Times New Roman" w:hAnsi="Times New Roman"/>
          <w:sz w:val="22"/>
          <w:szCs w:val="22"/>
        </w:rPr>
        <w:t xml:space="preserve"> national forest inventory incorporated priority or significant PA proposals into a ‘Forest Functions’ classification. But the current inventory only identifies legally or formally protected forest, of whatever origin. No ‘proposals’ or community managed sites (unless formally secured) are included on the primary forest management maps. This can be regarded as regressive step, however, in the circumstances of a bewildering new suite of PA proposals without government-led priority setting, is entirely understandable. Nonetheless, there are many currently rare or endangered habitat types which were once more widespread and which are not adequately represented in existing PAs or priority ‘proposed’ PAs (documented in the Initial PoWPA Assessment).</w:t>
      </w:r>
    </w:p>
    <w:p w:rsidR="003D1FFB" w:rsidRPr="00B311BC" w:rsidRDefault="003D1FFB" w:rsidP="003D1FFB">
      <w:pPr>
        <w:pStyle w:val="ECFBodyCharChar"/>
        <w:rPr>
          <w:rFonts w:ascii="Times New Roman" w:hAnsi="Times New Roman"/>
          <w:sz w:val="22"/>
          <w:szCs w:val="22"/>
        </w:rPr>
      </w:pPr>
      <w:r w:rsidRPr="00B311BC">
        <w:rPr>
          <w:rFonts w:ascii="Times New Roman" w:hAnsi="Times New Roman"/>
          <w:sz w:val="22"/>
          <w:szCs w:val="22"/>
        </w:rPr>
        <w:t xml:space="preserve">Currently, </w:t>
      </w:r>
      <w:smartTag w:uri="urn:schemas-microsoft-com:office:smarttags" w:element="place">
        <w:smartTag w:uri="urn:schemas-microsoft-com:office:smarttags" w:element="country-region">
          <w:r w:rsidRPr="00B311BC">
            <w:rPr>
              <w:rFonts w:ascii="Times New Roman" w:hAnsi="Times New Roman"/>
              <w:sz w:val="22"/>
              <w:szCs w:val="22"/>
            </w:rPr>
            <w:t>Fiji</w:t>
          </w:r>
        </w:smartTag>
      </w:smartTag>
      <w:r w:rsidRPr="00B311BC">
        <w:rPr>
          <w:rFonts w:ascii="Times New Roman" w:hAnsi="Times New Roman"/>
          <w:sz w:val="22"/>
          <w:szCs w:val="22"/>
        </w:rPr>
        <w:t xml:space="preserve"> needs to adopt a new approach to defining and establishing an effective national PAs system. This is very important for NGOs and donors, so as to enable them to continue work, however, it needs to be a </w:t>
      </w:r>
      <w:smartTag w:uri="urn:schemas-microsoft-com:office:smarttags" w:element="place">
        <w:smartTag w:uri="urn:schemas-microsoft-com:office:smarttags" w:element="country-region">
          <w:r w:rsidRPr="00B311BC">
            <w:rPr>
              <w:rFonts w:ascii="Times New Roman" w:hAnsi="Times New Roman"/>
              <w:sz w:val="22"/>
              <w:szCs w:val="22"/>
            </w:rPr>
            <w:t>Fiji</w:t>
          </w:r>
        </w:smartTag>
      </w:smartTag>
      <w:r w:rsidRPr="00B311BC">
        <w:rPr>
          <w:rFonts w:ascii="Times New Roman" w:hAnsi="Times New Roman"/>
          <w:sz w:val="22"/>
          <w:szCs w:val="22"/>
        </w:rPr>
        <w:t xml:space="preserve"> government directed initiative and be cognisant of the political backdrop.</w:t>
      </w:r>
    </w:p>
    <w:p w:rsidR="003D1FFB" w:rsidRPr="00B311BC" w:rsidRDefault="003D1FFB" w:rsidP="003D1FFB">
      <w:pPr>
        <w:pStyle w:val="ECFBodyCharChar"/>
        <w:rPr>
          <w:rFonts w:ascii="Times New Roman" w:hAnsi="Times New Roman"/>
          <w:sz w:val="22"/>
          <w:szCs w:val="22"/>
        </w:rPr>
      </w:pPr>
    </w:p>
    <w:p w:rsidR="003D1FFB" w:rsidRPr="00B311BC" w:rsidRDefault="003D1FFB" w:rsidP="003D1FFB">
      <w:r w:rsidRPr="00B311BC">
        <w:rPr>
          <w:b/>
          <w:bCs/>
        </w:rPr>
        <w:t>Barrier 3: Weak legislation</w:t>
      </w:r>
    </w:p>
    <w:p w:rsidR="003D1FFB" w:rsidRPr="00B311BC" w:rsidRDefault="003D1FFB" w:rsidP="003D1FFB">
      <w:pPr>
        <w:pStyle w:val="ECFBodyCharChar"/>
        <w:rPr>
          <w:rFonts w:ascii="Times New Roman" w:hAnsi="Times New Roman"/>
          <w:sz w:val="22"/>
          <w:szCs w:val="22"/>
        </w:rPr>
      </w:pPr>
      <w:r w:rsidRPr="00B311BC">
        <w:rPr>
          <w:rFonts w:ascii="Times New Roman" w:hAnsi="Times New Roman"/>
          <w:sz w:val="22"/>
          <w:szCs w:val="22"/>
        </w:rPr>
        <w:t>Current legislation for PAs is dispersed among several different departments and agencies. As such responsibilities are dispersed, and the frequent shifting of several of these departments between different ministries (ie DoEnv. and DCulture &amp; Heritage; National Trust) makes it very difficult for these agencies to attract consistent political and institutional support. This situation has not changed since it was first identified as problematic in the National Trust-WWF study of 1980, which resulted in draft PA legislation being drafted then.</w:t>
      </w:r>
    </w:p>
    <w:p w:rsidR="003D1FFB" w:rsidRDefault="003D1FFB" w:rsidP="003D1FFB">
      <w:pPr>
        <w:pStyle w:val="ECFBodyCharChar"/>
        <w:rPr>
          <w:rFonts w:ascii="Times New Roman" w:hAnsi="Times New Roman"/>
          <w:sz w:val="22"/>
          <w:szCs w:val="22"/>
        </w:rPr>
      </w:pPr>
      <w:smartTag w:uri="urn:schemas-microsoft-com:office:smarttags" w:element="country-region">
        <w:r w:rsidRPr="00B311BC">
          <w:rPr>
            <w:rFonts w:ascii="Times New Roman" w:hAnsi="Times New Roman"/>
            <w:sz w:val="22"/>
            <w:szCs w:val="22"/>
          </w:rPr>
          <w:t>Fiji</w:t>
        </w:r>
      </w:smartTag>
      <w:r w:rsidRPr="00B311BC">
        <w:rPr>
          <w:rFonts w:ascii="Times New Roman" w:hAnsi="Times New Roman"/>
          <w:sz w:val="22"/>
          <w:szCs w:val="22"/>
        </w:rPr>
        <w:t xml:space="preserve">’s Forest Decree’s Nature Reserve legislation is no longer a credible instrument in a modern context, this has been demonstrated during the </w:t>
      </w:r>
      <w:smartTag w:uri="urn:schemas-microsoft-com:office:smarttags" w:element="place">
        <w:smartTag w:uri="urn:schemas-microsoft-com:office:smarttags" w:element="PlaceName">
          <w:r w:rsidRPr="00B311BC">
            <w:rPr>
              <w:rFonts w:ascii="Times New Roman" w:hAnsi="Times New Roman"/>
              <w:sz w:val="22"/>
              <w:szCs w:val="22"/>
            </w:rPr>
            <w:t>Sovi</w:t>
          </w:r>
        </w:smartTag>
        <w:r w:rsidRPr="00B311BC">
          <w:rPr>
            <w:rFonts w:ascii="Times New Roman" w:hAnsi="Times New Roman"/>
            <w:sz w:val="22"/>
            <w:szCs w:val="22"/>
          </w:rPr>
          <w:t xml:space="preserve"> </w:t>
        </w:r>
        <w:smartTag w:uri="urn:schemas-microsoft-com:office:smarttags" w:element="PlaceType">
          <w:r w:rsidRPr="00B311BC">
            <w:rPr>
              <w:rFonts w:ascii="Times New Roman" w:hAnsi="Times New Roman"/>
              <w:sz w:val="22"/>
              <w:szCs w:val="22"/>
            </w:rPr>
            <w:t>Basin</w:t>
          </w:r>
        </w:smartTag>
      </w:smartTag>
      <w:r w:rsidRPr="00B311BC">
        <w:rPr>
          <w:rFonts w:ascii="Times New Roman" w:hAnsi="Times New Roman"/>
          <w:sz w:val="22"/>
          <w:szCs w:val="22"/>
        </w:rPr>
        <w:t xml:space="preserve"> work which has revealed that NLTB will not accept it.  This is a highly significant development which indicates that what has hitherto been considered the most secure legislation for terrestrial protected areas is actually no longer workable. Equally serious are the advanced plans for the Tomanivi and Ravilevu Nature Reserves to be reverted from crown freehold to native tenure.</w:t>
      </w:r>
    </w:p>
    <w:p w:rsidR="003D1FFB" w:rsidRPr="00B311BC" w:rsidRDefault="003D1FFB" w:rsidP="003D1FFB">
      <w:pPr>
        <w:pStyle w:val="ECFBodyCharChar"/>
        <w:rPr>
          <w:rFonts w:ascii="Times New Roman" w:hAnsi="Times New Roman"/>
          <w:sz w:val="22"/>
          <w:szCs w:val="22"/>
        </w:rPr>
      </w:pPr>
    </w:p>
    <w:p w:rsidR="003D1FFB" w:rsidRDefault="003D1FFB" w:rsidP="003D1FFB">
      <w:pPr>
        <w:jc w:val="both"/>
      </w:pPr>
      <w:r w:rsidRPr="00B311BC">
        <w:t>Recent developments with the FLMMA network and local community control of qoliqoli have shown that the Fisheries legislation for Marine reserves is also not a credible instrument in a modern context.</w:t>
      </w:r>
    </w:p>
    <w:p w:rsidR="003D1FFB" w:rsidRDefault="003D1FFB" w:rsidP="003D1FFB"/>
    <w:p w:rsidR="00795E6A" w:rsidRDefault="00795E6A">
      <w:pPr>
        <w:rPr>
          <w:rFonts w:asciiTheme="majorHAnsi" w:eastAsiaTheme="majorEastAsia" w:hAnsiTheme="majorHAnsi" w:cstheme="majorBidi"/>
          <w:color w:val="17365D" w:themeColor="text2" w:themeShade="BF"/>
          <w:spacing w:val="5"/>
          <w:kern w:val="28"/>
          <w:sz w:val="52"/>
          <w:szCs w:val="52"/>
        </w:rPr>
      </w:pPr>
      <w:r>
        <w:br w:type="page"/>
      </w:r>
    </w:p>
    <w:p w:rsidR="00795E6A" w:rsidRDefault="00795E6A" w:rsidP="00795E6A">
      <w:pPr>
        <w:pStyle w:val="Title"/>
      </w:pPr>
      <w:r>
        <w:t>Status, priority and timeline for key actions of the Programme of Work on Protected Areas</w:t>
      </w:r>
    </w:p>
    <w:p w:rsidR="00B7768A" w:rsidRDefault="00B7768A" w:rsidP="00B7768A">
      <w:pPr>
        <w:pStyle w:val="Heading1"/>
      </w:pPr>
      <w:r>
        <w:t>Status of key actions of the Programme of Work on Protected Areas</w:t>
      </w:r>
    </w:p>
    <w:tbl>
      <w:tblPr>
        <w:tblStyle w:val="TableGrid"/>
        <w:tblW w:w="0" w:type="auto"/>
        <w:tblLook w:val="04A0"/>
      </w:tblPr>
      <w:tblGrid>
        <w:gridCol w:w="5508"/>
        <w:gridCol w:w="1170"/>
        <w:gridCol w:w="1440"/>
        <w:gridCol w:w="1458"/>
      </w:tblGrid>
      <w:tr w:rsidR="00B7768A" w:rsidRPr="00155793" w:rsidTr="00155793">
        <w:tc>
          <w:tcPr>
            <w:tcW w:w="5508" w:type="dxa"/>
            <w:shd w:val="clear" w:color="auto" w:fill="548DD4" w:themeFill="text2" w:themeFillTint="99"/>
          </w:tcPr>
          <w:p w:rsidR="00B7768A" w:rsidRPr="00155793" w:rsidRDefault="00B7768A" w:rsidP="00AD1934">
            <w:pPr>
              <w:rPr>
                <w:b/>
                <w:color w:val="FFFFFF" w:themeColor="background1"/>
              </w:rPr>
            </w:pPr>
            <w:r w:rsidRPr="00155793">
              <w:rPr>
                <w:b/>
                <w:color w:val="FFFFFF" w:themeColor="background1"/>
              </w:rPr>
              <w:t>Action</w:t>
            </w:r>
          </w:p>
        </w:tc>
        <w:tc>
          <w:tcPr>
            <w:tcW w:w="1170" w:type="dxa"/>
            <w:shd w:val="clear" w:color="auto" w:fill="548DD4" w:themeFill="text2" w:themeFillTint="99"/>
          </w:tcPr>
          <w:p w:rsidR="00B7768A" w:rsidRPr="00155793" w:rsidRDefault="00B7768A" w:rsidP="00AD1934">
            <w:pPr>
              <w:rPr>
                <w:b/>
                <w:color w:val="FFFFFF" w:themeColor="background1"/>
              </w:rPr>
            </w:pPr>
            <w:r w:rsidRPr="00155793">
              <w:rPr>
                <w:b/>
                <w:color w:val="FFFFFF" w:themeColor="background1"/>
              </w:rPr>
              <w:t>Status</w:t>
            </w:r>
          </w:p>
        </w:tc>
        <w:tc>
          <w:tcPr>
            <w:tcW w:w="1440" w:type="dxa"/>
            <w:shd w:val="clear" w:color="auto" w:fill="548DD4" w:themeFill="text2" w:themeFillTint="99"/>
          </w:tcPr>
          <w:p w:rsidR="00B7768A" w:rsidRPr="00155793" w:rsidRDefault="00B7768A" w:rsidP="00AD1934">
            <w:pPr>
              <w:rPr>
                <w:b/>
                <w:color w:val="FFFFFF" w:themeColor="background1"/>
              </w:rPr>
            </w:pPr>
            <w:r w:rsidRPr="00155793">
              <w:rPr>
                <w:b/>
                <w:color w:val="FFFFFF" w:themeColor="background1"/>
              </w:rPr>
              <w:t>Priority</w:t>
            </w:r>
          </w:p>
        </w:tc>
        <w:tc>
          <w:tcPr>
            <w:tcW w:w="1458" w:type="dxa"/>
            <w:shd w:val="clear" w:color="auto" w:fill="548DD4" w:themeFill="text2" w:themeFillTint="99"/>
          </w:tcPr>
          <w:p w:rsidR="00B7768A" w:rsidRPr="00155793" w:rsidRDefault="00B7768A" w:rsidP="00AD1934">
            <w:pPr>
              <w:rPr>
                <w:b/>
                <w:color w:val="FFFFFF" w:themeColor="background1"/>
              </w:rPr>
            </w:pPr>
            <w:r w:rsidRPr="00155793">
              <w:rPr>
                <w:b/>
                <w:color w:val="FFFFFF" w:themeColor="background1"/>
              </w:rPr>
              <w:t>Timeline</w:t>
            </w:r>
          </w:p>
        </w:tc>
      </w:tr>
      <w:tr w:rsidR="00B7768A" w:rsidTr="00AD1934">
        <w:tc>
          <w:tcPr>
            <w:tcW w:w="5508" w:type="dxa"/>
          </w:tcPr>
          <w:p w:rsidR="00B7768A" w:rsidRDefault="00B7768A" w:rsidP="00AD1934">
            <w:r>
              <w:t>Multi-stakeholder advisor committee</w:t>
            </w:r>
          </w:p>
        </w:tc>
        <w:tc>
          <w:tcPr>
            <w:tcW w:w="1170" w:type="dxa"/>
          </w:tcPr>
          <w:p w:rsidR="00B7768A" w:rsidRDefault="00B7768A" w:rsidP="00AD1934">
            <w:r>
              <w:t>4</w:t>
            </w:r>
          </w:p>
        </w:tc>
        <w:tc>
          <w:tcPr>
            <w:tcW w:w="1440" w:type="dxa"/>
          </w:tcPr>
          <w:p w:rsidR="00B7768A" w:rsidRDefault="00B7768A" w:rsidP="00AD1934"/>
        </w:tc>
        <w:tc>
          <w:tcPr>
            <w:tcW w:w="1458" w:type="dxa"/>
          </w:tcPr>
          <w:p w:rsidR="00B7768A" w:rsidRDefault="00B7768A" w:rsidP="00AD1934"/>
        </w:tc>
      </w:tr>
      <w:tr w:rsidR="00B7768A" w:rsidTr="00AD1934">
        <w:tc>
          <w:tcPr>
            <w:tcW w:w="5508" w:type="dxa"/>
          </w:tcPr>
          <w:p w:rsidR="00B7768A" w:rsidRDefault="00B7768A" w:rsidP="00AD1934">
            <w:r>
              <w:t>Gap assessment</w:t>
            </w:r>
          </w:p>
        </w:tc>
        <w:tc>
          <w:tcPr>
            <w:tcW w:w="1170" w:type="dxa"/>
          </w:tcPr>
          <w:p w:rsidR="00B7768A" w:rsidRDefault="00B7768A" w:rsidP="00AD1934">
            <w:r>
              <w:t>3</w:t>
            </w:r>
            <w:r>
              <w:rPr>
                <w:rStyle w:val="FootnoteReference"/>
              </w:rPr>
              <w:footnoteReference w:id="2"/>
            </w:r>
          </w:p>
        </w:tc>
        <w:tc>
          <w:tcPr>
            <w:tcW w:w="1440" w:type="dxa"/>
          </w:tcPr>
          <w:p w:rsidR="00B7768A" w:rsidRDefault="00B7768A" w:rsidP="00AD1934">
            <w:r>
              <w:t>VH</w:t>
            </w:r>
          </w:p>
        </w:tc>
        <w:tc>
          <w:tcPr>
            <w:tcW w:w="1458" w:type="dxa"/>
          </w:tcPr>
          <w:p w:rsidR="00B7768A" w:rsidRDefault="00B7768A" w:rsidP="00AD1934">
            <w:r>
              <w:t>2012</w:t>
            </w:r>
          </w:p>
        </w:tc>
      </w:tr>
      <w:tr w:rsidR="00B7768A" w:rsidTr="00AD1934">
        <w:tc>
          <w:tcPr>
            <w:tcW w:w="5508" w:type="dxa"/>
          </w:tcPr>
          <w:p w:rsidR="00B7768A" w:rsidRDefault="00B7768A" w:rsidP="00AD1934">
            <w:r>
              <w:t>Protected area integration</w:t>
            </w:r>
          </w:p>
        </w:tc>
        <w:tc>
          <w:tcPr>
            <w:tcW w:w="1170" w:type="dxa"/>
          </w:tcPr>
          <w:p w:rsidR="00B7768A" w:rsidRDefault="00B7768A" w:rsidP="00AD1934">
            <w:r>
              <w:t>3</w:t>
            </w:r>
          </w:p>
        </w:tc>
        <w:tc>
          <w:tcPr>
            <w:tcW w:w="1440" w:type="dxa"/>
          </w:tcPr>
          <w:p w:rsidR="00B7768A" w:rsidRDefault="00B7768A" w:rsidP="00AD1934">
            <w:r>
              <w:t>VH</w:t>
            </w:r>
          </w:p>
        </w:tc>
        <w:tc>
          <w:tcPr>
            <w:tcW w:w="1458" w:type="dxa"/>
          </w:tcPr>
          <w:p w:rsidR="00B7768A" w:rsidRDefault="00B7768A" w:rsidP="00AD1934">
            <w:r>
              <w:t>2015</w:t>
            </w:r>
          </w:p>
        </w:tc>
      </w:tr>
      <w:tr w:rsidR="00B7768A" w:rsidTr="00AD1934">
        <w:tc>
          <w:tcPr>
            <w:tcW w:w="5508" w:type="dxa"/>
          </w:tcPr>
          <w:p w:rsidR="00B7768A" w:rsidRDefault="00B7768A" w:rsidP="00AD1934">
            <w:r>
              <w:t>Transboundary</w:t>
            </w:r>
          </w:p>
        </w:tc>
        <w:tc>
          <w:tcPr>
            <w:tcW w:w="1170" w:type="dxa"/>
          </w:tcPr>
          <w:p w:rsidR="00B7768A" w:rsidRDefault="00B7768A" w:rsidP="00AD1934">
            <w:r>
              <w:t>1</w:t>
            </w:r>
          </w:p>
        </w:tc>
        <w:tc>
          <w:tcPr>
            <w:tcW w:w="1440" w:type="dxa"/>
          </w:tcPr>
          <w:p w:rsidR="00B7768A" w:rsidRDefault="00B7768A" w:rsidP="00AD1934">
            <w:r>
              <w:t>H</w:t>
            </w:r>
          </w:p>
        </w:tc>
        <w:tc>
          <w:tcPr>
            <w:tcW w:w="1458" w:type="dxa"/>
          </w:tcPr>
          <w:p w:rsidR="00B7768A" w:rsidRDefault="00B7768A" w:rsidP="00AD1934">
            <w:r>
              <w:t>2020</w:t>
            </w:r>
            <w:r>
              <w:rPr>
                <w:rStyle w:val="FootnoteReference"/>
              </w:rPr>
              <w:footnoteReference w:id="3"/>
            </w:r>
          </w:p>
        </w:tc>
      </w:tr>
      <w:tr w:rsidR="00B7768A" w:rsidTr="00AD1934">
        <w:tc>
          <w:tcPr>
            <w:tcW w:w="5508" w:type="dxa"/>
          </w:tcPr>
          <w:p w:rsidR="00B7768A" w:rsidRDefault="00B7768A" w:rsidP="00AD1934">
            <w:r>
              <w:t>Site-level management</w:t>
            </w:r>
          </w:p>
        </w:tc>
        <w:tc>
          <w:tcPr>
            <w:tcW w:w="1170" w:type="dxa"/>
          </w:tcPr>
          <w:p w:rsidR="00B7768A" w:rsidRDefault="00B7768A" w:rsidP="00AD1934">
            <w:r>
              <w:t>3</w:t>
            </w:r>
          </w:p>
        </w:tc>
        <w:tc>
          <w:tcPr>
            <w:tcW w:w="1440" w:type="dxa"/>
          </w:tcPr>
          <w:p w:rsidR="00B7768A" w:rsidRDefault="00B7768A" w:rsidP="00AD1934">
            <w:r>
              <w:t>H</w:t>
            </w:r>
          </w:p>
        </w:tc>
        <w:tc>
          <w:tcPr>
            <w:tcW w:w="1458" w:type="dxa"/>
          </w:tcPr>
          <w:p w:rsidR="00B7768A" w:rsidRDefault="00B7768A" w:rsidP="00AD1934">
            <w:r>
              <w:t>2020</w:t>
            </w:r>
            <w:r>
              <w:rPr>
                <w:rStyle w:val="FootnoteReference"/>
              </w:rPr>
              <w:footnoteReference w:id="4"/>
            </w:r>
          </w:p>
        </w:tc>
      </w:tr>
      <w:tr w:rsidR="00B7768A" w:rsidTr="00AD1934">
        <w:tc>
          <w:tcPr>
            <w:tcW w:w="5508" w:type="dxa"/>
          </w:tcPr>
          <w:p w:rsidR="00B7768A" w:rsidRDefault="00B7768A" w:rsidP="00AD1934">
            <w:r>
              <w:t>Threat assessment</w:t>
            </w:r>
          </w:p>
        </w:tc>
        <w:tc>
          <w:tcPr>
            <w:tcW w:w="1170" w:type="dxa"/>
          </w:tcPr>
          <w:p w:rsidR="00B7768A" w:rsidRDefault="00B7768A" w:rsidP="00AD1934">
            <w:r>
              <w:t>3</w:t>
            </w:r>
          </w:p>
        </w:tc>
        <w:tc>
          <w:tcPr>
            <w:tcW w:w="1440" w:type="dxa"/>
          </w:tcPr>
          <w:p w:rsidR="00B7768A" w:rsidRDefault="00B7768A" w:rsidP="00AD1934">
            <w:r>
              <w:t>VH</w:t>
            </w:r>
          </w:p>
        </w:tc>
        <w:tc>
          <w:tcPr>
            <w:tcW w:w="1458" w:type="dxa"/>
          </w:tcPr>
          <w:p w:rsidR="00B7768A" w:rsidRDefault="00B7768A" w:rsidP="00AD1934">
            <w:r>
              <w:t>2012</w:t>
            </w:r>
          </w:p>
        </w:tc>
      </w:tr>
      <w:tr w:rsidR="00B7768A" w:rsidTr="00AD1934">
        <w:tc>
          <w:tcPr>
            <w:tcW w:w="5508" w:type="dxa"/>
          </w:tcPr>
          <w:p w:rsidR="00B7768A" w:rsidRDefault="00B7768A" w:rsidP="00AD1934">
            <w:r>
              <w:t>Equitable benefit sharing</w:t>
            </w:r>
          </w:p>
        </w:tc>
        <w:tc>
          <w:tcPr>
            <w:tcW w:w="1170" w:type="dxa"/>
          </w:tcPr>
          <w:p w:rsidR="00B7768A" w:rsidRDefault="00B7768A" w:rsidP="00AD1934">
            <w:r>
              <w:t>1</w:t>
            </w:r>
          </w:p>
        </w:tc>
        <w:tc>
          <w:tcPr>
            <w:tcW w:w="1440" w:type="dxa"/>
          </w:tcPr>
          <w:p w:rsidR="00B7768A" w:rsidRDefault="00B7768A" w:rsidP="00AD1934">
            <w:r>
              <w:t>VH</w:t>
            </w:r>
            <w:r>
              <w:rPr>
                <w:rStyle w:val="FootnoteReference"/>
              </w:rPr>
              <w:footnoteReference w:id="5"/>
            </w:r>
          </w:p>
        </w:tc>
        <w:tc>
          <w:tcPr>
            <w:tcW w:w="1458" w:type="dxa"/>
          </w:tcPr>
          <w:p w:rsidR="00B7768A" w:rsidRDefault="00B7768A" w:rsidP="00AD1934">
            <w:r>
              <w:t>2012</w:t>
            </w:r>
            <w:r>
              <w:rPr>
                <w:rStyle w:val="FootnoteReference"/>
              </w:rPr>
              <w:footnoteReference w:id="6"/>
            </w:r>
          </w:p>
        </w:tc>
      </w:tr>
      <w:tr w:rsidR="00B7768A" w:rsidTr="00AD1934">
        <w:tc>
          <w:tcPr>
            <w:tcW w:w="5508" w:type="dxa"/>
          </w:tcPr>
          <w:p w:rsidR="00B7768A" w:rsidRDefault="00B7768A" w:rsidP="00AD1934">
            <w:r>
              <w:t>Governance</w:t>
            </w:r>
          </w:p>
        </w:tc>
        <w:tc>
          <w:tcPr>
            <w:tcW w:w="1170" w:type="dxa"/>
          </w:tcPr>
          <w:p w:rsidR="00B7768A" w:rsidRDefault="00B7768A" w:rsidP="00AD1934">
            <w:r>
              <w:t>3</w:t>
            </w:r>
          </w:p>
        </w:tc>
        <w:tc>
          <w:tcPr>
            <w:tcW w:w="1440" w:type="dxa"/>
          </w:tcPr>
          <w:p w:rsidR="00B7768A" w:rsidRDefault="00B7768A" w:rsidP="00AD1934">
            <w:r>
              <w:t>VH</w:t>
            </w:r>
          </w:p>
        </w:tc>
        <w:tc>
          <w:tcPr>
            <w:tcW w:w="1458" w:type="dxa"/>
          </w:tcPr>
          <w:p w:rsidR="00B7768A" w:rsidRDefault="00B7768A" w:rsidP="00AD1934">
            <w:r>
              <w:t>2012</w:t>
            </w:r>
            <w:r>
              <w:rPr>
                <w:rStyle w:val="FootnoteReference"/>
              </w:rPr>
              <w:footnoteReference w:id="7"/>
            </w:r>
          </w:p>
        </w:tc>
      </w:tr>
      <w:tr w:rsidR="00B7768A" w:rsidTr="00AD1934">
        <w:tc>
          <w:tcPr>
            <w:tcW w:w="5508" w:type="dxa"/>
          </w:tcPr>
          <w:p w:rsidR="00B7768A" w:rsidRDefault="00B7768A" w:rsidP="00AD1934">
            <w:r>
              <w:t>Participation</w:t>
            </w:r>
          </w:p>
        </w:tc>
        <w:tc>
          <w:tcPr>
            <w:tcW w:w="1170" w:type="dxa"/>
          </w:tcPr>
          <w:p w:rsidR="00B7768A" w:rsidRDefault="00B7768A" w:rsidP="00AD1934">
            <w:r>
              <w:t>4</w:t>
            </w:r>
          </w:p>
        </w:tc>
        <w:tc>
          <w:tcPr>
            <w:tcW w:w="1440" w:type="dxa"/>
          </w:tcPr>
          <w:p w:rsidR="00B7768A" w:rsidRDefault="00B7768A" w:rsidP="00AD1934"/>
        </w:tc>
        <w:tc>
          <w:tcPr>
            <w:tcW w:w="1458" w:type="dxa"/>
          </w:tcPr>
          <w:p w:rsidR="00B7768A" w:rsidRDefault="00B7768A" w:rsidP="00AD1934"/>
        </w:tc>
      </w:tr>
      <w:tr w:rsidR="00B7768A" w:rsidTr="00AD1934">
        <w:tc>
          <w:tcPr>
            <w:tcW w:w="5508" w:type="dxa"/>
          </w:tcPr>
          <w:p w:rsidR="00B7768A" w:rsidRDefault="00B7768A" w:rsidP="00AD1934">
            <w:r>
              <w:t>Policy environment</w:t>
            </w:r>
          </w:p>
        </w:tc>
        <w:tc>
          <w:tcPr>
            <w:tcW w:w="1170" w:type="dxa"/>
          </w:tcPr>
          <w:p w:rsidR="00B7768A" w:rsidRDefault="00B7768A" w:rsidP="00AD1934">
            <w:r>
              <w:t>2</w:t>
            </w:r>
          </w:p>
        </w:tc>
        <w:tc>
          <w:tcPr>
            <w:tcW w:w="1440" w:type="dxa"/>
          </w:tcPr>
          <w:p w:rsidR="00B7768A" w:rsidRDefault="00B7768A" w:rsidP="00AD1934">
            <w:r>
              <w:t>VH</w:t>
            </w:r>
          </w:p>
        </w:tc>
        <w:tc>
          <w:tcPr>
            <w:tcW w:w="1458" w:type="dxa"/>
          </w:tcPr>
          <w:p w:rsidR="00B7768A" w:rsidRDefault="00B7768A" w:rsidP="00AD1934">
            <w:r>
              <w:t>2015</w:t>
            </w:r>
            <w:r>
              <w:rPr>
                <w:rStyle w:val="FootnoteReference"/>
              </w:rPr>
              <w:footnoteReference w:id="8"/>
            </w:r>
          </w:p>
        </w:tc>
      </w:tr>
      <w:tr w:rsidR="00B7768A" w:rsidTr="00AD1934">
        <w:tc>
          <w:tcPr>
            <w:tcW w:w="5508" w:type="dxa"/>
          </w:tcPr>
          <w:p w:rsidR="00B7768A" w:rsidRDefault="00B7768A" w:rsidP="00AD1934">
            <w:r>
              <w:t>Values</w:t>
            </w:r>
          </w:p>
        </w:tc>
        <w:tc>
          <w:tcPr>
            <w:tcW w:w="1170" w:type="dxa"/>
          </w:tcPr>
          <w:p w:rsidR="00B7768A" w:rsidRDefault="00B7768A" w:rsidP="00AD1934">
            <w:r>
              <w:t>1</w:t>
            </w:r>
          </w:p>
        </w:tc>
        <w:tc>
          <w:tcPr>
            <w:tcW w:w="1440" w:type="dxa"/>
          </w:tcPr>
          <w:p w:rsidR="00B7768A" w:rsidRDefault="00B7768A" w:rsidP="00AD1934">
            <w:r>
              <w:t>VH</w:t>
            </w:r>
          </w:p>
        </w:tc>
        <w:tc>
          <w:tcPr>
            <w:tcW w:w="1458" w:type="dxa"/>
          </w:tcPr>
          <w:p w:rsidR="00B7768A" w:rsidRDefault="00B7768A" w:rsidP="00AD1934">
            <w:r>
              <w:t>2014</w:t>
            </w:r>
            <w:r>
              <w:rPr>
                <w:rStyle w:val="FootnoteReference"/>
              </w:rPr>
              <w:footnoteReference w:id="9"/>
            </w:r>
          </w:p>
        </w:tc>
      </w:tr>
      <w:tr w:rsidR="00B7768A" w:rsidTr="00AD1934">
        <w:tc>
          <w:tcPr>
            <w:tcW w:w="5508" w:type="dxa"/>
          </w:tcPr>
          <w:p w:rsidR="00B7768A" w:rsidRDefault="00B7768A" w:rsidP="00AD1934">
            <w:r>
              <w:t>Capacity needs</w:t>
            </w:r>
          </w:p>
        </w:tc>
        <w:tc>
          <w:tcPr>
            <w:tcW w:w="1170" w:type="dxa"/>
          </w:tcPr>
          <w:p w:rsidR="00B7768A" w:rsidRDefault="00B7768A" w:rsidP="00AD1934">
            <w:r>
              <w:t>1</w:t>
            </w:r>
          </w:p>
        </w:tc>
        <w:tc>
          <w:tcPr>
            <w:tcW w:w="1440" w:type="dxa"/>
          </w:tcPr>
          <w:p w:rsidR="00B7768A" w:rsidRDefault="00B7768A" w:rsidP="00AD1934">
            <w:r>
              <w:t>H</w:t>
            </w:r>
          </w:p>
        </w:tc>
        <w:tc>
          <w:tcPr>
            <w:tcW w:w="1458" w:type="dxa"/>
          </w:tcPr>
          <w:p w:rsidR="00B7768A" w:rsidRDefault="00B7768A" w:rsidP="00AD1934">
            <w:r>
              <w:t>2016</w:t>
            </w:r>
          </w:p>
        </w:tc>
      </w:tr>
      <w:tr w:rsidR="00B7768A" w:rsidTr="00AD1934">
        <w:tc>
          <w:tcPr>
            <w:tcW w:w="5508" w:type="dxa"/>
          </w:tcPr>
          <w:p w:rsidR="00B7768A" w:rsidRDefault="00B7768A" w:rsidP="00AD1934">
            <w:r>
              <w:t>Appropriate technology needs</w:t>
            </w:r>
          </w:p>
        </w:tc>
        <w:tc>
          <w:tcPr>
            <w:tcW w:w="1170" w:type="dxa"/>
          </w:tcPr>
          <w:p w:rsidR="00B7768A" w:rsidRDefault="00B7768A" w:rsidP="00AD1934">
            <w:r>
              <w:t>0</w:t>
            </w:r>
          </w:p>
        </w:tc>
        <w:tc>
          <w:tcPr>
            <w:tcW w:w="1440" w:type="dxa"/>
          </w:tcPr>
          <w:p w:rsidR="00B7768A" w:rsidRDefault="00B7768A" w:rsidP="00AD1934">
            <w:r>
              <w:t>M</w:t>
            </w:r>
          </w:p>
        </w:tc>
        <w:tc>
          <w:tcPr>
            <w:tcW w:w="1458" w:type="dxa"/>
          </w:tcPr>
          <w:p w:rsidR="00B7768A" w:rsidRDefault="00B7768A" w:rsidP="00AD1934">
            <w:r>
              <w:t>2016</w:t>
            </w:r>
          </w:p>
        </w:tc>
      </w:tr>
      <w:tr w:rsidR="00B7768A" w:rsidTr="00AD1934">
        <w:tc>
          <w:tcPr>
            <w:tcW w:w="5508" w:type="dxa"/>
          </w:tcPr>
          <w:p w:rsidR="00B7768A" w:rsidRDefault="00B7768A" w:rsidP="00AD1934">
            <w:r>
              <w:t>Sustainable finance</w:t>
            </w:r>
          </w:p>
        </w:tc>
        <w:tc>
          <w:tcPr>
            <w:tcW w:w="1170" w:type="dxa"/>
          </w:tcPr>
          <w:p w:rsidR="00B7768A" w:rsidRDefault="00B7768A" w:rsidP="00AD1934">
            <w:r>
              <w:t>1</w:t>
            </w:r>
          </w:p>
        </w:tc>
        <w:tc>
          <w:tcPr>
            <w:tcW w:w="1440" w:type="dxa"/>
          </w:tcPr>
          <w:p w:rsidR="00B7768A" w:rsidRDefault="00B7768A" w:rsidP="00AD1934">
            <w:r>
              <w:t>VH</w:t>
            </w:r>
          </w:p>
        </w:tc>
        <w:tc>
          <w:tcPr>
            <w:tcW w:w="1458" w:type="dxa"/>
          </w:tcPr>
          <w:p w:rsidR="00B7768A" w:rsidRDefault="00B7768A" w:rsidP="00AD1934">
            <w:r>
              <w:t>2015</w:t>
            </w:r>
            <w:r>
              <w:rPr>
                <w:rStyle w:val="FootnoteReference"/>
              </w:rPr>
              <w:footnoteReference w:id="10"/>
            </w:r>
          </w:p>
        </w:tc>
      </w:tr>
      <w:tr w:rsidR="00B7768A" w:rsidTr="00AD1934">
        <w:tc>
          <w:tcPr>
            <w:tcW w:w="5508" w:type="dxa"/>
          </w:tcPr>
          <w:p w:rsidR="00B7768A" w:rsidRDefault="00B7768A" w:rsidP="00AD1934">
            <w:r>
              <w:t>Public awareness</w:t>
            </w:r>
          </w:p>
        </w:tc>
        <w:tc>
          <w:tcPr>
            <w:tcW w:w="1170" w:type="dxa"/>
          </w:tcPr>
          <w:p w:rsidR="00B7768A" w:rsidRDefault="00B7768A" w:rsidP="00AD1934">
            <w:r>
              <w:t>1</w:t>
            </w:r>
          </w:p>
        </w:tc>
        <w:tc>
          <w:tcPr>
            <w:tcW w:w="1440" w:type="dxa"/>
          </w:tcPr>
          <w:p w:rsidR="00B7768A" w:rsidRDefault="00B7768A" w:rsidP="00AD1934">
            <w:r>
              <w:t>H</w:t>
            </w:r>
          </w:p>
        </w:tc>
        <w:tc>
          <w:tcPr>
            <w:tcW w:w="1458" w:type="dxa"/>
          </w:tcPr>
          <w:p w:rsidR="00B7768A" w:rsidRDefault="00B7768A" w:rsidP="00AD1934">
            <w:r>
              <w:t>2013</w:t>
            </w:r>
          </w:p>
        </w:tc>
      </w:tr>
      <w:tr w:rsidR="00B7768A" w:rsidTr="00AD1934">
        <w:tc>
          <w:tcPr>
            <w:tcW w:w="5508" w:type="dxa"/>
          </w:tcPr>
          <w:p w:rsidR="00B7768A" w:rsidRDefault="00B7768A" w:rsidP="00AD1934">
            <w:r>
              <w:t>Best practices and minimum standards</w:t>
            </w:r>
          </w:p>
        </w:tc>
        <w:tc>
          <w:tcPr>
            <w:tcW w:w="1170" w:type="dxa"/>
          </w:tcPr>
          <w:p w:rsidR="00B7768A" w:rsidRDefault="00B7768A" w:rsidP="00AD1934">
            <w:r>
              <w:t>1</w:t>
            </w:r>
          </w:p>
        </w:tc>
        <w:tc>
          <w:tcPr>
            <w:tcW w:w="1440" w:type="dxa"/>
          </w:tcPr>
          <w:p w:rsidR="00B7768A" w:rsidRDefault="00B7768A" w:rsidP="00AD1934">
            <w:r>
              <w:t>H</w:t>
            </w:r>
          </w:p>
        </w:tc>
        <w:tc>
          <w:tcPr>
            <w:tcW w:w="1458" w:type="dxa"/>
          </w:tcPr>
          <w:p w:rsidR="00B7768A" w:rsidRDefault="00B7768A" w:rsidP="00AD1934">
            <w:r>
              <w:t>2013</w:t>
            </w:r>
          </w:p>
        </w:tc>
      </w:tr>
      <w:tr w:rsidR="00B7768A" w:rsidTr="00AD1934">
        <w:tc>
          <w:tcPr>
            <w:tcW w:w="5508" w:type="dxa"/>
          </w:tcPr>
          <w:p w:rsidR="00B7768A" w:rsidRDefault="00B7768A" w:rsidP="00AD1934">
            <w:r>
              <w:t>Management effectiveness</w:t>
            </w:r>
          </w:p>
        </w:tc>
        <w:tc>
          <w:tcPr>
            <w:tcW w:w="1170" w:type="dxa"/>
          </w:tcPr>
          <w:p w:rsidR="00B7768A" w:rsidRDefault="00B7768A" w:rsidP="00AD1934">
            <w:r>
              <w:t>2</w:t>
            </w:r>
            <w:r>
              <w:rPr>
                <w:rStyle w:val="FootnoteReference"/>
              </w:rPr>
              <w:footnoteReference w:id="11"/>
            </w:r>
          </w:p>
        </w:tc>
        <w:tc>
          <w:tcPr>
            <w:tcW w:w="1440" w:type="dxa"/>
          </w:tcPr>
          <w:p w:rsidR="00B7768A" w:rsidRDefault="00B7768A" w:rsidP="00AD1934">
            <w:r>
              <w:t>H</w:t>
            </w:r>
          </w:p>
        </w:tc>
        <w:tc>
          <w:tcPr>
            <w:tcW w:w="1458" w:type="dxa"/>
          </w:tcPr>
          <w:p w:rsidR="00B7768A" w:rsidRDefault="00B7768A" w:rsidP="00AD1934">
            <w:r>
              <w:t>2013</w:t>
            </w:r>
          </w:p>
        </w:tc>
      </w:tr>
      <w:tr w:rsidR="00B7768A" w:rsidTr="00AD1934">
        <w:tc>
          <w:tcPr>
            <w:tcW w:w="5508" w:type="dxa"/>
          </w:tcPr>
          <w:p w:rsidR="00B7768A" w:rsidRDefault="00B7768A" w:rsidP="00AD1934">
            <w:r>
              <w:t>Effective PA monitoring system</w:t>
            </w:r>
          </w:p>
        </w:tc>
        <w:tc>
          <w:tcPr>
            <w:tcW w:w="1170" w:type="dxa"/>
          </w:tcPr>
          <w:p w:rsidR="00B7768A" w:rsidRDefault="00B7768A" w:rsidP="00AD1934">
            <w:r>
              <w:t>2</w:t>
            </w:r>
          </w:p>
        </w:tc>
        <w:tc>
          <w:tcPr>
            <w:tcW w:w="1440" w:type="dxa"/>
          </w:tcPr>
          <w:p w:rsidR="00B7768A" w:rsidRDefault="00B7768A" w:rsidP="00AD1934">
            <w:r>
              <w:t>M</w:t>
            </w:r>
          </w:p>
        </w:tc>
        <w:tc>
          <w:tcPr>
            <w:tcW w:w="1458" w:type="dxa"/>
          </w:tcPr>
          <w:p w:rsidR="00B7768A" w:rsidRDefault="00B7768A" w:rsidP="00AD1934">
            <w:r>
              <w:t>2016</w:t>
            </w:r>
          </w:p>
        </w:tc>
      </w:tr>
      <w:tr w:rsidR="00B7768A" w:rsidTr="00AD1934">
        <w:tc>
          <w:tcPr>
            <w:tcW w:w="5508" w:type="dxa"/>
          </w:tcPr>
          <w:p w:rsidR="00B7768A" w:rsidRDefault="00B7768A" w:rsidP="00AD1934">
            <w:r>
              <w:t>Research program</w:t>
            </w:r>
          </w:p>
        </w:tc>
        <w:tc>
          <w:tcPr>
            <w:tcW w:w="1170" w:type="dxa"/>
          </w:tcPr>
          <w:p w:rsidR="00B7768A" w:rsidRDefault="00B7768A" w:rsidP="00AD1934">
            <w:r>
              <w:t>3</w:t>
            </w:r>
          </w:p>
        </w:tc>
        <w:tc>
          <w:tcPr>
            <w:tcW w:w="1440" w:type="dxa"/>
          </w:tcPr>
          <w:p w:rsidR="00B7768A" w:rsidRDefault="00B7768A" w:rsidP="00AD1934">
            <w:r>
              <w:t>H</w:t>
            </w:r>
            <w:r>
              <w:rPr>
                <w:rStyle w:val="FootnoteReference"/>
              </w:rPr>
              <w:footnoteReference w:id="12"/>
            </w:r>
          </w:p>
        </w:tc>
        <w:tc>
          <w:tcPr>
            <w:tcW w:w="1458" w:type="dxa"/>
          </w:tcPr>
          <w:p w:rsidR="00B7768A" w:rsidRDefault="00B7768A" w:rsidP="00AD1934">
            <w:r>
              <w:t>2012</w:t>
            </w:r>
          </w:p>
        </w:tc>
      </w:tr>
      <w:tr w:rsidR="00B7768A" w:rsidTr="00AD1934">
        <w:tc>
          <w:tcPr>
            <w:tcW w:w="5508" w:type="dxa"/>
          </w:tcPr>
          <w:p w:rsidR="00B7768A" w:rsidRDefault="00B7768A" w:rsidP="00AD1934">
            <w:r>
              <w:t>Opportunities for marine protection</w:t>
            </w:r>
          </w:p>
        </w:tc>
        <w:tc>
          <w:tcPr>
            <w:tcW w:w="1170" w:type="dxa"/>
          </w:tcPr>
          <w:p w:rsidR="00B7768A" w:rsidRDefault="00B7768A" w:rsidP="00AD1934">
            <w:r>
              <w:t>2</w:t>
            </w:r>
          </w:p>
        </w:tc>
        <w:tc>
          <w:tcPr>
            <w:tcW w:w="1440" w:type="dxa"/>
          </w:tcPr>
          <w:p w:rsidR="00B7768A" w:rsidRDefault="00B7768A" w:rsidP="00AD1934">
            <w:r>
              <w:t>H</w:t>
            </w:r>
            <w:r>
              <w:rPr>
                <w:rStyle w:val="FootnoteReference"/>
              </w:rPr>
              <w:footnoteReference w:id="13"/>
            </w:r>
          </w:p>
        </w:tc>
        <w:tc>
          <w:tcPr>
            <w:tcW w:w="1458" w:type="dxa"/>
          </w:tcPr>
          <w:p w:rsidR="00B7768A" w:rsidRDefault="00B7768A" w:rsidP="00AD1934">
            <w:r>
              <w:t>2014</w:t>
            </w:r>
          </w:p>
        </w:tc>
      </w:tr>
      <w:tr w:rsidR="00B7768A" w:rsidTr="00AD1934">
        <w:tc>
          <w:tcPr>
            <w:tcW w:w="5508" w:type="dxa"/>
          </w:tcPr>
          <w:p w:rsidR="00B7768A" w:rsidRDefault="00B7768A" w:rsidP="00AD1934">
            <w:r>
              <w:t>Incorporation of climate change considerations</w:t>
            </w:r>
          </w:p>
        </w:tc>
        <w:tc>
          <w:tcPr>
            <w:tcW w:w="1170" w:type="dxa"/>
          </w:tcPr>
          <w:p w:rsidR="00B7768A" w:rsidRDefault="00B7768A" w:rsidP="00AD1934">
            <w:r>
              <w:t>2</w:t>
            </w:r>
          </w:p>
        </w:tc>
        <w:tc>
          <w:tcPr>
            <w:tcW w:w="1440" w:type="dxa"/>
          </w:tcPr>
          <w:p w:rsidR="00B7768A" w:rsidRDefault="00B7768A" w:rsidP="00AD1934">
            <w:r>
              <w:t>VH</w:t>
            </w:r>
          </w:p>
        </w:tc>
        <w:tc>
          <w:tcPr>
            <w:tcW w:w="1458" w:type="dxa"/>
          </w:tcPr>
          <w:p w:rsidR="00B7768A" w:rsidRDefault="00B7768A" w:rsidP="00AD1934">
            <w:r>
              <w:t>2014</w:t>
            </w:r>
          </w:p>
        </w:tc>
      </w:tr>
    </w:tbl>
    <w:p w:rsidR="000F01AF" w:rsidRDefault="000F01AF" w:rsidP="000F01AF">
      <w:pPr>
        <w:spacing w:after="0"/>
      </w:pPr>
      <w:r>
        <w:t>Status: 0 = no work, 1 = just started, 2 = partially complete, 3 = nearly complete, 4 = complete</w:t>
      </w:r>
    </w:p>
    <w:p w:rsidR="000F01AF" w:rsidRDefault="000F01AF" w:rsidP="000F01AF">
      <w:r>
        <w:t>(Insert notes as appropriate)</w:t>
      </w:r>
    </w:p>
    <w:p w:rsidR="00A06786" w:rsidRDefault="00795E6A" w:rsidP="00795E6A">
      <w:pPr>
        <w:pStyle w:val="Heading1"/>
      </w:pPr>
      <w:r>
        <w:t>Priority actions for fully implementing the Programme of Work on Protected Areas:</w:t>
      </w:r>
    </w:p>
    <w:p w:rsidR="00795E6A" w:rsidRDefault="00795E6A">
      <w:r>
        <w:t>(Insert priority 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4"/>
        <w:gridCol w:w="4692"/>
      </w:tblGrid>
      <w:tr w:rsidR="004E0F96" w:rsidRPr="00155793" w:rsidTr="00155793">
        <w:tc>
          <w:tcPr>
            <w:tcW w:w="2550" w:type="pct"/>
            <w:shd w:val="clear" w:color="auto" w:fill="548DD4" w:themeFill="text2" w:themeFillTint="99"/>
          </w:tcPr>
          <w:p w:rsidR="004E0F96" w:rsidRPr="00155793" w:rsidRDefault="004E0F96" w:rsidP="00155793">
            <w:pPr>
              <w:spacing w:after="0" w:line="240" w:lineRule="auto"/>
              <w:jc w:val="both"/>
              <w:rPr>
                <w:b/>
                <w:color w:val="FFFFFF" w:themeColor="background1"/>
              </w:rPr>
            </w:pPr>
            <w:r w:rsidRPr="00155793">
              <w:rPr>
                <w:b/>
                <w:color w:val="FFFFFF" w:themeColor="background1"/>
              </w:rPr>
              <w:t>Action</w:t>
            </w:r>
          </w:p>
        </w:tc>
        <w:tc>
          <w:tcPr>
            <w:tcW w:w="2450" w:type="pct"/>
            <w:shd w:val="clear" w:color="auto" w:fill="548DD4" w:themeFill="text2" w:themeFillTint="99"/>
          </w:tcPr>
          <w:p w:rsidR="004E0F96" w:rsidRPr="00155793" w:rsidRDefault="004E0F96" w:rsidP="00155793">
            <w:pPr>
              <w:spacing w:after="0" w:line="240" w:lineRule="auto"/>
              <w:jc w:val="both"/>
              <w:rPr>
                <w:b/>
                <w:color w:val="FFFFFF" w:themeColor="background1"/>
              </w:rPr>
            </w:pPr>
            <w:r w:rsidRPr="00155793">
              <w:rPr>
                <w:b/>
                <w:color w:val="FFFFFF" w:themeColor="background1"/>
              </w:rPr>
              <w:t>Priority</w:t>
            </w:r>
          </w:p>
        </w:tc>
      </w:tr>
      <w:tr w:rsidR="004E0F96" w:rsidRPr="004D7BFE" w:rsidTr="004E0F96">
        <w:tc>
          <w:tcPr>
            <w:tcW w:w="2550" w:type="pct"/>
            <w:shd w:val="clear" w:color="auto" w:fill="auto"/>
          </w:tcPr>
          <w:p w:rsidR="004E0F96" w:rsidRPr="004D7BFE" w:rsidRDefault="004E0F96" w:rsidP="00155793">
            <w:pPr>
              <w:spacing w:after="0" w:line="240" w:lineRule="auto"/>
              <w:jc w:val="both"/>
            </w:pPr>
            <w:r w:rsidRPr="004D7BFE">
              <w:t>Integration of protected areas into wider land and seascapes to showcase mainstreaming of biodiversity with other sectors and ecosystem based approaches to adaptation to climate change adaptation and leading to mitigation through carbon sequestration</w:t>
            </w:r>
          </w:p>
        </w:tc>
        <w:tc>
          <w:tcPr>
            <w:tcW w:w="2450" w:type="pct"/>
            <w:shd w:val="clear" w:color="auto" w:fill="auto"/>
          </w:tcPr>
          <w:p w:rsidR="004E0F96" w:rsidRPr="004D7BFE" w:rsidRDefault="004E0F96" w:rsidP="00155793">
            <w:pPr>
              <w:numPr>
                <w:ilvl w:val="0"/>
                <w:numId w:val="16"/>
              </w:numPr>
              <w:spacing w:after="0" w:line="240" w:lineRule="auto"/>
            </w:pPr>
            <w:r w:rsidRPr="004D7BFE">
              <w:t>Integrated Costal Management</w:t>
            </w:r>
          </w:p>
          <w:p w:rsidR="004E0F96" w:rsidRPr="004D7BFE" w:rsidRDefault="004E0F96" w:rsidP="00155793">
            <w:pPr>
              <w:spacing w:after="0" w:line="240" w:lineRule="auto"/>
              <w:ind w:left="360"/>
            </w:pPr>
            <w:r w:rsidRPr="004D7BFE">
              <w:t xml:space="preserve">(ICM)  planning </w:t>
            </w:r>
          </w:p>
          <w:p w:rsidR="004E0F96" w:rsidRPr="004D7BFE" w:rsidRDefault="004E0F96" w:rsidP="00155793">
            <w:pPr>
              <w:numPr>
                <w:ilvl w:val="0"/>
                <w:numId w:val="16"/>
              </w:numPr>
              <w:spacing w:after="0" w:line="240" w:lineRule="auto"/>
            </w:pPr>
            <w:r w:rsidRPr="004D7BFE">
              <w:t>Integrated terrestrial  management through Corridor planning.</w:t>
            </w:r>
          </w:p>
          <w:p w:rsidR="004E0F96" w:rsidRPr="004D7BFE" w:rsidRDefault="004E0F96" w:rsidP="00155793">
            <w:pPr>
              <w:numPr>
                <w:ilvl w:val="0"/>
                <w:numId w:val="16"/>
              </w:numPr>
              <w:spacing w:after="0" w:line="240" w:lineRule="auto"/>
            </w:pPr>
            <w:r w:rsidRPr="004D7BFE">
              <w:t>Offshore marine spatial planning .</w:t>
            </w:r>
          </w:p>
          <w:p w:rsidR="004E0F96" w:rsidRPr="004D7BFE" w:rsidRDefault="004E0F96" w:rsidP="00155793">
            <w:pPr>
              <w:numPr>
                <w:ilvl w:val="0"/>
                <w:numId w:val="16"/>
              </w:numPr>
              <w:spacing w:after="0" w:line="240" w:lineRule="auto"/>
            </w:pPr>
            <w:r w:rsidRPr="004D7BFE">
              <w:t>Agro biodiversity/local/</w:t>
            </w:r>
          </w:p>
          <w:p w:rsidR="004E0F96" w:rsidRPr="004D7BFE" w:rsidRDefault="004E0F96" w:rsidP="00155793">
            <w:pPr>
              <w:spacing w:after="0" w:line="240" w:lineRule="auto"/>
              <w:ind w:left="360"/>
            </w:pPr>
            <w:r w:rsidRPr="004D7BFE">
              <w:t>traditional variety management.</w:t>
            </w:r>
          </w:p>
          <w:p w:rsidR="004E0F96" w:rsidRPr="004D7BFE" w:rsidRDefault="004E0F96" w:rsidP="00155793">
            <w:pPr>
              <w:numPr>
                <w:ilvl w:val="0"/>
                <w:numId w:val="16"/>
              </w:numPr>
              <w:spacing w:after="0" w:line="240" w:lineRule="auto"/>
              <w:jc w:val="both"/>
            </w:pPr>
            <w:r w:rsidRPr="004D7BFE">
              <w:t xml:space="preserve">Soils conservation for carbon sequestration. </w:t>
            </w:r>
          </w:p>
        </w:tc>
      </w:tr>
      <w:tr w:rsidR="004E0F96" w:rsidRPr="004D7BFE" w:rsidTr="004E0F96">
        <w:tc>
          <w:tcPr>
            <w:tcW w:w="2550" w:type="pct"/>
            <w:shd w:val="clear" w:color="auto" w:fill="auto"/>
          </w:tcPr>
          <w:p w:rsidR="004E0F96" w:rsidRPr="004D7BFE" w:rsidRDefault="004E0F96" w:rsidP="00155793">
            <w:pPr>
              <w:spacing w:after="0" w:line="240" w:lineRule="auto"/>
            </w:pPr>
            <w:r w:rsidRPr="004D7BFE">
              <w:t xml:space="preserve">Institutionalize </w:t>
            </w:r>
            <w:r w:rsidRPr="004D7BFE">
              <w:rPr>
                <w:rStyle w:val="Strong"/>
                <w:b w:val="0"/>
              </w:rPr>
              <w:t>management effectiveness assessment towards assessing 60% of the total areas by 2015 and ensure that the results of the assessments are implemented</w:t>
            </w:r>
            <w:r w:rsidRPr="004D7BFE">
              <w:t>;</w:t>
            </w:r>
          </w:p>
        </w:tc>
        <w:tc>
          <w:tcPr>
            <w:tcW w:w="2450" w:type="pct"/>
            <w:shd w:val="clear" w:color="auto" w:fill="auto"/>
          </w:tcPr>
          <w:p w:rsidR="004E0F96" w:rsidRPr="004D7BFE" w:rsidRDefault="004E0F96" w:rsidP="00155793">
            <w:pPr>
              <w:numPr>
                <w:ilvl w:val="0"/>
                <w:numId w:val="16"/>
              </w:numPr>
              <w:spacing w:after="0" w:line="240" w:lineRule="auto"/>
            </w:pPr>
            <w:r w:rsidRPr="004D7BFE">
              <w:t>Assessing ecological effectiveness of different management types.</w:t>
            </w:r>
          </w:p>
          <w:p w:rsidR="004E0F96" w:rsidRPr="004D7BFE" w:rsidRDefault="004E0F96" w:rsidP="00155793">
            <w:pPr>
              <w:numPr>
                <w:ilvl w:val="0"/>
                <w:numId w:val="16"/>
              </w:numPr>
              <w:spacing w:after="0" w:line="240" w:lineRule="auto"/>
              <w:jc w:val="both"/>
            </w:pPr>
            <w:r w:rsidRPr="004D7BFE">
              <w:t>Assessing ME for different governance type.</w:t>
            </w:r>
          </w:p>
          <w:p w:rsidR="004E0F96" w:rsidRPr="004D7BFE" w:rsidRDefault="004E0F96" w:rsidP="00155793">
            <w:pPr>
              <w:numPr>
                <w:ilvl w:val="0"/>
                <w:numId w:val="16"/>
              </w:numPr>
              <w:spacing w:after="0" w:line="240" w:lineRule="auto"/>
            </w:pPr>
            <w:r w:rsidRPr="004D7BFE">
              <w:t>Formalize and finance a monitoring body.</w:t>
            </w:r>
          </w:p>
          <w:p w:rsidR="004E0F96" w:rsidRPr="004D7BFE" w:rsidRDefault="004E0F96" w:rsidP="00155793">
            <w:pPr>
              <w:numPr>
                <w:ilvl w:val="0"/>
                <w:numId w:val="16"/>
              </w:numPr>
              <w:spacing w:after="0" w:line="240" w:lineRule="auto"/>
            </w:pPr>
            <w:r w:rsidRPr="004D7BFE">
              <w:t>Capacity building for conducting assessments.</w:t>
            </w:r>
          </w:p>
        </w:tc>
      </w:tr>
      <w:tr w:rsidR="004E0F96" w:rsidRPr="004D7BFE" w:rsidTr="004E0F96">
        <w:tc>
          <w:tcPr>
            <w:tcW w:w="2550" w:type="pct"/>
            <w:shd w:val="clear" w:color="auto" w:fill="auto"/>
          </w:tcPr>
          <w:p w:rsidR="004E0F96" w:rsidRPr="004D7BFE" w:rsidRDefault="004E0F96" w:rsidP="00155793">
            <w:pPr>
              <w:spacing w:after="0" w:line="240" w:lineRule="auto"/>
              <w:jc w:val="both"/>
            </w:pPr>
            <w:r w:rsidRPr="004D7BFE">
              <w:t>Diversification of governance types  and recognition of ICCAs including through acknowledgement in national legislation or other effective means, formal inclusion in the national systems,</w:t>
            </w:r>
          </w:p>
        </w:tc>
        <w:tc>
          <w:tcPr>
            <w:tcW w:w="2450" w:type="pct"/>
            <w:shd w:val="clear" w:color="auto" w:fill="auto"/>
          </w:tcPr>
          <w:p w:rsidR="004E0F96" w:rsidRPr="004D7BFE" w:rsidRDefault="004E0F96" w:rsidP="00155793">
            <w:pPr>
              <w:numPr>
                <w:ilvl w:val="0"/>
                <w:numId w:val="17"/>
              </w:numPr>
              <w:spacing w:after="0" w:line="240" w:lineRule="auto"/>
              <w:jc w:val="both"/>
            </w:pPr>
            <w:r w:rsidRPr="004D7BFE">
              <w:t>Clearly define protected areas categories inclusive ICCAS.</w:t>
            </w:r>
          </w:p>
          <w:p w:rsidR="004E0F96" w:rsidRPr="004D7BFE" w:rsidRDefault="004E0F96" w:rsidP="00155793">
            <w:pPr>
              <w:numPr>
                <w:ilvl w:val="0"/>
                <w:numId w:val="17"/>
              </w:numPr>
              <w:spacing w:after="0" w:line="240" w:lineRule="auto"/>
              <w:jc w:val="both"/>
            </w:pPr>
            <w:r w:rsidRPr="004D7BFE">
              <w:t>Appropriate incentives in place for institution.</w:t>
            </w:r>
          </w:p>
          <w:p w:rsidR="004E0F96" w:rsidRPr="004D7BFE" w:rsidRDefault="004E0F96" w:rsidP="00155793">
            <w:pPr>
              <w:numPr>
                <w:ilvl w:val="0"/>
                <w:numId w:val="17"/>
              </w:numPr>
              <w:spacing w:after="0" w:line="240" w:lineRule="auto"/>
              <w:jc w:val="both"/>
            </w:pPr>
            <w:r w:rsidRPr="004D7BFE">
              <w:t>Develop Protected Area legislations and regulations including best practices and minimum standards.</w:t>
            </w:r>
          </w:p>
        </w:tc>
      </w:tr>
      <w:tr w:rsidR="004E0F96" w:rsidRPr="004D7BFE" w:rsidTr="004E0F96">
        <w:tc>
          <w:tcPr>
            <w:tcW w:w="2550" w:type="pct"/>
            <w:shd w:val="clear" w:color="auto" w:fill="auto"/>
          </w:tcPr>
          <w:p w:rsidR="004E0F96" w:rsidRPr="004D7BFE" w:rsidRDefault="004E0F96" w:rsidP="00155793">
            <w:pPr>
              <w:spacing w:after="0" w:line="240" w:lineRule="auto"/>
              <w:jc w:val="both"/>
            </w:pPr>
            <w:r w:rsidRPr="004D7BFE">
              <w:t>Development and implementation of sustainable finance plans for protected area systems.</w:t>
            </w:r>
          </w:p>
        </w:tc>
        <w:tc>
          <w:tcPr>
            <w:tcW w:w="2450" w:type="pct"/>
            <w:shd w:val="clear" w:color="auto" w:fill="auto"/>
          </w:tcPr>
          <w:p w:rsidR="004E0F96" w:rsidRPr="004D7BFE" w:rsidRDefault="004E0F96" w:rsidP="00155793">
            <w:pPr>
              <w:numPr>
                <w:ilvl w:val="0"/>
                <w:numId w:val="17"/>
              </w:numPr>
              <w:spacing w:after="0" w:line="240" w:lineRule="auto"/>
              <w:jc w:val="both"/>
            </w:pPr>
            <w:r w:rsidRPr="004D7BFE">
              <w:t>Develop green tax.</w:t>
            </w:r>
          </w:p>
          <w:p w:rsidR="004E0F96" w:rsidRPr="004D7BFE" w:rsidRDefault="004E0F96" w:rsidP="00155793">
            <w:pPr>
              <w:numPr>
                <w:ilvl w:val="0"/>
                <w:numId w:val="17"/>
              </w:numPr>
              <w:spacing w:after="0" w:line="240" w:lineRule="auto"/>
              <w:jc w:val="both"/>
            </w:pPr>
            <w:r w:rsidRPr="004D7BFE">
              <w:t>Developing a tax benefit system for Protected Areas</w:t>
            </w:r>
          </w:p>
        </w:tc>
      </w:tr>
      <w:tr w:rsidR="004E0F96" w:rsidRPr="004D7BFE" w:rsidTr="004E0F96">
        <w:tc>
          <w:tcPr>
            <w:tcW w:w="2550" w:type="pct"/>
            <w:shd w:val="clear" w:color="auto" w:fill="auto"/>
          </w:tcPr>
          <w:p w:rsidR="004E0F96" w:rsidRPr="004D7BFE" w:rsidRDefault="004E0F96" w:rsidP="00155793">
            <w:pPr>
              <w:spacing w:after="0" w:line="240" w:lineRule="auto"/>
              <w:jc w:val="both"/>
            </w:pPr>
            <w:r w:rsidRPr="004D7BFE">
              <w:t>Assessing the values and contribution of protected areas  to the national and local economies and to achieving MDGs</w:t>
            </w:r>
          </w:p>
        </w:tc>
        <w:tc>
          <w:tcPr>
            <w:tcW w:w="2450" w:type="pct"/>
            <w:shd w:val="clear" w:color="auto" w:fill="auto"/>
          </w:tcPr>
          <w:p w:rsidR="004E0F96" w:rsidRPr="004D7BFE" w:rsidRDefault="004E0F96" w:rsidP="00155793">
            <w:pPr>
              <w:numPr>
                <w:ilvl w:val="0"/>
                <w:numId w:val="18"/>
              </w:numPr>
              <w:spacing w:after="0" w:line="240" w:lineRule="auto"/>
              <w:jc w:val="both"/>
            </w:pPr>
            <w:r w:rsidRPr="004D7BFE">
              <w:t>Develop economic valuation for protected areas for each category.</w:t>
            </w:r>
          </w:p>
          <w:p w:rsidR="004E0F96" w:rsidRPr="004D7BFE" w:rsidRDefault="004E0F96" w:rsidP="00155793">
            <w:pPr>
              <w:numPr>
                <w:ilvl w:val="0"/>
                <w:numId w:val="18"/>
              </w:numPr>
              <w:spacing w:after="0" w:line="240" w:lineRule="auto"/>
            </w:pPr>
            <w:r w:rsidRPr="004D7BFE">
              <w:t>Develo</w:t>
            </w:r>
            <w:r>
              <w:t xml:space="preserve">p communication strategies for </w:t>
            </w:r>
            <w:r w:rsidRPr="004D7BFE">
              <w:t>protected areas.</w:t>
            </w:r>
          </w:p>
        </w:tc>
      </w:tr>
    </w:tbl>
    <w:p w:rsidR="007D6D57" w:rsidRPr="004D7BFE" w:rsidRDefault="007D6D57" w:rsidP="00155793">
      <w:pPr>
        <w:spacing w:after="0"/>
      </w:pPr>
    </w:p>
    <w:p w:rsidR="00155793" w:rsidRDefault="00155793" w:rsidP="00795E6A">
      <w:pPr>
        <w:pStyle w:val="Heading1"/>
      </w:pPr>
    </w:p>
    <w:p w:rsidR="00795E6A" w:rsidRDefault="00795E6A" w:rsidP="00795E6A">
      <w:pPr>
        <w:pStyle w:val="Heading1"/>
      </w:pPr>
      <w:r>
        <w:t>Timeline for completion of key actions</w:t>
      </w:r>
    </w:p>
    <w:p w:rsidR="00795E6A" w:rsidRDefault="004D7BFE" w:rsidP="00795E6A">
      <w:pPr>
        <w:tabs>
          <w:tab w:val="left" w:pos="2186"/>
        </w:tabs>
      </w:pPr>
      <w:r>
        <w:t>(Insert timeline)</w:t>
      </w:r>
    </w:p>
    <w:tbl>
      <w:tblPr>
        <w:tblStyle w:val="LightList-Accent11"/>
        <w:tblW w:w="0" w:type="auto"/>
        <w:tblLook w:val="04A0"/>
      </w:tblPr>
      <w:tblGrid>
        <w:gridCol w:w="7054"/>
        <w:gridCol w:w="2522"/>
      </w:tblGrid>
      <w:tr w:rsidR="00155793" w:rsidRPr="00155793" w:rsidTr="00155793">
        <w:trPr>
          <w:cnfStyle w:val="100000000000"/>
        </w:trPr>
        <w:tc>
          <w:tcPr>
            <w:cnfStyle w:val="001000000000"/>
            <w:tcW w:w="7054" w:type="dxa"/>
            <w:shd w:val="clear" w:color="auto" w:fill="548DD4" w:themeFill="text2" w:themeFillTint="99"/>
          </w:tcPr>
          <w:p w:rsidR="00155793" w:rsidRPr="00155793" w:rsidRDefault="00155793" w:rsidP="00AD1934">
            <w:pPr>
              <w:rPr>
                <w:rFonts w:asciiTheme="minorHAnsi" w:hAnsiTheme="minorHAnsi" w:cstheme="minorHAnsi"/>
                <w:sz w:val="22"/>
                <w:szCs w:val="22"/>
              </w:rPr>
            </w:pPr>
            <w:r w:rsidRPr="00155793">
              <w:rPr>
                <w:rFonts w:asciiTheme="minorHAnsi" w:hAnsiTheme="minorHAnsi" w:cstheme="minorHAnsi"/>
                <w:sz w:val="22"/>
                <w:szCs w:val="22"/>
              </w:rPr>
              <w:t>Priority</w:t>
            </w:r>
          </w:p>
        </w:tc>
        <w:tc>
          <w:tcPr>
            <w:tcW w:w="2522" w:type="dxa"/>
            <w:shd w:val="clear" w:color="auto" w:fill="548DD4" w:themeFill="text2" w:themeFillTint="99"/>
          </w:tcPr>
          <w:p w:rsidR="00155793" w:rsidRPr="00155793" w:rsidRDefault="00155793" w:rsidP="00AD1934">
            <w:pPr>
              <w:cnfStyle w:val="100000000000"/>
              <w:rPr>
                <w:rFonts w:asciiTheme="minorHAnsi" w:hAnsiTheme="minorHAnsi" w:cstheme="minorHAnsi"/>
                <w:sz w:val="22"/>
                <w:szCs w:val="22"/>
              </w:rPr>
            </w:pPr>
            <w:r w:rsidRPr="00155793">
              <w:rPr>
                <w:rFonts w:asciiTheme="minorHAnsi" w:hAnsiTheme="minorHAnsi" w:cstheme="minorHAnsi"/>
                <w:sz w:val="22"/>
                <w:szCs w:val="22"/>
              </w:rPr>
              <w:t>Timeline (Completion)</w:t>
            </w:r>
          </w:p>
        </w:tc>
      </w:tr>
      <w:tr w:rsidR="00155793" w:rsidRPr="00155793" w:rsidTr="00155793">
        <w:trPr>
          <w:cnfStyle w:val="000000100000"/>
        </w:trPr>
        <w:tc>
          <w:tcPr>
            <w:cnfStyle w:val="001000000000"/>
            <w:tcW w:w="7054" w:type="dxa"/>
          </w:tcPr>
          <w:p w:rsidR="00155793" w:rsidRPr="00155793" w:rsidRDefault="00155793" w:rsidP="00AD1934">
            <w:pPr>
              <w:rPr>
                <w:rFonts w:asciiTheme="minorHAnsi" w:hAnsiTheme="minorHAnsi" w:cstheme="minorHAnsi"/>
                <w:b w:val="0"/>
                <w:sz w:val="22"/>
                <w:szCs w:val="22"/>
              </w:rPr>
            </w:pPr>
            <w:r w:rsidRPr="00155793">
              <w:rPr>
                <w:rFonts w:asciiTheme="minorHAnsi" w:hAnsiTheme="minorHAnsi" w:cstheme="minorHAnsi"/>
                <w:b w:val="0"/>
                <w:sz w:val="22"/>
                <w:szCs w:val="22"/>
              </w:rPr>
              <w:t>Integrated Coastal Management (ICM) planning</w:t>
            </w:r>
          </w:p>
        </w:tc>
        <w:tc>
          <w:tcPr>
            <w:tcW w:w="2522" w:type="dxa"/>
          </w:tcPr>
          <w:p w:rsidR="00155793" w:rsidRPr="00155793" w:rsidRDefault="00155793" w:rsidP="00AD1934">
            <w:pPr>
              <w:cnfStyle w:val="000000100000"/>
              <w:rPr>
                <w:rFonts w:asciiTheme="minorHAnsi" w:hAnsiTheme="minorHAnsi" w:cstheme="minorHAnsi"/>
                <w:sz w:val="22"/>
                <w:szCs w:val="22"/>
              </w:rPr>
            </w:pPr>
            <w:r w:rsidRPr="00155793">
              <w:rPr>
                <w:rFonts w:asciiTheme="minorHAnsi" w:hAnsiTheme="minorHAnsi" w:cstheme="minorHAnsi"/>
                <w:sz w:val="22"/>
                <w:szCs w:val="22"/>
              </w:rPr>
              <w:t>2015</w:t>
            </w:r>
          </w:p>
        </w:tc>
      </w:tr>
      <w:tr w:rsidR="00155793" w:rsidRPr="00155793" w:rsidTr="00155793">
        <w:tc>
          <w:tcPr>
            <w:cnfStyle w:val="001000000000"/>
            <w:tcW w:w="7054" w:type="dxa"/>
          </w:tcPr>
          <w:p w:rsidR="00155793" w:rsidRPr="00155793" w:rsidRDefault="00155793" w:rsidP="00AD1934">
            <w:pPr>
              <w:rPr>
                <w:rFonts w:asciiTheme="minorHAnsi" w:hAnsiTheme="minorHAnsi" w:cstheme="minorHAnsi"/>
                <w:b w:val="0"/>
                <w:sz w:val="22"/>
                <w:szCs w:val="22"/>
              </w:rPr>
            </w:pPr>
            <w:r w:rsidRPr="00155793">
              <w:rPr>
                <w:rFonts w:asciiTheme="minorHAnsi" w:hAnsiTheme="minorHAnsi" w:cstheme="minorHAnsi"/>
                <w:b w:val="0"/>
                <w:sz w:val="22"/>
                <w:szCs w:val="22"/>
              </w:rPr>
              <w:t>Integrated terrestrial management through corridor planning</w:t>
            </w:r>
          </w:p>
        </w:tc>
        <w:tc>
          <w:tcPr>
            <w:tcW w:w="2522" w:type="dxa"/>
          </w:tcPr>
          <w:p w:rsidR="00155793" w:rsidRPr="00155793" w:rsidRDefault="00155793" w:rsidP="00AD1934">
            <w:pPr>
              <w:cnfStyle w:val="000000000000"/>
              <w:rPr>
                <w:rFonts w:asciiTheme="minorHAnsi" w:hAnsiTheme="minorHAnsi" w:cstheme="minorHAnsi"/>
                <w:sz w:val="22"/>
                <w:szCs w:val="22"/>
              </w:rPr>
            </w:pPr>
            <w:r w:rsidRPr="00155793">
              <w:rPr>
                <w:rFonts w:asciiTheme="minorHAnsi" w:hAnsiTheme="minorHAnsi" w:cstheme="minorHAnsi"/>
                <w:sz w:val="22"/>
                <w:szCs w:val="22"/>
              </w:rPr>
              <w:t>2015</w:t>
            </w:r>
          </w:p>
        </w:tc>
      </w:tr>
      <w:tr w:rsidR="00155793" w:rsidRPr="00155793" w:rsidTr="00155793">
        <w:trPr>
          <w:cnfStyle w:val="000000100000"/>
        </w:trPr>
        <w:tc>
          <w:tcPr>
            <w:cnfStyle w:val="001000000000"/>
            <w:tcW w:w="7054" w:type="dxa"/>
          </w:tcPr>
          <w:p w:rsidR="00155793" w:rsidRPr="00155793" w:rsidRDefault="00155793" w:rsidP="00AD1934">
            <w:pPr>
              <w:rPr>
                <w:rFonts w:asciiTheme="minorHAnsi" w:hAnsiTheme="minorHAnsi" w:cstheme="minorHAnsi"/>
                <w:b w:val="0"/>
                <w:sz w:val="22"/>
                <w:szCs w:val="22"/>
              </w:rPr>
            </w:pPr>
            <w:r w:rsidRPr="00155793">
              <w:rPr>
                <w:rFonts w:asciiTheme="minorHAnsi" w:hAnsiTheme="minorHAnsi" w:cstheme="minorHAnsi"/>
                <w:b w:val="0"/>
                <w:sz w:val="22"/>
                <w:szCs w:val="22"/>
              </w:rPr>
              <w:t>Offshore marine spatial planning</w:t>
            </w:r>
          </w:p>
        </w:tc>
        <w:tc>
          <w:tcPr>
            <w:tcW w:w="2522" w:type="dxa"/>
          </w:tcPr>
          <w:p w:rsidR="00155793" w:rsidRPr="00155793" w:rsidRDefault="00155793" w:rsidP="00AD1934">
            <w:pPr>
              <w:cnfStyle w:val="000000100000"/>
              <w:rPr>
                <w:rFonts w:asciiTheme="minorHAnsi" w:hAnsiTheme="minorHAnsi" w:cstheme="minorHAnsi"/>
                <w:sz w:val="22"/>
                <w:szCs w:val="22"/>
              </w:rPr>
            </w:pPr>
            <w:r w:rsidRPr="00155793">
              <w:rPr>
                <w:rFonts w:asciiTheme="minorHAnsi" w:hAnsiTheme="minorHAnsi" w:cstheme="minorHAnsi"/>
                <w:sz w:val="22"/>
                <w:szCs w:val="22"/>
              </w:rPr>
              <w:t>2015</w:t>
            </w:r>
          </w:p>
        </w:tc>
      </w:tr>
      <w:tr w:rsidR="00155793" w:rsidRPr="00155793" w:rsidTr="00155793">
        <w:tc>
          <w:tcPr>
            <w:cnfStyle w:val="001000000000"/>
            <w:tcW w:w="7054" w:type="dxa"/>
          </w:tcPr>
          <w:p w:rsidR="00155793" w:rsidRPr="00155793" w:rsidRDefault="00155793" w:rsidP="00AD1934">
            <w:pPr>
              <w:rPr>
                <w:rFonts w:asciiTheme="minorHAnsi" w:hAnsiTheme="minorHAnsi" w:cstheme="minorHAnsi"/>
                <w:b w:val="0"/>
                <w:sz w:val="22"/>
                <w:szCs w:val="22"/>
              </w:rPr>
            </w:pPr>
            <w:r w:rsidRPr="00155793">
              <w:rPr>
                <w:rFonts w:asciiTheme="minorHAnsi" w:hAnsiTheme="minorHAnsi" w:cstheme="minorHAnsi"/>
                <w:b w:val="0"/>
                <w:sz w:val="22"/>
                <w:szCs w:val="22"/>
              </w:rPr>
              <w:t>Agrobiodiversity/local/traditional variety management</w:t>
            </w:r>
          </w:p>
        </w:tc>
        <w:tc>
          <w:tcPr>
            <w:tcW w:w="2522" w:type="dxa"/>
          </w:tcPr>
          <w:p w:rsidR="00155793" w:rsidRPr="00155793" w:rsidRDefault="00155793" w:rsidP="00AD1934">
            <w:pPr>
              <w:cnfStyle w:val="000000000000"/>
              <w:rPr>
                <w:rFonts w:asciiTheme="minorHAnsi" w:hAnsiTheme="minorHAnsi" w:cstheme="minorHAnsi"/>
                <w:sz w:val="22"/>
                <w:szCs w:val="22"/>
              </w:rPr>
            </w:pPr>
            <w:r w:rsidRPr="00155793">
              <w:rPr>
                <w:rFonts w:asciiTheme="minorHAnsi" w:hAnsiTheme="minorHAnsi" w:cstheme="minorHAnsi"/>
                <w:sz w:val="22"/>
                <w:szCs w:val="22"/>
              </w:rPr>
              <w:t>2020</w:t>
            </w:r>
          </w:p>
        </w:tc>
      </w:tr>
      <w:tr w:rsidR="00155793" w:rsidRPr="00155793" w:rsidTr="00155793">
        <w:trPr>
          <w:cnfStyle w:val="000000100000"/>
        </w:trPr>
        <w:tc>
          <w:tcPr>
            <w:cnfStyle w:val="001000000000"/>
            <w:tcW w:w="7054" w:type="dxa"/>
          </w:tcPr>
          <w:p w:rsidR="00155793" w:rsidRPr="00155793" w:rsidRDefault="00155793" w:rsidP="00AD1934">
            <w:pPr>
              <w:rPr>
                <w:rFonts w:asciiTheme="minorHAnsi" w:hAnsiTheme="minorHAnsi" w:cstheme="minorHAnsi"/>
                <w:b w:val="0"/>
                <w:sz w:val="22"/>
                <w:szCs w:val="22"/>
              </w:rPr>
            </w:pPr>
            <w:r w:rsidRPr="00155793">
              <w:rPr>
                <w:rFonts w:asciiTheme="minorHAnsi" w:hAnsiTheme="minorHAnsi" w:cstheme="minorHAnsi"/>
                <w:b w:val="0"/>
                <w:sz w:val="22"/>
                <w:szCs w:val="22"/>
              </w:rPr>
              <w:t>Soils conservation for carbon sequestration</w:t>
            </w:r>
          </w:p>
        </w:tc>
        <w:tc>
          <w:tcPr>
            <w:tcW w:w="2522" w:type="dxa"/>
          </w:tcPr>
          <w:p w:rsidR="00155793" w:rsidRPr="00155793" w:rsidRDefault="00155793" w:rsidP="00AD1934">
            <w:pPr>
              <w:cnfStyle w:val="000000100000"/>
              <w:rPr>
                <w:rFonts w:asciiTheme="minorHAnsi" w:hAnsiTheme="minorHAnsi" w:cstheme="minorHAnsi"/>
                <w:sz w:val="22"/>
                <w:szCs w:val="22"/>
              </w:rPr>
            </w:pPr>
            <w:r w:rsidRPr="00155793">
              <w:rPr>
                <w:rFonts w:asciiTheme="minorHAnsi" w:hAnsiTheme="minorHAnsi" w:cstheme="minorHAnsi"/>
                <w:sz w:val="22"/>
                <w:szCs w:val="22"/>
              </w:rPr>
              <w:t>2020</w:t>
            </w:r>
          </w:p>
        </w:tc>
      </w:tr>
      <w:tr w:rsidR="00155793" w:rsidRPr="00155793" w:rsidTr="00155793">
        <w:tc>
          <w:tcPr>
            <w:cnfStyle w:val="001000000000"/>
            <w:tcW w:w="7054" w:type="dxa"/>
          </w:tcPr>
          <w:p w:rsidR="00155793" w:rsidRPr="00155793" w:rsidRDefault="00155793" w:rsidP="00AD1934">
            <w:pPr>
              <w:rPr>
                <w:rFonts w:asciiTheme="minorHAnsi" w:hAnsiTheme="minorHAnsi" w:cstheme="minorHAnsi"/>
                <w:b w:val="0"/>
                <w:sz w:val="22"/>
                <w:szCs w:val="22"/>
              </w:rPr>
            </w:pPr>
            <w:r w:rsidRPr="00155793">
              <w:rPr>
                <w:rFonts w:asciiTheme="minorHAnsi" w:hAnsiTheme="minorHAnsi" w:cstheme="minorHAnsi"/>
                <w:b w:val="0"/>
                <w:sz w:val="22"/>
                <w:szCs w:val="22"/>
              </w:rPr>
              <w:t>Assessment of ecological effectiveness of different management types</w:t>
            </w:r>
          </w:p>
        </w:tc>
        <w:tc>
          <w:tcPr>
            <w:tcW w:w="2522" w:type="dxa"/>
          </w:tcPr>
          <w:p w:rsidR="00155793" w:rsidRPr="00155793" w:rsidRDefault="00155793" w:rsidP="00AD1934">
            <w:pPr>
              <w:cnfStyle w:val="000000000000"/>
              <w:rPr>
                <w:rFonts w:asciiTheme="minorHAnsi" w:hAnsiTheme="minorHAnsi" w:cstheme="minorHAnsi"/>
                <w:sz w:val="22"/>
                <w:szCs w:val="22"/>
              </w:rPr>
            </w:pPr>
            <w:r w:rsidRPr="00155793">
              <w:rPr>
                <w:rFonts w:asciiTheme="minorHAnsi" w:hAnsiTheme="minorHAnsi" w:cstheme="minorHAnsi"/>
                <w:sz w:val="22"/>
                <w:szCs w:val="22"/>
              </w:rPr>
              <w:t>2014</w:t>
            </w:r>
          </w:p>
        </w:tc>
      </w:tr>
      <w:tr w:rsidR="00155793" w:rsidRPr="00155793" w:rsidTr="00155793">
        <w:trPr>
          <w:cnfStyle w:val="000000100000"/>
        </w:trPr>
        <w:tc>
          <w:tcPr>
            <w:cnfStyle w:val="001000000000"/>
            <w:tcW w:w="7054" w:type="dxa"/>
          </w:tcPr>
          <w:p w:rsidR="00155793" w:rsidRPr="00155793" w:rsidRDefault="00155793" w:rsidP="00AD1934">
            <w:pPr>
              <w:rPr>
                <w:rFonts w:asciiTheme="minorHAnsi" w:hAnsiTheme="minorHAnsi" w:cstheme="minorHAnsi"/>
                <w:b w:val="0"/>
                <w:sz w:val="22"/>
                <w:szCs w:val="22"/>
              </w:rPr>
            </w:pPr>
            <w:r w:rsidRPr="00155793">
              <w:rPr>
                <w:rFonts w:asciiTheme="minorHAnsi" w:hAnsiTheme="minorHAnsi" w:cstheme="minorHAnsi"/>
                <w:b w:val="0"/>
                <w:sz w:val="22"/>
                <w:szCs w:val="22"/>
              </w:rPr>
              <w:t>Assessment of management effectiveness for different management types</w:t>
            </w:r>
          </w:p>
        </w:tc>
        <w:tc>
          <w:tcPr>
            <w:tcW w:w="2522" w:type="dxa"/>
          </w:tcPr>
          <w:p w:rsidR="00155793" w:rsidRPr="00155793" w:rsidRDefault="00155793" w:rsidP="00AD1934">
            <w:pPr>
              <w:cnfStyle w:val="000000100000"/>
              <w:rPr>
                <w:rFonts w:asciiTheme="minorHAnsi" w:hAnsiTheme="minorHAnsi" w:cstheme="minorHAnsi"/>
                <w:sz w:val="22"/>
                <w:szCs w:val="22"/>
              </w:rPr>
            </w:pPr>
            <w:r w:rsidRPr="00155793">
              <w:rPr>
                <w:rFonts w:asciiTheme="minorHAnsi" w:hAnsiTheme="minorHAnsi" w:cstheme="minorHAnsi"/>
                <w:sz w:val="22"/>
                <w:szCs w:val="22"/>
              </w:rPr>
              <w:t>2016</w:t>
            </w:r>
          </w:p>
        </w:tc>
      </w:tr>
      <w:tr w:rsidR="00155793" w:rsidRPr="00155793" w:rsidTr="00155793">
        <w:tc>
          <w:tcPr>
            <w:cnfStyle w:val="001000000000"/>
            <w:tcW w:w="7054" w:type="dxa"/>
          </w:tcPr>
          <w:p w:rsidR="00155793" w:rsidRPr="00155793" w:rsidRDefault="00155793" w:rsidP="00AD1934">
            <w:pPr>
              <w:rPr>
                <w:rFonts w:asciiTheme="minorHAnsi" w:hAnsiTheme="minorHAnsi" w:cstheme="minorHAnsi"/>
                <w:b w:val="0"/>
                <w:sz w:val="22"/>
                <w:szCs w:val="22"/>
              </w:rPr>
            </w:pPr>
            <w:r w:rsidRPr="00155793">
              <w:rPr>
                <w:rFonts w:asciiTheme="minorHAnsi" w:hAnsiTheme="minorHAnsi" w:cstheme="minorHAnsi"/>
                <w:b w:val="0"/>
                <w:sz w:val="22"/>
                <w:szCs w:val="22"/>
              </w:rPr>
              <w:t>Formalization and financing of a monitoring body</w:t>
            </w:r>
          </w:p>
        </w:tc>
        <w:tc>
          <w:tcPr>
            <w:tcW w:w="2522" w:type="dxa"/>
          </w:tcPr>
          <w:p w:rsidR="00155793" w:rsidRPr="00155793" w:rsidRDefault="00155793" w:rsidP="00AD1934">
            <w:pPr>
              <w:cnfStyle w:val="000000000000"/>
              <w:rPr>
                <w:rFonts w:asciiTheme="minorHAnsi" w:hAnsiTheme="minorHAnsi" w:cstheme="minorHAnsi"/>
                <w:sz w:val="22"/>
                <w:szCs w:val="22"/>
              </w:rPr>
            </w:pPr>
            <w:r w:rsidRPr="00155793">
              <w:rPr>
                <w:rFonts w:asciiTheme="minorHAnsi" w:hAnsiTheme="minorHAnsi" w:cstheme="minorHAnsi"/>
                <w:sz w:val="22"/>
                <w:szCs w:val="22"/>
              </w:rPr>
              <w:t>2016</w:t>
            </w:r>
          </w:p>
        </w:tc>
      </w:tr>
      <w:tr w:rsidR="00155793" w:rsidRPr="00155793" w:rsidTr="00155793">
        <w:trPr>
          <w:cnfStyle w:val="000000100000"/>
        </w:trPr>
        <w:tc>
          <w:tcPr>
            <w:cnfStyle w:val="001000000000"/>
            <w:tcW w:w="7054" w:type="dxa"/>
          </w:tcPr>
          <w:p w:rsidR="00155793" w:rsidRPr="00155793" w:rsidRDefault="00155793" w:rsidP="00AD1934">
            <w:pPr>
              <w:rPr>
                <w:rFonts w:asciiTheme="minorHAnsi" w:hAnsiTheme="minorHAnsi" w:cstheme="minorHAnsi"/>
                <w:b w:val="0"/>
                <w:sz w:val="22"/>
                <w:szCs w:val="22"/>
              </w:rPr>
            </w:pPr>
            <w:r w:rsidRPr="00155793">
              <w:rPr>
                <w:rFonts w:asciiTheme="minorHAnsi" w:hAnsiTheme="minorHAnsi" w:cstheme="minorHAnsi"/>
                <w:b w:val="0"/>
                <w:sz w:val="22"/>
                <w:szCs w:val="22"/>
              </w:rPr>
              <w:t>Capacity building for conducting assessments</w:t>
            </w:r>
          </w:p>
        </w:tc>
        <w:tc>
          <w:tcPr>
            <w:tcW w:w="2522" w:type="dxa"/>
          </w:tcPr>
          <w:p w:rsidR="00155793" w:rsidRPr="00155793" w:rsidRDefault="00155793" w:rsidP="00AD1934">
            <w:pPr>
              <w:cnfStyle w:val="000000100000"/>
              <w:rPr>
                <w:rFonts w:asciiTheme="minorHAnsi" w:hAnsiTheme="minorHAnsi" w:cstheme="minorHAnsi"/>
                <w:sz w:val="22"/>
                <w:szCs w:val="22"/>
              </w:rPr>
            </w:pPr>
            <w:r w:rsidRPr="00155793">
              <w:rPr>
                <w:rFonts w:asciiTheme="minorHAnsi" w:hAnsiTheme="minorHAnsi" w:cstheme="minorHAnsi"/>
                <w:sz w:val="22"/>
                <w:szCs w:val="22"/>
              </w:rPr>
              <w:t>2016</w:t>
            </w:r>
          </w:p>
        </w:tc>
      </w:tr>
      <w:tr w:rsidR="00155793" w:rsidRPr="00155793" w:rsidTr="00155793">
        <w:tc>
          <w:tcPr>
            <w:cnfStyle w:val="001000000000"/>
            <w:tcW w:w="7054" w:type="dxa"/>
          </w:tcPr>
          <w:p w:rsidR="00155793" w:rsidRPr="00155793" w:rsidRDefault="00155793" w:rsidP="00AD1934">
            <w:pPr>
              <w:rPr>
                <w:rFonts w:asciiTheme="minorHAnsi" w:hAnsiTheme="minorHAnsi" w:cstheme="minorHAnsi"/>
                <w:b w:val="0"/>
                <w:sz w:val="22"/>
                <w:szCs w:val="22"/>
              </w:rPr>
            </w:pPr>
            <w:r w:rsidRPr="00155793">
              <w:rPr>
                <w:rFonts w:asciiTheme="minorHAnsi" w:hAnsiTheme="minorHAnsi" w:cstheme="minorHAnsi"/>
                <w:b w:val="0"/>
                <w:sz w:val="22"/>
                <w:szCs w:val="22"/>
              </w:rPr>
              <w:t>Clear definition of protected area categories inclusive of ICCAs</w:t>
            </w:r>
          </w:p>
        </w:tc>
        <w:tc>
          <w:tcPr>
            <w:tcW w:w="2522" w:type="dxa"/>
          </w:tcPr>
          <w:p w:rsidR="00155793" w:rsidRPr="00155793" w:rsidRDefault="00155793" w:rsidP="00AD1934">
            <w:pPr>
              <w:cnfStyle w:val="000000000000"/>
              <w:rPr>
                <w:rFonts w:asciiTheme="minorHAnsi" w:hAnsiTheme="minorHAnsi" w:cstheme="minorHAnsi"/>
                <w:sz w:val="22"/>
                <w:szCs w:val="22"/>
              </w:rPr>
            </w:pPr>
            <w:r w:rsidRPr="00155793">
              <w:rPr>
                <w:rFonts w:asciiTheme="minorHAnsi" w:hAnsiTheme="minorHAnsi" w:cstheme="minorHAnsi"/>
                <w:sz w:val="22"/>
                <w:szCs w:val="22"/>
              </w:rPr>
              <w:t>2011</w:t>
            </w:r>
          </w:p>
        </w:tc>
      </w:tr>
      <w:tr w:rsidR="00155793" w:rsidRPr="00155793" w:rsidTr="00155793">
        <w:trPr>
          <w:cnfStyle w:val="000000100000"/>
        </w:trPr>
        <w:tc>
          <w:tcPr>
            <w:cnfStyle w:val="001000000000"/>
            <w:tcW w:w="7054" w:type="dxa"/>
          </w:tcPr>
          <w:p w:rsidR="00155793" w:rsidRPr="00155793" w:rsidRDefault="00155793" w:rsidP="00AD1934">
            <w:pPr>
              <w:rPr>
                <w:rFonts w:asciiTheme="minorHAnsi" w:hAnsiTheme="minorHAnsi" w:cstheme="minorHAnsi"/>
                <w:b w:val="0"/>
                <w:sz w:val="22"/>
                <w:szCs w:val="22"/>
              </w:rPr>
            </w:pPr>
            <w:r w:rsidRPr="00155793">
              <w:rPr>
                <w:rFonts w:asciiTheme="minorHAnsi" w:hAnsiTheme="minorHAnsi" w:cstheme="minorHAnsi"/>
                <w:b w:val="0"/>
                <w:sz w:val="22"/>
                <w:szCs w:val="22"/>
              </w:rPr>
              <w:t>Appropriate incentives in place for management institutions</w:t>
            </w:r>
          </w:p>
        </w:tc>
        <w:tc>
          <w:tcPr>
            <w:tcW w:w="2522" w:type="dxa"/>
          </w:tcPr>
          <w:p w:rsidR="00155793" w:rsidRPr="00155793" w:rsidRDefault="00155793" w:rsidP="00AD1934">
            <w:pPr>
              <w:cnfStyle w:val="000000100000"/>
              <w:rPr>
                <w:rFonts w:asciiTheme="minorHAnsi" w:hAnsiTheme="minorHAnsi" w:cstheme="minorHAnsi"/>
                <w:sz w:val="22"/>
                <w:szCs w:val="22"/>
              </w:rPr>
            </w:pPr>
            <w:r w:rsidRPr="00155793">
              <w:rPr>
                <w:rFonts w:asciiTheme="minorHAnsi" w:hAnsiTheme="minorHAnsi" w:cstheme="minorHAnsi"/>
                <w:sz w:val="22"/>
                <w:szCs w:val="22"/>
              </w:rPr>
              <w:t>2016</w:t>
            </w:r>
          </w:p>
        </w:tc>
      </w:tr>
      <w:tr w:rsidR="00155793" w:rsidRPr="00155793" w:rsidTr="00155793">
        <w:tc>
          <w:tcPr>
            <w:cnfStyle w:val="001000000000"/>
            <w:tcW w:w="7054" w:type="dxa"/>
          </w:tcPr>
          <w:p w:rsidR="00155793" w:rsidRPr="00155793" w:rsidRDefault="00155793" w:rsidP="00AD1934">
            <w:pPr>
              <w:rPr>
                <w:rFonts w:asciiTheme="minorHAnsi" w:hAnsiTheme="minorHAnsi" w:cstheme="minorHAnsi"/>
                <w:b w:val="0"/>
                <w:sz w:val="22"/>
                <w:szCs w:val="22"/>
              </w:rPr>
            </w:pPr>
            <w:r w:rsidRPr="00155793">
              <w:rPr>
                <w:rFonts w:asciiTheme="minorHAnsi" w:hAnsiTheme="minorHAnsi" w:cstheme="minorHAnsi"/>
                <w:b w:val="0"/>
                <w:sz w:val="22"/>
                <w:szCs w:val="22"/>
              </w:rPr>
              <w:t>Develop Protected Areas legislation and regulations including best practice and minimum standards</w:t>
            </w:r>
          </w:p>
        </w:tc>
        <w:tc>
          <w:tcPr>
            <w:tcW w:w="2522" w:type="dxa"/>
          </w:tcPr>
          <w:p w:rsidR="00155793" w:rsidRPr="00155793" w:rsidRDefault="00155793" w:rsidP="00AD1934">
            <w:pPr>
              <w:cnfStyle w:val="000000000000"/>
              <w:rPr>
                <w:rFonts w:asciiTheme="minorHAnsi" w:hAnsiTheme="minorHAnsi" w:cstheme="minorHAnsi"/>
                <w:sz w:val="22"/>
                <w:szCs w:val="22"/>
              </w:rPr>
            </w:pPr>
            <w:r w:rsidRPr="00155793">
              <w:rPr>
                <w:rFonts w:asciiTheme="minorHAnsi" w:hAnsiTheme="minorHAnsi" w:cstheme="minorHAnsi"/>
                <w:sz w:val="22"/>
                <w:szCs w:val="22"/>
              </w:rPr>
              <w:t>2012</w:t>
            </w:r>
          </w:p>
        </w:tc>
      </w:tr>
      <w:tr w:rsidR="00155793" w:rsidRPr="00155793" w:rsidTr="00155793">
        <w:trPr>
          <w:cnfStyle w:val="000000100000"/>
        </w:trPr>
        <w:tc>
          <w:tcPr>
            <w:cnfStyle w:val="001000000000"/>
            <w:tcW w:w="7054" w:type="dxa"/>
          </w:tcPr>
          <w:p w:rsidR="00155793" w:rsidRPr="00155793" w:rsidRDefault="00155793" w:rsidP="00AD1934">
            <w:pPr>
              <w:rPr>
                <w:rFonts w:asciiTheme="minorHAnsi" w:hAnsiTheme="minorHAnsi" w:cstheme="minorHAnsi"/>
                <w:b w:val="0"/>
                <w:sz w:val="22"/>
                <w:szCs w:val="22"/>
              </w:rPr>
            </w:pPr>
            <w:r w:rsidRPr="00155793">
              <w:rPr>
                <w:rFonts w:asciiTheme="minorHAnsi" w:hAnsiTheme="minorHAnsi" w:cstheme="minorHAnsi"/>
                <w:b w:val="0"/>
                <w:sz w:val="22"/>
                <w:szCs w:val="22"/>
              </w:rPr>
              <w:t>Green tax</w:t>
            </w:r>
          </w:p>
        </w:tc>
        <w:tc>
          <w:tcPr>
            <w:tcW w:w="2522" w:type="dxa"/>
          </w:tcPr>
          <w:p w:rsidR="00155793" w:rsidRPr="00155793" w:rsidRDefault="00155793" w:rsidP="00AD1934">
            <w:pPr>
              <w:cnfStyle w:val="000000100000"/>
              <w:rPr>
                <w:rFonts w:asciiTheme="minorHAnsi" w:hAnsiTheme="minorHAnsi" w:cstheme="minorHAnsi"/>
                <w:sz w:val="22"/>
                <w:szCs w:val="22"/>
              </w:rPr>
            </w:pPr>
            <w:r w:rsidRPr="00155793">
              <w:rPr>
                <w:rFonts w:asciiTheme="minorHAnsi" w:hAnsiTheme="minorHAnsi" w:cstheme="minorHAnsi"/>
                <w:sz w:val="22"/>
                <w:szCs w:val="22"/>
              </w:rPr>
              <w:t>2015</w:t>
            </w:r>
          </w:p>
        </w:tc>
      </w:tr>
      <w:tr w:rsidR="00155793" w:rsidRPr="00155793" w:rsidTr="00155793">
        <w:tc>
          <w:tcPr>
            <w:cnfStyle w:val="001000000000"/>
            <w:tcW w:w="7054" w:type="dxa"/>
          </w:tcPr>
          <w:p w:rsidR="00155793" w:rsidRPr="00155793" w:rsidRDefault="00155793" w:rsidP="00AD1934">
            <w:pPr>
              <w:rPr>
                <w:rFonts w:asciiTheme="minorHAnsi" w:hAnsiTheme="minorHAnsi" w:cstheme="minorHAnsi"/>
                <w:b w:val="0"/>
                <w:sz w:val="22"/>
                <w:szCs w:val="22"/>
              </w:rPr>
            </w:pPr>
            <w:r w:rsidRPr="00155793">
              <w:rPr>
                <w:rFonts w:asciiTheme="minorHAnsi" w:hAnsiTheme="minorHAnsi" w:cstheme="minorHAnsi"/>
                <w:b w:val="0"/>
                <w:sz w:val="22"/>
                <w:szCs w:val="22"/>
              </w:rPr>
              <w:t>Tax-benefits system for Protected Areas</w:t>
            </w:r>
          </w:p>
        </w:tc>
        <w:tc>
          <w:tcPr>
            <w:tcW w:w="2522" w:type="dxa"/>
          </w:tcPr>
          <w:p w:rsidR="00155793" w:rsidRPr="00155793" w:rsidRDefault="00155793" w:rsidP="00AD1934">
            <w:pPr>
              <w:cnfStyle w:val="000000000000"/>
              <w:rPr>
                <w:rFonts w:asciiTheme="minorHAnsi" w:hAnsiTheme="minorHAnsi" w:cstheme="minorHAnsi"/>
                <w:sz w:val="22"/>
                <w:szCs w:val="22"/>
              </w:rPr>
            </w:pPr>
            <w:r w:rsidRPr="00155793">
              <w:rPr>
                <w:rFonts w:asciiTheme="minorHAnsi" w:hAnsiTheme="minorHAnsi" w:cstheme="minorHAnsi"/>
                <w:sz w:val="22"/>
                <w:szCs w:val="22"/>
              </w:rPr>
              <w:t>2015</w:t>
            </w:r>
          </w:p>
        </w:tc>
      </w:tr>
      <w:tr w:rsidR="00155793" w:rsidRPr="00155793" w:rsidTr="00155793">
        <w:trPr>
          <w:cnfStyle w:val="000000100000"/>
        </w:trPr>
        <w:tc>
          <w:tcPr>
            <w:cnfStyle w:val="001000000000"/>
            <w:tcW w:w="7054" w:type="dxa"/>
          </w:tcPr>
          <w:p w:rsidR="00155793" w:rsidRPr="00155793" w:rsidRDefault="00155793" w:rsidP="00AD1934">
            <w:pPr>
              <w:rPr>
                <w:rFonts w:asciiTheme="minorHAnsi" w:hAnsiTheme="minorHAnsi" w:cstheme="minorHAnsi"/>
                <w:b w:val="0"/>
                <w:sz w:val="22"/>
                <w:szCs w:val="22"/>
              </w:rPr>
            </w:pPr>
            <w:r w:rsidRPr="00155793">
              <w:rPr>
                <w:rFonts w:asciiTheme="minorHAnsi" w:hAnsiTheme="minorHAnsi" w:cstheme="minorHAnsi"/>
                <w:b w:val="0"/>
                <w:sz w:val="22"/>
                <w:szCs w:val="22"/>
              </w:rPr>
              <w:t>Economic valuations for each protected area category</w:t>
            </w:r>
          </w:p>
        </w:tc>
        <w:tc>
          <w:tcPr>
            <w:tcW w:w="2522" w:type="dxa"/>
          </w:tcPr>
          <w:p w:rsidR="00155793" w:rsidRPr="00155793" w:rsidRDefault="00155793" w:rsidP="00AD1934">
            <w:pPr>
              <w:cnfStyle w:val="000000100000"/>
              <w:rPr>
                <w:rFonts w:asciiTheme="minorHAnsi" w:hAnsiTheme="minorHAnsi" w:cstheme="minorHAnsi"/>
                <w:sz w:val="22"/>
                <w:szCs w:val="22"/>
              </w:rPr>
            </w:pPr>
            <w:r w:rsidRPr="00155793">
              <w:rPr>
                <w:rFonts w:asciiTheme="minorHAnsi" w:hAnsiTheme="minorHAnsi" w:cstheme="minorHAnsi"/>
                <w:sz w:val="22"/>
                <w:szCs w:val="22"/>
              </w:rPr>
              <w:t>2015</w:t>
            </w:r>
          </w:p>
        </w:tc>
      </w:tr>
      <w:tr w:rsidR="00155793" w:rsidRPr="00155793" w:rsidTr="00155793">
        <w:tc>
          <w:tcPr>
            <w:cnfStyle w:val="001000000000"/>
            <w:tcW w:w="7054" w:type="dxa"/>
          </w:tcPr>
          <w:p w:rsidR="00155793" w:rsidRPr="00155793" w:rsidRDefault="00155793" w:rsidP="00AD1934">
            <w:pPr>
              <w:rPr>
                <w:rFonts w:asciiTheme="minorHAnsi" w:hAnsiTheme="minorHAnsi" w:cstheme="minorHAnsi"/>
                <w:b w:val="0"/>
                <w:sz w:val="22"/>
                <w:szCs w:val="22"/>
              </w:rPr>
            </w:pPr>
            <w:r w:rsidRPr="00155793">
              <w:rPr>
                <w:rFonts w:asciiTheme="minorHAnsi" w:hAnsiTheme="minorHAnsi" w:cstheme="minorHAnsi"/>
                <w:b w:val="0"/>
                <w:sz w:val="22"/>
                <w:szCs w:val="22"/>
              </w:rPr>
              <w:t>Communication strategies for protected areas</w:t>
            </w:r>
          </w:p>
        </w:tc>
        <w:tc>
          <w:tcPr>
            <w:tcW w:w="2522" w:type="dxa"/>
          </w:tcPr>
          <w:p w:rsidR="00155793" w:rsidRPr="00155793" w:rsidRDefault="00155793" w:rsidP="00AD1934">
            <w:pPr>
              <w:cnfStyle w:val="000000000000"/>
              <w:rPr>
                <w:rFonts w:asciiTheme="minorHAnsi" w:hAnsiTheme="minorHAnsi" w:cstheme="minorHAnsi"/>
                <w:sz w:val="22"/>
                <w:szCs w:val="22"/>
              </w:rPr>
            </w:pPr>
            <w:r w:rsidRPr="00155793">
              <w:rPr>
                <w:rFonts w:asciiTheme="minorHAnsi" w:hAnsiTheme="minorHAnsi" w:cstheme="minorHAnsi"/>
                <w:sz w:val="22"/>
                <w:szCs w:val="22"/>
              </w:rPr>
              <w:t>2015</w:t>
            </w:r>
          </w:p>
        </w:tc>
      </w:tr>
    </w:tbl>
    <w:p w:rsidR="00155793" w:rsidRDefault="00155793" w:rsidP="00795E6A">
      <w:pPr>
        <w:tabs>
          <w:tab w:val="left" w:pos="2186"/>
        </w:tabs>
      </w:pPr>
    </w:p>
    <w:p w:rsidR="00795E6A" w:rsidRDefault="00795E6A" w:rsidP="00795E6A">
      <w:pPr>
        <w:pStyle w:val="Heading1"/>
      </w:pPr>
      <w:r>
        <w:t>Action Plans for completing priority actions of the Programme of Work on Protected Areas</w:t>
      </w:r>
    </w:p>
    <w:p w:rsidR="00795E6A" w:rsidRDefault="00795E6A" w:rsidP="00795E6A">
      <w:pPr>
        <w:tabs>
          <w:tab w:val="left" w:pos="2186"/>
        </w:tabs>
      </w:pPr>
      <w:r>
        <w:t>(Insert detailed action plans)</w:t>
      </w:r>
    </w:p>
    <w:p w:rsidR="007D6D57" w:rsidRDefault="007D6D57" w:rsidP="007D6D57">
      <w:pPr>
        <w:pStyle w:val="Subtitle"/>
        <w:rPr>
          <w:rStyle w:val="IntenseEmphasis"/>
        </w:rPr>
      </w:pPr>
      <w:r w:rsidRPr="00795E6A">
        <w:rPr>
          <w:rStyle w:val="IntenseEmphasis"/>
        </w:rPr>
        <w:t xml:space="preserve">Action 1: </w:t>
      </w:r>
      <w:r>
        <w:rPr>
          <w:rStyle w:val="IntenseEmphasis"/>
        </w:rPr>
        <w:t>Policy Framework</w:t>
      </w:r>
    </w:p>
    <w:tbl>
      <w:tblPr>
        <w:tblStyle w:val="TableGrid"/>
        <w:tblW w:w="0" w:type="auto"/>
        <w:tblLook w:val="04A0"/>
      </w:tblPr>
      <w:tblGrid>
        <w:gridCol w:w="4428"/>
        <w:gridCol w:w="1170"/>
        <w:gridCol w:w="2160"/>
        <w:gridCol w:w="1818"/>
      </w:tblGrid>
      <w:tr w:rsidR="007D6D57" w:rsidTr="00155793">
        <w:tc>
          <w:tcPr>
            <w:tcW w:w="4428" w:type="dxa"/>
            <w:shd w:val="clear" w:color="auto" w:fill="95B3D7" w:themeFill="accent1" w:themeFillTint="99"/>
          </w:tcPr>
          <w:p w:rsidR="007D6D57" w:rsidRDefault="007D6D57" w:rsidP="00AD1934">
            <w:r>
              <w:t>Key steps</w:t>
            </w:r>
          </w:p>
        </w:tc>
        <w:tc>
          <w:tcPr>
            <w:tcW w:w="1170" w:type="dxa"/>
            <w:shd w:val="clear" w:color="auto" w:fill="95B3D7" w:themeFill="accent1" w:themeFillTint="99"/>
          </w:tcPr>
          <w:p w:rsidR="007D6D57" w:rsidRDefault="007D6D57" w:rsidP="00AD1934">
            <w:r>
              <w:t>Timelines</w:t>
            </w:r>
          </w:p>
        </w:tc>
        <w:tc>
          <w:tcPr>
            <w:tcW w:w="2160" w:type="dxa"/>
            <w:shd w:val="clear" w:color="auto" w:fill="95B3D7" w:themeFill="accent1" w:themeFillTint="99"/>
          </w:tcPr>
          <w:p w:rsidR="007D6D57" w:rsidRDefault="007D6D57" w:rsidP="00AD1934">
            <w:r>
              <w:t>Responsible Parties</w:t>
            </w:r>
          </w:p>
        </w:tc>
        <w:tc>
          <w:tcPr>
            <w:tcW w:w="1818" w:type="dxa"/>
            <w:shd w:val="clear" w:color="auto" w:fill="95B3D7" w:themeFill="accent1" w:themeFillTint="99"/>
          </w:tcPr>
          <w:p w:rsidR="007D6D57" w:rsidRDefault="007D6D57" w:rsidP="00AD1934">
            <w:r>
              <w:t>Indicative Budget</w:t>
            </w:r>
          </w:p>
        </w:tc>
      </w:tr>
      <w:tr w:rsidR="007D6D57" w:rsidTr="00AD1934">
        <w:tc>
          <w:tcPr>
            <w:tcW w:w="4428" w:type="dxa"/>
          </w:tcPr>
          <w:p w:rsidR="007D6D57" w:rsidRDefault="007D6D57" w:rsidP="00AD1934">
            <w:r>
              <w:t>Gap analysis of legal, policy and community based framework</w:t>
            </w:r>
          </w:p>
        </w:tc>
        <w:tc>
          <w:tcPr>
            <w:tcW w:w="1170" w:type="dxa"/>
          </w:tcPr>
          <w:p w:rsidR="007D6D57" w:rsidRDefault="007D6D57" w:rsidP="00AD1934">
            <w:r>
              <w:t>2011</w:t>
            </w:r>
          </w:p>
        </w:tc>
        <w:tc>
          <w:tcPr>
            <w:tcW w:w="2160" w:type="dxa"/>
          </w:tcPr>
          <w:p w:rsidR="007D6D57" w:rsidRDefault="007D6D57" w:rsidP="00AD1934">
            <w:r>
              <w:t>DoE, PAC, FELA</w:t>
            </w:r>
          </w:p>
        </w:tc>
        <w:tc>
          <w:tcPr>
            <w:tcW w:w="1818" w:type="dxa"/>
          </w:tcPr>
          <w:p w:rsidR="007D6D57" w:rsidRDefault="007D6D57" w:rsidP="00AD1934">
            <w:r>
              <w:t>$25K</w:t>
            </w:r>
          </w:p>
        </w:tc>
      </w:tr>
      <w:tr w:rsidR="007D6D57" w:rsidTr="00AD1934">
        <w:tc>
          <w:tcPr>
            <w:tcW w:w="4428" w:type="dxa"/>
          </w:tcPr>
          <w:p w:rsidR="007D6D57" w:rsidRDefault="007D6D57" w:rsidP="00AD1934">
            <w:r>
              <w:t>Conduct consultation on gap analysis findings</w:t>
            </w:r>
          </w:p>
        </w:tc>
        <w:tc>
          <w:tcPr>
            <w:tcW w:w="1170" w:type="dxa"/>
          </w:tcPr>
          <w:p w:rsidR="007D6D57" w:rsidRDefault="007D6D57" w:rsidP="00AD1934">
            <w:r>
              <w:t>2012</w:t>
            </w:r>
          </w:p>
        </w:tc>
        <w:tc>
          <w:tcPr>
            <w:tcW w:w="2160" w:type="dxa"/>
          </w:tcPr>
          <w:p w:rsidR="007D6D57" w:rsidRDefault="007D6D57" w:rsidP="00AD1934">
            <w:r>
              <w:t>DoE</w:t>
            </w:r>
          </w:p>
        </w:tc>
        <w:tc>
          <w:tcPr>
            <w:tcW w:w="1818" w:type="dxa"/>
          </w:tcPr>
          <w:p w:rsidR="007D6D57" w:rsidRDefault="007D6D57" w:rsidP="00AD1934">
            <w:r>
              <w:t>$30K</w:t>
            </w:r>
          </w:p>
        </w:tc>
      </w:tr>
      <w:tr w:rsidR="007D6D57" w:rsidTr="00AD1934">
        <w:tc>
          <w:tcPr>
            <w:tcW w:w="4428" w:type="dxa"/>
          </w:tcPr>
          <w:p w:rsidR="007D6D57" w:rsidRDefault="007D6D57" w:rsidP="00AD1934">
            <w:r>
              <w:t>Drafting and formalising of appropriate policy and legislation, including strengthening of community-based decision-making frameworks</w:t>
            </w:r>
          </w:p>
        </w:tc>
        <w:tc>
          <w:tcPr>
            <w:tcW w:w="1170" w:type="dxa"/>
          </w:tcPr>
          <w:p w:rsidR="007D6D57" w:rsidRDefault="007D6D57" w:rsidP="00AD1934">
            <w:r>
              <w:t>2012</w:t>
            </w:r>
          </w:p>
        </w:tc>
        <w:tc>
          <w:tcPr>
            <w:tcW w:w="2160" w:type="dxa"/>
          </w:tcPr>
          <w:p w:rsidR="007D6D57" w:rsidRDefault="007D6D57" w:rsidP="00AD1934">
            <w:r>
              <w:t>DoE</w:t>
            </w:r>
          </w:p>
        </w:tc>
        <w:tc>
          <w:tcPr>
            <w:tcW w:w="1818" w:type="dxa"/>
          </w:tcPr>
          <w:p w:rsidR="007D6D57" w:rsidRDefault="007D6D57" w:rsidP="00AD1934">
            <w:r>
              <w:t>$30K</w:t>
            </w:r>
          </w:p>
        </w:tc>
      </w:tr>
      <w:tr w:rsidR="007D6D57" w:rsidTr="00AD1934">
        <w:tc>
          <w:tcPr>
            <w:tcW w:w="4428" w:type="dxa"/>
          </w:tcPr>
          <w:p w:rsidR="007D6D57" w:rsidRDefault="007D6D57" w:rsidP="00AD1934">
            <w:r>
              <w:t>Awareness, training and capacity building to enable implementation and enforcement of legislation and policies</w:t>
            </w:r>
          </w:p>
        </w:tc>
        <w:tc>
          <w:tcPr>
            <w:tcW w:w="1170" w:type="dxa"/>
          </w:tcPr>
          <w:p w:rsidR="007D6D57" w:rsidRDefault="007D6D57" w:rsidP="00AD1934">
            <w:r>
              <w:t>2016</w:t>
            </w:r>
          </w:p>
        </w:tc>
        <w:tc>
          <w:tcPr>
            <w:tcW w:w="2160" w:type="dxa"/>
          </w:tcPr>
          <w:p w:rsidR="007D6D57" w:rsidRDefault="007D6D57" w:rsidP="00AD1934">
            <w:r>
              <w:t>DoE, PAC, NGOs, FELA</w:t>
            </w:r>
          </w:p>
        </w:tc>
        <w:tc>
          <w:tcPr>
            <w:tcW w:w="1818" w:type="dxa"/>
          </w:tcPr>
          <w:p w:rsidR="007D6D57" w:rsidRDefault="007D6D57" w:rsidP="00AD1934">
            <w:r>
              <w:t>$150K</w:t>
            </w:r>
          </w:p>
        </w:tc>
      </w:tr>
      <w:tr w:rsidR="007D6D57" w:rsidTr="00AD1934">
        <w:tc>
          <w:tcPr>
            <w:tcW w:w="4428" w:type="dxa"/>
          </w:tcPr>
          <w:p w:rsidR="007D6D57" w:rsidRDefault="007D6D57" w:rsidP="00AD1934">
            <w:r>
              <w:t>Formalize and finance a monitoring body</w:t>
            </w:r>
            <w:r>
              <w:rPr>
                <w:rStyle w:val="FootnoteReference"/>
              </w:rPr>
              <w:footnoteReference w:id="14"/>
            </w:r>
          </w:p>
        </w:tc>
        <w:tc>
          <w:tcPr>
            <w:tcW w:w="1170" w:type="dxa"/>
          </w:tcPr>
          <w:p w:rsidR="007D6D57" w:rsidRDefault="007D6D57" w:rsidP="00AD1934">
            <w:r>
              <w:t>2016</w:t>
            </w:r>
          </w:p>
        </w:tc>
        <w:tc>
          <w:tcPr>
            <w:tcW w:w="2160" w:type="dxa"/>
          </w:tcPr>
          <w:p w:rsidR="007D6D57" w:rsidRDefault="007D6D57" w:rsidP="00AD1934">
            <w:r>
              <w:t>DoE</w:t>
            </w:r>
          </w:p>
        </w:tc>
        <w:tc>
          <w:tcPr>
            <w:tcW w:w="1818" w:type="dxa"/>
          </w:tcPr>
          <w:p w:rsidR="007D6D57" w:rsidRDefault="007D6D57" w:rsidP="00AD1934">
            <w:r>
              <w:t>$150K</w:t>
            </w:r>
          </w:p>
        </w:tc>
      </w:tr>
    </w:tbl>
    <w:p w:rsidR="00E43C90" w:rsidRDefault="00E43C90" w:rsidP="007D6D57">
      <w:pPr>
        <w:pStyle w:val="Subtitle"/>
        <w:rPr>
          <w:rStyle w:val="IntenseEmphasis"/>
        </w:rPr>
      </w:pPr>
    </w:p>
    <w:p w:rsidR="00527ED6" w:rsidRDefault="00527ED6" w:rsidP="007D6D57">
      <w:pPr>
        <w:pStyle w:val="Subtitle"/>
        <w:rPr>
          <w:rStyle w:val="IntenseEmphasis"/>
        </w:rPr>
      </w:pPr>
      <w:r>
        <w:rPr>
          <w:rStyle w:val="IntenseEmphasis"/>
        </w:rPr>
        <w:t>Action 2: Protected Area Integration</w:t>
      </w:r>
    </w:p>
    <w:tbl>
      <w:tblPr>
        <w:tblStyle w:val="TableGrid"/>
        <w:tblW w:w="0" w:type="auto"/>
        <w:tblBorders>
          <w:top w:val="none" w:sz="0" w:space="0" w:color="auto"/>
          <w:left w:val="none" w:sz="0" w:space="0" w:color="auto"/>
          <w:bottom w:val="none" w:sz="0" w:space="0" w:color="auto"/>
          <w:right w:val="none" w:sz="0" w:space="0" w:color="auto"/>
        </w:tblBorders>
        <w:tblLook w:val="04A0"/>
      </w:tblPr>
      <w:tblGrid>
        <w:gridCol w:w="4428"/>
        <w:gridCol w:w="1170"/>
        <w:gridCol w:w="2160"/>
        <w:gridCol w:w="1818"/>
      </w:tblGrid>
      <w:tr w:rsidR="00527ED6" w:rsidTr="00527ED6">
        <w:tc>
          <w:tcPr>
            <w:tcW w:w="4428" w:type="dxa"/>
            <w:tcBorders>
              <w:top w:val="single" w:sz="8" w:space="0" w:color="auto"/>
              <w:left w:val="single" w:sz="8" w:space="0" w:color="auto"/>
              <w:bottom w:val="single" w:sz="8" w:space="0" w:color="auto"/>
              <w:right w:val="single" w:sz="8" w:space="0" w:color="auto"/>
            </w:tcBorders>
            <w:hideMark/>
          </w:tcPr>
          <w:p w:rsidR="00527ED6" w:rsidRDefault="00527ED6">
            <w:pPr>
              <w:spacing w:before="100" w:beforeAutospacing="1" w:after="100" w:afterAutospacing="1"/>
              <w:rPr>
                <w:color w:val="000000"/>
                <w:sz w:val="24"/>
                <w:szCs w:val="24"/>
              </w:rPr>
            </w:pPr>
            <w:r>
              <w:t>Key steps</w:t>
            </w:r>
          </w:p>
        </w:tc>
        <w:tc>
          <w:tcPr>
            <w:tcW w:w="1170" w:type="dxa"/>
            <w:tcBorders>
              <w:top w:val="single" w:sz="8" w:space="0" w:color="auto"/>
              <w:left w:val="nil"/>
              <w:bottom w:val="single" w:sz="8" w:space="0" w:color="auto"/>
              <w:right w:val="single" w:sz="8" w:space="0" w:color="auto"/>
            </w:tcBorders>
            <w:hideMark/>
          </w:tcPr>
          <w:p w:rsidR="00527ED6" w:rsidRDefault="00527ED6">
            <w:pPr>
              <w:spacing w:before="100" w:beforeAutospacing="1" w:after="100" w:afterAutospacing="1"/>
              <w:rPr>
                <w:color w:val="000000"/>
                <w:sz w:val="24"/>
                <w:szCs w:val="24"/>
              </w:rPr>
            </w:pPr>
            <w:r>
              <w:t>Timelines</w:t>
            </w:r>
          </w:p>
        </w:tc>
        <w:tc>
          <w:tcPr>
            <w:tcW w:w="2160" w:type="dxa"/>
            <w:tcBorders>
              <w:top w:val="single" w:sz="8" w:space="0" w:color="auto"/>
              <w:left w:val="nil"/>
              <w:bottom w:val="single" w:sz="8" w:space="0" w:color="auto"/>
              <w:right w:val="single" w:sz="8" w:space="0" w:color="auto"/>
            </w:tcBorders>
            <w:hideMark/>
          </w:tcPr>
          <w:p w:rsidR="00527ED6" w:rsidRDefault="00527ED6">
            <w:pPr>
              <w:spacing w:before="100" w:beforeAutospacing="1" w:after="100" w:afterAutospacing="1"/>
              <w:rPr>
                <w:color w:val="000000"/>
                <w:sz w:val="24"/>
                <w:szCs w:val="24"/>
              </w:rPr>
            </w:pPr>
            <w:r>
              <w:t>Responsible Parties</w:t>
            </w:r>
          </w:p>
        </w:tc>
        <w:tc>
          <w:tcPr>
            <w:tcW w:w="1818" w:type="dxa"/>
            <w:tcBorders>
              <w:top w:val="single" w:sz="8" w:space="0" w:color="auto"/>
              <w:left w:val="nil"/>
              <w:bottom w:val="single" w:sz="8" w:space="0" w:color="auto"/>
              <w:right w:val="single" w:sz="8" w:space="0" w:color="auto"/>
            </w:tcBorders>
            <w:hideMark/>
          </w:tcPr>
          <w:p w:rsidR="00527ED6" w:rsidRDefault="00527ED6">
            <w:pPr>
              <w:spacing w:before="100" w:beforeAutospacing="1" w:after="100" w:afterAutospacing="1"/>
              <w:rPr>
                <w:color w:val="000000"/>
                <w:sz w:val="24"/>
                <w:szCs w:val="24"/>
              </w:rPr>
            </w:pPr>
            <w:r>
              <w:t>Indicative Budget</w:t>
            </w:r>
          </w:p>
        </w:tc>
      </w:tr>
      <w:tr w:rsidR="00527ED6" w:rsidTr="00527ED6">
        <w:tc>
          <w:tcPr>
            <w:tcW w:w="4428" w:type="dxa"/>
            <w:tcBorders>
              <w:top w:val="nil"/>
              <w:left w:val="single" w:sz="8" w:space="0" w:color="auto"/>
              <w:bottom w:val="single" w:sz="8" w:space="0" w:color="auto"/>
              <w:right w:val="single" w:sz="8" w:space="0" w:color="auto"/>
            </w:tcBorders>
            <w:hideMark/>
          </w:tcPr>
          <w:p w:rsidR="00527ED6" w:rsidRDefault="00527ED6">
            <w:pPr>
              <w:spacing w:before="100" w:beforeAutospacing="1" w:after="100" w:afterAutospacing="1"/>
              <w:rPr>
                <w:color w:val="000000"/>
                <w:sz w:val="24"/>
                <w:szCs w:val="24"/>
              </w:rPr>
            </w:pPr>
            <w:r>
              <w:t>Host provincial level workshops to introduce concept of ICM Framework</w:t>
            </w:r>
          </w:p>
        </w:tc>
        <w:tc>
          <w:tcPr>
            <w:tcW w:w="1170" w:type="dxa"/>
            <w:tcBorders>
              <w:top w:val="nil"/>
              <w:left w:val="nil"/>
              <w:bottom w:val="single" w:sz="8" w:space="0" w:color="auto"/>
              <w:right w:val="single" w:sz="8" w:space="0" w:color="auto"/>
            </w:tcBorders>
            <w:hideMark/>
          </w:tcPr>
          <w:p w:rsidR="00527ED6" w:rsidRDefault="00527ED6">
            <w:pPr>
              <w:spacing w:before="100" w:beforeAutospacing="1" w:after="100" w:afterAutospacing="1"/>
              <w:rPr>
                <w:color w:val="000000"/>
                <w:sz w:val="24"/>
                <w:szCs w:val="24"/>
              </w:rPr>
            </w:pPr>
            <w:r>
              <w:t>2012-2014</w:t>
            </w:r>
          </w:p>
        </w:tc>
        <w:tc>
          <w:tcPr>
            <w:tcW w:w="2160" w:type="dxa"/>
            <w:tcBorders>
              <w:top w:val="nil"/>
              <w:left w:val="nil"/>
              <w:bottom w:val="single" w:sz="8" w:space="0" w:color="auto"/>
              <w:right w:val="single" w:sz="8" w:space="0" w:color="auto"/>
            </w:tcBorders>
            <w:hideMark/>
          </w:tcPr>
          <w:p w:rsidR="00527ED6" w:rsidRDefault="00527ED6">
            <w:pPr>
              <w:spacing w:before="100" w:beforeAutospacing="1" w:after="100" w:afterAutospacing="1"/>
              <w:rPr>
                <w:color w:val="000000"/>
                <w:sz w:val="24"/>
                <w:szCs w:val="24"/>
              </w:rPr>
            </w:pPr>
            <w:r>
              <w:t>DoE, ICMC, PAC, NGOs</w:t>
            </w:r>
          </w:p>
        </w:tc>
        <w:tc>
          <w:tcPr>
            <w:tcW w:w="1818" w:type="dxa"/>
            <w:tcBorders>
              <w:top w:val="nil"/>
              <w:left w:val="nil"/>
              <w:bottom w:val="single" w:sz="8" w:space="0" w:color="auto"/>
              <w:right w:val="single" w:sz="8" w:space="0" w:color="auto"/>
            </w:tcBorders>
            <w:hideMark/>
          </w:tcPr>
          <w:p w:rsidR="00527ED6" w:rsidRDefault="00527ED6">
            <w:pPr>
              <w:spacing w:before="100" w:beforeAutospacing="1" w:after="100" w:afterAutospacing="1"/>
              <w:rPr>
                <w:color w:val="000000"/>
                <w:sz w:val="24"/>
                <w:szCs w:val="24"/>
              </w:rPr>
            </w:pPr>
            <w:r>
              <w:t>$200K</w:t>
            </w:r>
          </w:p>
        </w:tc>
      </w:tr>
      <w:tr w:rsidR="00527ED6" w:rsidTr="00527ED6">
        <w:tc>
          <w:tcPr>
            <w:tcW w:w="4428" w:type="dxa"/>
            <w:tcBorders>
              <w:top w:val="nil"/>
              <w:left w:val="single" w:sz="8" w:space="0" w:color="auto"/>
              <w:bottom w:val="single" w:sz="8" w:space="0" w:color="auto"/>
              <w:right w:val="single" w:sz="8" w:space="0" w:color="auto"/>
            </w:tcBorders>
            <w:hideMark/>
          </w:tcPr>
          <w:p w:rsidR="00527ED6" w:rsidRDefault="00527ED6">
            <w:pPr>
              <w:spacing w:before="100" w:beforeAutospacing="1" w:after="100" w:afterAutospacing="1"/>
              <w:rPr>
                <w:color w:val="000000"/>
                <w:sz w:val="24"/>
                <w:szCs w:val="24"/>
              </w:rPr>
            </w:pPr>
            <w:r>
              <w:t>Consultations with landowners/TFROs and industry</w:t>
            </w:r>
          </w:p>
        </w:tc>
        <w:tc>
          <w:tcPr>
            <w:tcW w:w="1170" w:type="dxa"/>
            <w:tcBorders>
              <w:top w:val="nil"/>
              <w:left w:val="nil"/>
              <w:bottom w:val="single" w:sz="8" w:space="0" w:color="auto"/>
              <w:right w:val="single" w:sz="8" w:space="0" w:color="auto"/>
            </w:tcBorders>
            <w:hideMark/>
          </w:tcPr>
          <w:p w:rsidR="00527ED6" w:rsidRDefault="00527ED6">
            <w:pPr>
              <w:spacing w:before="100" w:beforeAutospacing="1" w:after="100" w:afterAutospacing="1"/>
              <w:rPr>
                <w:color w:val="000000"/>
                <w:sz w:val="24"/>
                <w:szCs w:val="24"/>
              </w:rPr>
            </w:pPr>
            <w:r>
              <w:t>2012-2015</w:t>
            </w:r>
          </w:p>
        </w:tc>
        <w:tc>
          <w:tcPr>
            <w:tcW w:w="2160" w:type="dxa"/>
            <w:tcBorders>
              <w:top w:val="nil"/>
              <w:left w:val="nil"/>
              <w:bottom w:val="single" w:sz="8" w:space="0" w:color="auto"/>
              <w:right w:val="single" w:sz="8" w:space="0" w:color="auto"/>
            </w:tcBorders>
            <w:hideMark/>
          </w:tcPr>
          <w:p w:rsidR="00527ED6" w:rsidRDefault="00527ED6">
            <w:pPr>
              <w:spacing w:before="100" w:beforeAutospacing="1" w:after="100" w:afterAutospacing="1"/>
              <w:rPr>
                <w:color w:val="000000"/>
                <w:sz w:val="24"/>
                <w:szCs w:val="24"/>
              </w:rPr>
            </w:pPr>
            <w:r>
              <w:t>DoE, ICMC, PAC, NGOs</w:t>
            </w:r>
          </w:p>
        </w:tc>
        <w:tc>
          <w:tcPr>
            <w:tcW w:w="1818" w:type="dxa"/>
            <w:tcBorders>
              <w:top w:val="nil"/>
              <w:left w:val="nil"/>
              <w:bottom w:val="single" w:sz="8" w:space="0" w:color="auto"/>
              <w:right w:val="single" w:sz="8" w:space="0" w:color="auto"/>
            </w:tcBorders>
            <w:hideMark/>
          </w:tcPr>
          <w:p w:rsidR="00527ED6" w:rsidRDefault="00527ED6">
            <w:pPr>
              <w:spacing w:before="100" w:beforeAutospacing="1" w:after="100" w:afterAutospacing="1"/>
              <w:rPr>
                <w:color w:val="000000"/>
                <w:sz w:val="24"/>
                <w:szCs w:val="24"/>
              </w:rPr>
            </w:pPr>
            <w:r>
              <w:t>$300K</w:t>
            </w:r>
          </w:p>
        </w:tc>
      </w:tr>
      <w:tr w:rsidR="00527ED6" w:rsidTr="00527ED6">
        <w:tc>
          <w:tcPr>
            <w:tcW w:w="4428" w:type="dxa"/>
            <w:tcBorders>
              <w:top w:val="nil"/>
              <w:left w:val="single" w:sz="8" w:space="0" w:color="auto"/>
              <w:bottom w:val="single" w:sz="8" w:space="0" w:color="auto"/>
              <w:right w:val="single" w:sz="8" w:space="0" w:color="auto"/>
            </w:tcBorders>
            <w:hideMark/>
          </w:tcPr>
          <w:p w:rsidR="00527ED6" w:rsidRDefault="00527ED6">
            <w:pPr>
              <w:spacing w:before="100" w:beforeAutospacing="1" w:after="100" w:afterAutospacing="1"/>
              <w:rPr>
                <w:color w:val="000000"/>
                <w:sz w:val="24"/>
                <w:szCs w:val="24"/>
              </w:rPr>
            </w:pPr>
            <w:r>
              <w:t>Establish management arrangements for Viti Levu forest corridors</w:t>
            </w:r>
          </w:p>
        </w:tc>
        <w:tc>
          <w:tcPr>
            <w:tcW w:w="1170" w:type="dxa"/>
            <w:tcBorders>
              <w:top w:val="nil"/>
              <w:left w:val="nil"/>
              <w:bottom w:val="single" w:sz="8" w:space="0" w:color="auto"/>
              <w:right w:val="single" w:sz="8" w:space="0" w:color="auto"/>
            </w:tcBorders>
            <w:hideMark/>
          </w:tcPr>
          <w:p w:rsidR="00527ED6" w:rsidRDefault="00527ED6">
            <w:pPr>
              <w:spacing w:before="100" w:beforeAutospacing="1" w:after="100" w:afterAutospacing="1"/>
              <w:rPr>
                <w:color w:val="000000"/>
                <w:sz w:val="24"/>
                <w:szCs w:val="24"/>
              </w:rPr>
            </w:pPr>
            <w:r>
              <w:t>2015</w:t>
            </w:r>
          </w:p>
        </w:tc>
        <w:tc>
          <w:tcPr>
            <w:tcW w:w="2160" w:type="dxa"/>
            <w:tcBorders>
              <w:top w:val="nil"/>
              <w:left w:val="nil"/>
              <w:bottom w:val="single" w:sz="8" w:space="0" w:color="auto"/>
              <w:right w:val="single" w:sz="8" w:space="0" w:color="auto"/>
            </w:tcBorders>
            <w:hideMark/>
          </w:tcPr>
          <w:p w:rsidR="00527ED6" w:rsidRDefault="00527ED6">
            <w:pPr>
              <w:spacing w:before="100" w:beforeAutospacing="1" w:after="100" w:afterAutospacing="1"/>
              <w:rPr>
                <w:color w:val="000000"/>
                <w:sz w:val="24"/>
                <w:szCs w:val="24"/>
              </w:rPr>
            </w:pPr>
            <w:r>
              <w:t>DoE, CI, NTF</w:t>
            </w:r>
          </w:p>
        </w:tc>
        <w:tc>
          <w:tcPr>
            <w:tcW w:w="1818" w:type="dxa"/>
            <w:tcBorders>
              <w:top w:val="nil"/>
              <w:left w:val="nil"/>
              <w:bottom w:val="single" w:sz="8" w:space="0" w:color="auto"/>
              <w:right w:val="single" w:sz="8" w:space="0" w:color="auto"/>
            </w:tcBorders>
            <w:hideMark/>
          </w:tcPr>
          <w:p w:rsidR="00527ED6" w:rsidRDefault="00527ED6">
            <w:pPr>
              <w:spacing w:before="100" w:beforeAutospacing="1" w:after="100" w:afterAutospacing="1"/>
              <w:rPr>
                <w:color w:val="000000"/>
                <w:sz w:val="24"/>
                <w:szCs w:val="24"/>
              </w:rPr>
            </w:pPr>
            <w:r>
              <w:t>$300K</w:t>
            </w:r>
          </w:p>
        </w:tc>
      </w:tr>
      <w:tr w:rsidR="00527ED6" w:rsidTr="00527ED6">
        <w:tc>
          <w:tcPr>
            <w:tcW w:w="4428" w:type="dxa"/>
            <w:tcBorders>
              <w:top w:val="nil"/>
              <w:left w:val="single" w:sz="8" w:space="0" w:color="auto"/>
              <w:bottom w:val="single" w:sz="8" w:space="0" w:color="auto"/>
              <w:right w:val="single" w:sz="8" w:space="0" w:color="auto"/>
            </w:tcBorders>
            <w:hideMark/>
          </w:tcPr>
          <w:p w:rsidR="00527ED6" w:rsidRDefault="00527ED6">
            <w:pPr>
              <w:spacing w:before="100" w:beforeAutospacing="1" w:after="100" w:afterAutospacing="1"/>
              <w:rPr>
                <w:color w:val="000000"/>
                <w:sz w:val="24"/>
                <w:szCs w:val="24"/>
              </w:rPr>
            </w:pPr>
            <w:r>
              <w:t>Establish provincial-level zoning plans</w:t>
            </w:r>
          </w:p>
        </w:tc>
        <w:tc>
          <w:tcPr>
            <w:tcW w:w="1170" w:type="dxa"/>
            <w:tcBorders>
              <w:top w:val="nil"/>
              <w:left w:val="nil"/>
              <w:bottom w:val="single" w:sz="8" w:space="0" w:color="auto"/>
              <w:right w:val="single" w:sz="8" w:space="0" w:color="auto"/>
            </w:tcBorders>
            <w:hideMark/>
          </w:tcPr>
          <w:p w:rsidR="00527ED6" w:rsidRDefault="00527ED6">
            <w:pPr>
              <w:spacing w:before="100" w:beforeAutospacing="1" w:after="100" w:afterAutospacing="1"/>
              <w:rPr>
                <w:color w:val="000000"/>
                <w:sz w:val="24"/>
                <w:szCs w:val="24"/>
              </w:rPr>
            </w:pPr>
            <w:r>
              <w:t>2016</w:t>
            </w:r>
          </w:p>
        </w:tc>
        <w:tc>
          <w:tcPr>
            <w:tcW w:w="2160" w:type="dxa"/>
            <w:tcBorders>
              <w:top w:val="nil"/>
              <w:left w:val="nil"/>
              <w:bottom w:val="single" w:sz="8" w:space="0" w:color="auto"/>
              <w:right w:val="single" w:sz="8" w:space="0" w:color="auto"/>
            </w:tcBorders>
            <w:hideMark/>
          </w:tcPr>
          <w:p w:rsidR="00527ED6" w:rsidRDefault="00527ED6">
            <w:pPr>
              <w:spacing w:before="100" w:beforeAutospacing="1" w:after="100" w:afterAutospacing="1"/>
              <w:rPr>
                <w:color w:val="000000"/>
                <w:sz w:val="24"/>
                <w:szCs w:val="24"/>
              </w:rPr>
            </w:pPr>
            <w:r>
              <w:t>DoE, ICMC, NGOs</w:t>
            </w:r>
          </w:p>
        </w:tc>
        <w:tc>
          <w:tcPr>
            <w:tcW w:w="1818" w:type="dxa"/>
            <w:tcBorders>
              <w:top w:val="nil"/>
              <w:left w:val="nil"/>
              <w:bottom w:val="single" w:sz="8" w:space="0" w:color="auto"/>
              <w:right w:val="single" w:sz="8" w:space="0" w:color="auto"/>
            </w:tcBorders>
            <w:hideMark/>
          </w:tcPr>
          <w:p w:rsidR="00527ED6" w:rsidRDefault="00527ED6">
            <w:pPr>
              <w:spacing w:before="100" w:beforeAutospacing="1" w:after="100" w:afterAutospacing="1"/>
              <w:rPr>
                <w:color w:val="000000"/>
                <w:sz w:val="24"/>
                <w:szCs w:val="24"/>
              </w:rPr>
            </w:pPr>
            <w:r>
              <w:t>$30K</w:t>
            </w:r>
          </w:p>
        </w:tc>
      </w:tr>
      <w:tr w:rsidR="00527ED6" w:rsidTr="00527ED6">
        <w:tc>
          <w:tcPr>
            <w:tcW w:w="4428" w:type="dxa"/>
            <w:tcBorders>
              <w:top w:val="nil"/>
              <w:left w:val="single" w:sz="8" w:space="0" w:color="auto"/>
              <w:bottom w:val="single" w:sz="8" w:space="0" w:color="auto"/>
              <w:right w:val="single" w:sz="8" w:space="0" w:color="auto"/>
            </w:tcBorders>
            <w:hideMark/>
          </w:tcPr>
          <w:p w:rsidR="00527ED6" w:rsidRDefault="00527ED6">
            <w:pPr>
              <w:spacing w:before="100" w:beforeAutospacing="1" w:after="100" w:afterAutospacing="1"/>
              <w:rPr>
                <w:color w:val="000000"/>
                <w:sz w:val="24"/>
                <w:szCs w:val="24"/>
              </w:rPr>
            </w:pPr>
            <w:r>
              <w:t>Formalize and finance a body to oversee development in the coastal zone, including capacity building for assessing adherence of proposals to ICM plans and Environment Management Act regulations</w:t>
            </w:r>
          </w:p>
        </w:tc>
        <w:tc>
          <w:tcPr>
            <w:tcW w:w="1170" w:type="dxa"/>
            <w:tcBorders>
              <w:top w:val="nil"/>
              <w:left w:val="nil"/>
              <w:bottom w:val="single" w:sz="8" w:space="0" w:color="auto"/>
              <w:right w:val="single" w:sz="8" w:space="0" w:color="auto"/>
            </w:tcBorders>
            <w:hideMark/>
          </w:tcPr>
          <w:p w:rsidR="00527ED6" w:rsidRDefault="00527ED6">
            <w:pPr>
              <w:spacing w:before="100" w:beforeAutospacing="1" w:after="100" w:afterAutospacing="1"/>
              <w:rPr>
                <w:color w:val="000000"/>
                <w:sz w:val="24"/>
                <w:szCs w:val="24"/>
              </w:rPr>
            </w:pPr>
            <w:r>
              <w:t>2016</w:t>
            </w:r>
          </w:p>
        </w:tc>
        <w:tc>
          <w:tcPr>
            <w:tcW w:w="2160" w:type="dxa"/>
            <w:tcBorders>
              <w:top w:val="nil"/>
              <w:left w:val="nil"/>
              <w:bottom w:val="single" w:sz="8" w:space="0" w:color="auto"/>
              <w:right w:val="single" w:sz="8" w:space="0" w:color="auto"/>
            </w:tcBorders>
            <w:hideMark/>
          </w:tcPr>
          <w:p w:rsidR="00527ED6" w:rsidRDefault="00527ED6">
            <w:pPr>
              <w:spacing w:before="100" w:beforeAutospacing="1" w:after="100" w:afterAutospacing="1"/>
              <w:rPr>
                <w:color w:val="000000"/>
                <w:sz w:val="24"/>
                <w:szCs w:val="24"/>
              </w:rPr>
            </w:pPr>
            <w:r>
              <w:t>DoE, ICMC</w:t>
            </w:r>
          </w:p>
        </w:tc>
        <w:tc>
          <w:tcPr>
            <w:tcW w:w="1818" w:type="dxa"/>
            <w:tcBorders>
              <w:top w:val="nil"/>
              <w:left w:val="nil"/>
              <w:bottom w:val="single" w:sz="8" w:space="0" w:color="auto"/>
              <w:right w:val="single" w:sz="8" w:space="0" w:color="auto"/>
            </w:tcBorders>
            <w:hideMark/>
          </w:tcPr>
          <w:p w:rsidR="00527ED6" w:rsidRDefault="00527ED6">
            <w:pPr>
              <w:spacing w:before="100" w:beforeAutospacing="1" w:after="100" w:afterAutospacing="1"/>
              <w:rPr>
                <w:color w:val="000000"/>
                <w:sz w:val="24"/>
                <w:szCs w:val="24"/>
              </w:rPr>
            </w:pPr>
            <w:r>
              <w:t>$50</w:t>
            </w:r>
          </w:p>
        </w:tc>
      </w:tr>
    </w:tbl>
    <w:p w:rsidR="00527ED6" w:rsidRDefault="00527ED6" w:rsidP="00527ED6">
      <w:pPr>
        <w:spacing w:before="100" w:beforeAutospacing="1" w:after="100" w:afterAutospacing="1"/>
        <w:rPr>
          <w:color w:val="000000"/>
        </w:rPr>
      </w:pPr>
      <w:r>
        <w:rPr>
          <w:b/>
          <w:bCs/>
        </w:rPr>
        <w:t> </w:t>
      </w:r>
    </w:p>
    <w:p w:rsidR="007D6D57" w:rsidRPr="00795E6A" w:rsidRDefault="00527ED6" w:rsidP="007D6D57">
      <w:pPr>
        <w:pStyle w:val="Subtitle"/>
        <w:rPr>
          <w:rStyle w:val="IntenseEmphasis"/>
        </w:rPr>
      </w:pPr>
      <w:r>
        <w:rPr>
          <w:rStyle w:val="IntenseEmphasis"/>
        </w:rPr>
        <w:t>Action 3</w:t>
      </w:r>
      <w:r w:rsidR="007D6D57" w:rsidRPr="00795E6A">
        <w:rPr>
          <w:rStyle w:val="IntenseEmphasis"/>
        </w:rPr>
        <w:t xml:space="preserve">: </w:t>
      </w:r>
      <w:r w:rsidR="007D6D57">
        <w:rPr>
          <w:rStyle w:val="IntenseEmphasis"/>
        </w:rPr>
        <w:t>Valuation</w:t>
      </w:r>
    </w:p>
    <w:tbl>
      <w:tblPr>
        <w:tblStyle w:val="TableGrid"/>
        <w:tblW w:w="0" w:type="auto"/>
        <w:tblLook w:val="04A0"/>
      </w:tblPr>
      <w:tblGrid>
        <w:gridCol w:w="4428"/>
        <w:gridCol w:w="1170"/>
        <w:gridCol w:w="2160"/>
        <w:gridCol w:w="1818"/>
      </w:tblGrid>
      <w:tr w:rsidR="007D6D57" w:rsidRPr="00E43C90" w:rsidTr="00E43C90">
        <w:tc>
          <w:tcPr>
            <w:tcW w:w="4428" w:type="dxa"/>
            <w:shd w:val="clear" w:color="auto" w:fill="548DD4" w:themeFill="text2" w:themeFillTint="99"/>
          </w:tcPr>
          <w:p w:rsidR="007D6D57" w:rsidRPr="00E43C90" w:rsidRDefault="007D6D57" w:rsidP="00AD1934">
            <w:pPr>
              <w:rPr>
                <w:b/>
                <w:color w:val="FFFFFF" w:themeColor="background1"/>
              </w:rPr>
            </w:pPr>
            <w:r w:rsidRPr="00E43C90">
              <w:rPr>
                <w:b/>
                <w:color w:val="FFFFFF" w:themeColor="background1"/>
              </w:rPr>
              <w:t>Key steps</w:t>
            </w:r>
          </w:p>
        </w:tc>
        <w:tc>
          <w:tcPr>
            <w:tcW w:w="1170" w:type="dxa"/>
            <w:shd w:val="clear" w:color="auto" w:fill="548DD4" w:themeFill="text2" w:themeFillTint="99"/>
          </w:tcPr>
          <w:p w:rsidR="007D6D57" w:rsidRPr="00E43C90" w:rsidRDefault="007D6D57" w:rsidP="00AD1934">
            <w:pPr>
              <w:rPr>
                <w:b/>
                <w:color w:val="FFFFFF" w:themeColor="background1"/>
              </w:rPr>
            </w:pPr>
            <w:r w:rsidRPr="00E43C90">
              <w:rPr>
                <w:b/>
                <w:color w:val="FFFFFF" w:themeColor="background1"/>
              </w:rPr>
              <w:t>Timelines</w:t>
            </w:r>
          </w:p>
        </w:tc>
        <w:tc>
          <w:tcPr>
            <w:tcW w:w="2160" w:type="dxa"/>
            <w:shd w:val="clear" w:color="auto" w:fill="548DD4" w:themeFill="text2" w:themeFillTint="99"/>
          </w:tcPr>
          <w:p w:rsidR="007D6D57" w:rsidRPr="00E43C90" w:rsidRDefault="007D6D57" w:rsidP="00AD1934">
            <w:pPr>
              <w:rPr>
                <w:b/>
                <w:color w:val="FFFFFF" w:themeColor="background1"/>
              </w:rPr>
            </w:pPr>
            <w:r w:rsidRPr="00E43C90">
              <w:rPr>
                <w:b/>
                <w:color w:val="FFFFFF" w:themeColor="background1"/>
              </w:rPr>
              <w:t>Responsible Parties</w:t>
            </w:r>
          </w:p>
        </w:tc>
        <w:tc>
          <w:tcPr>
            <w:tcW w:w="1818" w:type="dxa"/>
            <w:shd w:val="clear" w:color="auto" w:fill="548DD4" w:themeFill="text2" w:themeFillTint="99"/>
          </w:tcPr>
          <w:p w:rsidR="007D6D57" w:rsidRPr="00E43C90" w:rsidRDefault="007D6D57" w:rsidP="00AD1934">
            <w:pPr>
              <w:rPr>
                <w:b/>
                <w:color w:val="FFFFFF" w:themeColor="background1"/>
              </w:rPr>
            </w:pPr>
            <w:r w:rsidRPr="00E43C90">
              <w:rPr>
                <w:b/>
                <w:color w:val="FFFFFF" w:themeColor="background1"/>
              </w:rPr>
              <w:t>Indicative Budget</w:t>
            </w:r>
          </w:p>
        </w:tc>
      </w:tr>
      <w:tr w:rsidR="007D6D57" w:rsidTr="00AD1934">
        <w:tc>
          <w:tcPr>
            <w:tcW w:w="4428" w:type="dxa"/>
          </w:tcPr>
          <w:p w:rsidR="007D6D57" w:rsidRDefault="007D6D57" w:rsidP="00AD1934">
            <w:r>
              <w:t>Develop a policy framework and criteria for valuation of natural resources in Fiji</w:t>
            </w:r>
          </w:p>
        </w:tc>
        <w:tc>
          <w:tcPr>
            <w:tcW w:w="1170" w:type="dxa"/>
          </w:tcPr>
          <w:p w:rsidR="007D6D57" w:rsidRDefault="007D6D57" w:rsidP="00AD1934">
            <w:r>
              <w:t>2012</w:t>
            </w:r>
          </w:p>
        </w:tc>
        <w:tc>
          <w:tcPr>
            <w:tcW w:w="2160" w:type="dxa"/>
          </w:tcPr>
          <w:p w:rsidR="007D6D57" w:rsidRDefault="007D6D57" w:rsidP="00AD1934">
            <w:r>
              <w:t>DoE, PREEN, SPC, IUCN, CI, USP</w:t>
            </w:r>
          </w:p>
        </w:tc>
        <w:tc>
          <w:tcPr>
            <w:tcW w:w="1818" w:type="dxa"/>
          </w:tcPr>
          <w:p w:rsidR="007D6D57" w:rsidRDefault="007D6D57" w:rsidP="00AD1934">
            <w:r>
              <w:t>$20K</w:t>
            </w:r>
          </w:p>
        </w:tc>
      </w:tr>
      <w:tr w:rsidR="007D6D57" w:rsidTr="00AD1934">
        <w:tc>
          <w:tcPr>
            <w:tcW w:w="4428" w:type="dxa"/>
          </w:tcPr>
          <w:p w:rsidR="007D6D57" w:rsidRDefault="007D6D57" w:rsidP="00AD1934">
            <w:r>
              <w:t>Conduct training on evaluation process</w:t>
            </w:r>
          </w:p>
        </w:tc>
        <w:tc>
          <w:tcPr>
            <w:tcW w:w="1170" w:type="dxa"/>
          </w:tcPr>
          <w:p w:rsidR="007D6D57" w:rsidRDefault="007D6D57" w:rsidP="00AD1934">
            <w:r>
              <w:t>2014</w:t>
            </w:r>
          </w:p>
        </w:tc>
        <w:tc>
          <w:tcPr>
            <w:tcW w:w="2160" w:type="dxa"/>
          </w:tcPr>
          <w:p w:rsidR="007D6D57" w:rsidRDefault="007D6D57" w:rsidP="00AD1934">
            <w:r>
              <w:t>DoE, PREEN, SPC, IUCN, CI, USP</w:t>
            </w:r>
          </w:p>
        </w:tc>
        <w:tc>
          <w:tcPr>
            <w:tcW w:w="1818" w:type="dxa"/>
          </w:tcPr>
          <w:p w:rsidR="007D6D57" w:rsidRDefault="007D6D57" w:rsidP="00AD1934">
            <w:r>
              <w:t>$50K</w:t>
            </w:r>
          </w:p>
        </w:tc>
      </w:tr>
      <w:tr w:rsidR="007D6D57" w:rsidTr="00AD1934">
        <w:tc>
          <w:tcPr>
            <w:tcW w:w="4428" w:type="dxa"/>
          </w:tcPr>
          <w:p w:rsidR="007D6D57" w:rsidRDefault="007D6D57" w:rsidP="00AD1934">
            <w:r>
              <w:t>Implement case studies</w:t>
            </w:r>
          </w:p>
        </w:tc>
        <w:tc>
          <w:tcPr>
            <w:tcW w:w="1170" w:type="dxa"/>
          </w:tcPr>
          <w:p w:rsidR="007D6D57" w:rsidRDefault="007D6D57" w:rsidP="00AD1934">
            <w:r>
              <w:t>2015</w:t>
            </w:r>
          </w:p>
        </w:tc>
        <w:tc>
          <w:tcPr>
            <w:tcW w:w="2160" w:type="dxa"/>
          </w:tcPr>
          <w:p w:rsidR="007D6D57" w:rsidRDefault="007D6D57" w:rsidP="00AD1934">
            <w:r>
              <w:t>People who get trained</w:t>
            </w:r>
          </w:p>
        </w:tc>
        <w:tc>
          <w:tcPr>
            <w:tcW w:w="1818" w:type="dxa"/>
          </w:tcPr>
          <w:p w:rsidR="007D6D57" w:rsidRDefault="007D6D57" w:rsidP="00AD1934">
            <w:r>
              <w:t>$160K</w:t>
            </w:r>
          </w:p>
        </w:tc>
      </w:tr>
    </w:tbl>
    <w:p w:rsidR="004E0F96" w:rsidRDefault="004E0F96" w:rsidP="004E0F96">
      <w:pPr>
        <w:rPr>
          <w:rFonts w:asciiTheme="majorHAnsi" w:eastAsiaTheme="majorEastAsia" w:hAnsiTheme="majorHAnsi" w:cstheme="majorBidi"/>
          <w:color w:val="17365D" w:themeColor="text2" w:themeShade="BF"/>
          <w:spacing w:val="5"/>
          <w:kern w:val="28"/>
          <w:sz w:val="52"/>
          <w:szCs w:val="52"/>
        </w:rPr>
      </w:pPr>
      <w:r>
        <w:br w:type="page"/>
      </w:r>
    </w:p>
    <w:p w:rsidR="00795E6A" w:rsidRDefault="00795E6A" w:rsidP="00795E6A">
      <w:pPr>
        <w:pStyle w:val="Title"/>
      </w:pPr>
      <w:r>
        <w:t>Key assessment results</w:t>
      </w:r>
    </w:p>
    <w:p w:rsidR="00795E6A" w:rsidRDefault="00795E6A" w:rsidP="00795E6A">
      <w:pPr>
        <w:tabs>
          <w:tab w:val="left" w:pos="2186"/>
        </w:tabs>
      </w:pPr>
      <w:r w:rsidRPr="005168A6">
        <w:rPr>
          <w:rStyle w:val="Heading1Char"/>
        </w:rPr>
        <w:t>Ecological gap assessment</w:t>
      </w:r>
      <w:r>
        <w:t xml:space="preserve"> (insert summary findings if available)</w:t>
      </w:r>
    </w:p>
    <w:p w:rsidR="009446B3" w:rsidRPr="00494FFC" w:rsidRDefault="009446B3" w:rsidP="009446B3">
      <w:pPr>
        <w:autoSpaceDE w:val="0"/>
        <w:autoSpaceDN w:val="0"/>
        <w:adjustRightInd w:val="0"/>
        <w:jc w:val="both"/>
        <w:rPr>
          <w:color w:val="000000"/>
        </w:rPr>
      </w:pPr>
      <w:r>
        <w:rPr>
          <w:color w:val="000000"/>
        </w:rPr>
        <w:t>Information on gap analysis  is drawn from  the report  “ Filling the gaps :identifying candidate sites to expand Fiji’s national protected area network”</w:t>
      </w:r>
      <w:r>
        <w:rPr>
          <w:rStyle w:val="FootnoteReference"/>
          <w:color w:val="000000"/>
        </w:rPr>
        <w:footnoteReference w:id="15"/>
      </w:r>
      <w:r>
        <w:rPr>
          <w:color w:val="000000"/>
        </w:rPr>
        <w:t xml:space="preserve">, of the UNDP/GEF Early action grant Project  and a grant </w:t>
      </w:r>
      <w:r w:rsidRPr="00494FFC">
        <w:rPr>
          <w:color w:val="000000"/>
        </w:rPr>
        <w:t>For Fiji, where comprehensive distribution data is not available for most species or species assemblages, habitats represent a good proxy and there is reasonable spatial information on a number of different terrestrial and marine habitat types.</w:t>
      </w:r>
    </w:p>
    <w:p w:rsidR="009446B3" w:rsidRPr="00494FFC" w:rsidRDefault="009446B3" w:rsidP="009446B3">
      <w:pPr>
        <w:autoSpaceDE w:val="0"/>
        <w:autoSpaceDN w:val="0"/>
        <w:adjustRightInd w:val="0"/>
        <w:jc w:val="both"/>
        <w:rPr>
          <w:b/>
          <w:bCs/>
        </w:rPr>
      </w:pPr>
      <w:r w:rsidRPr="00494FFC">
        <w:rPr>
          <w:b/>
          <w:bCs/>
        </w:rPr>
        <w:t>Terrestrial</w:t>
      </w:r>
    </w:p>
    <w:p w:rsidR="009446B3" w:rsidRDefault="009446B3" w:rsidP="009446B3">
      <w:pPr>
        <w:autoSpaceDE w:val="0"/>
        <w:autoSpaceDN w:val="0"/>
        <w:adjustRightInd w:val="0"/>
        <w:jc w:val="both"/>
        <w:rPr>
          <w:color w:val="000000"/>
        </w:rPr>
      </w:pPr>
      <w:r w:rsidRPr="00494FFC">
        <w:rPr>
          <w:color w:val="000000"/>
        </w:rPr>
        <w:t>The terrestrial working group for the PAC is composed of representatives from the University of</w:t>
      </w:r>
      <w:r>
        <w:rPr>
          <w:color w:val="000000"/>
        </w:rPr>
        <w:t xml:space="preserve"> </w:t>
      </w:r>
      <w:r w:rsidRPr="00494FFC">
        <w:rPr>
          <w:color w:val="000000"/>
        </w:rPr>
        <w:t xml:space="preserve">the South Pacific (USP) Herbarium, Conservation International (CI), National Trust of Fiji (NTF), BirdLife International and NatureFiji/Mareqeti Viti. In setting the terrestrial habitat targets for </w:t>
      </w:r>
      <w:smartTag w:uri="urn:schemas-microsoft-com:office:smarttags" w:element="country-region">
        <w:r w:rsidRPr="00494FFC">
          <w:rPr>
            <w:color w:val="000000"/>
          </w:rPr>
          <w:t>Fiji</w:t>
        </w:r>
      </w:smartTag>
      <w:r w:rsidRPr="00494FFC">
        <w:rPr>
          <w:color w:val="000000"/>
        </w:rPr>
        <w:t xml:space="preserve">, the working group chose to follow the recognized principle vegetation types for </w:t>
      </w:r>
      <w:smartTag w:uri="urn:schemas-microsoft-com:office:smarttags" w:element="country-region">
        <w:smartTag w:uri="urn:schemas-microsoft-com:office:smarttags" w:element="place">
          <w:r w:rsidRPr="00494FFC">
            <w:rPr>
              <w:color w:val="000000"/>
            </w:rPr>
            <w:t>Fiji</w:t>
          </w:r>
        </w:smartTag>
      </w:smartTag>
      <w:r w:rsidRPr="00494FFC">
        <w:rPr>
          <w:color w:val="000000"/>
        </w:rPr>
        <w:t xml:space="preserve"> proposed by (Mueller</w:t>
      </w:r>
      <w:r w:rsidRPr="00494FFC">
        <w:rPr>
          <w:rFonts w:ascii="Calibri" w:hAnsi="Calibri"/>
          <w:color w:val="000000"/>
        </w:rPr>
        <w:t>‐</w:t>
      </w:r>
      <w:r w:rsidRPr="00494FFC">
        <w:rPr>
          <w:color w:val="000000"/>
        </w:rPr>
        <w:t>Dombois and Fosberg 1998). These include: lowland rainforest; upland rainforest; cloud/montane forest; dry forest; talasiga vegetation; freshwater wetland vegetation (e.g. peat and sago swamp); mangrove forest and scrub; coastal strand vegetation (including coastal littoral forests); and smaller island vegetation (Mueller</w:t>
      </w:r>
      <w:r w:rsidRPr="00494FFC">
        <w:rPr>
          <w:rFonts w:ascii="Calibri" w:hAnsi="Calibri"/>
          <w:color w:val="000000"/>
        </w:rPr>
        <w:t>‐</w:t>
      </w:r>
      <w:r w:rsidRPr="00494FFC">
        <w:rPr>
          <w:color w:val="000000"/>
        </w:rPr>
        <w:t>Dombois and Fosberg 1998). The list was later modified to include karst forests on uplifted limestone (Table 1).</w:t>
      </w:r>
    </w:p>
    <w:p w:rsidR="009446B3" w:rsidRPr="00494FFC" w:rsidRDefault="009446B3" w:rsidP="009446B3">
      <w:pPr>
        <w:autoSpaceDE w:val="0"/>
        <w:autoSpaceDN w:val="0"/>
        <w:adjustRightInd w:val="0"/>
        <w:jc w:val="both"/>
        <w:rPr>
          <w:color w:val="000000"/>
        </w:rPr>
      </w:pPr>
      <w:r w:rsidRPr="00494FFC">
        <w:rPr>
          <w:color w:val="000000"/>
        </w:rPr>
        <w:t>Mangroves were considered in the marine gap analysis. The working group arrived at the percentage targets for protection and management through consensus among members. The 100% protection targets for remaining upland rainforest, cloud/montane forest, dry forest, freshwater wetland vegetation, and coastal strand vegetation reflects their current rarity due to anthropogenic habitat modification.</w:t>
      </w:r>
    </w:p>
    <w:p w:rsidR="009446B3" w:rsidRPr="00B62E83" w:rsidRDefault="009446B3" w:rsidP="009446B3">
      <w:pPr>
        <w:autoSpaceDE w:val="0"/>
        <w:autoSpaceDN w:val="0"/>
        <w:adjustRightInd w:val="0"/>
        <w:jc w:val="both"/>
        <w:rPr>
          <w:color w:val="000000"/>
        </w:rPr>
      </w:pPr>
      <w:r w:rsidRPr="00B62E83">
        <w:rPr>
          <w:color w:val="000000"/>
        </w:rPr>
        <w:t>Table 1. Principle vegetation types of Fiji (modified from Mueller</w:t>
      </w:r>
      <w:r w:rsidRPr="00B62E83">
        <w:rPr>
          <w:rFonts w:ascii="Calibri" w:hAnsi="Calibri"/>
          <w:color w:val="000000"/>
        </w:rPr>
        <w:t>‐</w:t>
      </w:r>
      <w:r w:rsidRPr="00B62E83">
        <w:rPr>
          <w:color w:val="000000"/>
        </w:rPr>
        <w:t>Dombois and Fosberg 1998) with habitat targets and definitions.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1"/>
        <w:gridCol w:w="1561"/>
        <w:gridCol w:w="1885"/>
        <w:gridCol w:w="4009"/>
      </w:tblGrid>
      <w:tr w:rsidR="009446B3" w:rsidRPr="00155793" w:rsidTr="00155793">
        <w:tc>
          <w:tcPr>
            <w:tcW w:w="1108" w:type="pct"/>
            <w:shd w:val="clear" w:color="auto" w:fill="548DD4" w:themeFill="text2" w:themeFillTint="99"/>
          </w:tcPr>
          <w:p w:rsidR="009446B3" w:rsidRPr="00155793" w:rsidRDefault="009446B3" w:rsidP="00155793">
            <w:pPr>
              <w:autoSpaceDE w:val="0"/>
              <w:autoSpaceDN w:val="0"/>
              <w:adjustRightInd w:val="0"/>
              <w:spacing w:after="0" w:line="240" w:lineRule="auto"/>
              <w:jc w:val="both"/>
              <w:rPr>
                <w:b/>
                <w:color w:val="FFFFFF" w:themeColor="background1"/>
              </w:rPr>
            </w:pPr>
            <w:r w:rsidRPr="00155793">
              <w:rPr>
                <w:b/>
                <w:color w:val="FFFFFF" w:themeColor="background1"/>
              </w:rPr>
              <w:t>Vegetation type</w:t>
            </w:r>
          </w:p>
        </w:tc>
        <w:tc>
          <w:tcPr>
            <w:tcW w:w="815" w:type="pct"/>
            <w:shd w:val="clear" w:color="auto" w:fill="548DD4" w:themeFill="text2" w:themeFillTint="99"/>
          </w:tcPr>
          <w:p w:rsidR="009446B3" w:rsidRPr="00155793" w:rsidRDefault="009446B3" w:rsidP="00155793">
            <w:pPr>
              <w:autoSpaceDE w:val="0"/>
              <w:autoSpaceDN w:val="0"/>
              <w:adjustRightInd w:val="0"/>
              <w:spacing w:after="0" w:line="240" w:lineRule="auto"/>
              <w:jc w:val="both"/>
              <w:rPr>
                <w:b/>
                <w:color w:val="FFFFFF" w:themeColor="background1"/>
              </w:rPr>
            </w:pPr>
            <w:r w:rsidRPr="00155793">
              <w:rPr>
                <w:b/>
                <w:color w:val="FFFFFF" w:themeColor="background1"/>
              </w:rPr>
              <w:t>Target</w:t>
            </w:r>
          </w:p>
        </w:tc>
        <w:tc>
          <w:tcPr>
            <w:tcW w:w="984" w:type="pct"/>
            <w:shd w:val="clear" w:color="auto" w:fill="548DD4" w:themeFill="text2" w:themeFillTint="99"/>
          </w:tcPr>
          <w:p w:rsidR="009446B3" w:rsidRPr="00155793" w:rsidRDefault="009446B3" w:rsidP="00155793">
            <w:pPr>
              <w:autoSpaceDE w:val="0"/>
              <w:autoSpaceDN w:val="0"/>
              <w:adjustRightInd w:val="0"/>
              <w:spacing w:after="0" w:line="240" w:lineRule="auto"/>
              <w:jc w:val="both"/>
              <w:rPr>
                <w:b/>
                <w:color w:val="FFFFFF" w:themeColor="background1"/>
              </w:rPr>
            </w:pPr>
            <w:r w:rsidRPr="00155793">
              <w:rPr>
                <w:b/>
                <w:color w:val="FFFFFF" w:themeColor="background1"/>
              </w:rPr>
              <w:t>% currently protected</w:t>
            </w:r>
          </w:p>
        </w:tc>
        <w:tc>
          <w:tcPr>
            <w:tcW w:w="2093" w:type="pct"/>
            <w:shd w:val="clear" w:color="auto" w:fill="548DD4" w:themeFill="text2" w:themeFillTint="99"/>
          </w:tcPr>
          <w:p w:rsidR="009446B3" w:rsidRPr="00155793" w:rsidRDefault="009446B3" w:rsidP="00155793">
            <w:pPr>
              <w:autoSpaceDE w:val="0"/>
              <w:autoSpaceDN w:val="0"/>
              <w:adjustRightInd w:val="0"/>
              <w:spacing w:after="0" w:line="240" w:lineRule="auto"/>
              <w:jc w:val="both"/>
              <w:rPr>
                <w:b/>
                <w:color w:val="FFFFFF" w:themeColor="background1"/>
              </w:rPr>
            </w:pPr>
            <w:r w:rsidRPr="00155793">
              <w:rPr>
                <w:b/>
                <w:color w:val="FFFFFF" w:themeColor="background1"/>
              </w:rPr>
              <w:t>Definition</w:t>
            </w:r>
          </w:p>
        </w:tc>
      </w:tr>
      <w:tr w:rsidR="009446B3" w:rsidRPr="00252EE9" w:rsidTr="00155793">
        <w:tc>
          <w:tcPr>
            <w:tcW w:w="1108" w:type="pct"/>
            <w:shd w:val="clear" w:color="auto" w:fill="auto"/>
          </w:tcPr>
          <w:p w:rsidR="009446B3" w:rsidRPr="00252EE9" w:rsidRDefault="009446B3" w:rsidP="00155793">
            <w:pPr>
              <w:autoSpaceDE w:val="0"/>
              <w:autoSpaceDN w:val="0"/>
              <w:adjustRightInd w:val="0"/>
              <w:spacing w:after="0" w:line="240" w:lineRule="auto"/>
              <w:jc w:val="both"/>
              <w:rPr>
                <w:b/>
                <w:bCs/>
                <w:color w:val="FFFFFF"/>
              </w:rPr>
            </w:pPr>
            <w:r w:rsidRPr="00252EE9">
              <w:rPr>
                <w:color w:val="000000"/>
              </w:rPr>
              <w:t>Lowland rainforest</w:t>
            </w:r>
          </w:p>
        </w:tc>
        <w:tc>
          <w:tcPr>
            <w:tcW w:w="815" w:type="pct"/>
            <w:shd w:val="clear" w:color="auto" w:fill="auto"/>
          </w:tcPr>
          <w:p w:rsidR="009446B3" w:rsidRPr="00252EE9" w:rsidRDefault="009446B3" w:rsidP="00155793">
            <w:pPr>
              <w:autoSpaceDE w:val="0"/>
              <w:autoSpaceDN w:val="0"/>
              <w:adjustRightInd w:val="0"/>
              <w:spacing w:after="0" w:line="240" w:lineRule="auto"/>
              <w:jc w:val="both"/>
              <w:rPr>
                <w:b/>
                <w:bCs/>
                <w:color w:val="FFFFFF"/>
              </w:rPr>
            </w:pPr>
            <w:r w:rsidRPr="00252EE9">
              <w:rPr>
                <w:color w:val="000000"/>
              </w:rPr>
              <w:t>60% managed; 40% protected</w:t>
            </w:r>
          </w:p>
        </w:tc>
        <w:tc>
          <w:tcPr>
            <w:tcW w:w="984" w:type="pct"/>
            <w:shd w:val="clear" w:color="auto" w:fill="auto"/>
          </w:tcPr>
          <w:p w:rsidR="009446B3" w:rsidRPr="00252EE9" w:rsidRDefault="009446B3" w:rsidP="00155793">
            <w:pPr>
              <w:autoSpaceDE w:val="0"/>
              <w:autoSpaceDN w:val="0"/>
              <w:adjustRightInd w:val="0"/>
              <w:spacing w:after="0" w:line="240" w:lineRule="auto"/>
              <w:jc w:val="both"/>
              <w:rPr>
                <w:color w:val="000000"/>
              </w:rPr>
            </w:pPr>
            <w:r w:rsidRPr="00252EE9">
              <w:rPr>
                <w:color w:val="000000"/>
              </w:rPr>
              <w:t>3.7</w:t>
            </w:r>
          </w:p>
        </w:tc>
        <w:tc>
          <w:tcPr>
            <w:tcW w:w="2093" w:type="pct"/>
            <w:shd w:val="clear" w:color="auto" w:fill="auto"/>
          </w:tcPr>
          <w:p w:rsidR="009446B3" w:rsidRPr="00252EE9" w:rsidRDefault="009446B3" w:rsidP="00155793">
            <w:pPr>
              <w:autoSpaceDE w:val="0"/>
              <w:autoSpaceDN w:val="0"/>
              <w:adjustRightInd w:val="0"/>
              <w:spacing w:after="0" w:line="240" w:lineRule="auto"/>
              <w:jc w:val="both"/>
              <w:rPr>
                <w:b/>
                <w:bCs/>
                <w:color w:val="FFFFFF"/>
              </w:rPr>
            </w:pPr>
            <w:r w:rsidRPr="00252EE9">
              <w:rPr>
                <w:color w:val="000000"/>
              </w:rPr>
              <w:t>Forest on land greater than 2 m and less than or equal to 600 m elevation</w:t>
            </w:r>
          </w:p>
        </w:tc>
      </w:tr>
      <w:tr w:rsidR="009446B3" w:rsidRPr="00252EE9" w:rsidTr="00155793">
        <w:tc>
          <w:tcPr>
            <w:tcW w:w="1108" w:type="pct"/>
            <w:shd w:val="clear" w:color="auto" w:fill="auto"/>
          </w:tcPr>
          <w:p w:rsidR="009446B3" w:rsidRPr="00252EE9" w:rsidRDefault="009446B3" w:rsidP="00155793">
            <w:pPr>
              <w:autoSpaceDE w:val="0"/>
              <w:autoSpaceDN w:val="0"/>
              <w:adjustRightInd w:val="0"/>
              <w:spacing w:after="0" w:line="240" w:lineRule="auto"/>
              <w:jc w:val="both"/>
              <w:rPr>
                <w:b/>
                <w:bCs/>
                <w:color w:val="FFFFFF"/>
              </w:rPr>
            </w:pPr>
            <w:r w:rsidRPr="00252EE9">
              <w:rPr>
                <w:color w:val="000000"/>
              </w:rPr>
              <w:t>Upland rainforest</w:t>
            </w:r>
          </w:p>
        </w:tc>
        <w:tc>
          <w:tcPr>
            <w:tcW w:w="815" w:type="pct"/>
            <w:shd w:val="clear" w:color="auto" w:fill="auto"/>
          </w:tcPr>
          <w:p w:rsidR="009446B3" w:rsidRPr="00252EE9" w:rsidRDefault="009446B3" w:rsidP="00155793">
            <w:pPr>
              <w:autoSpaceDE w:val="0"/>
              <w:autoSpaceDN w:val="0"/>
              <w:adjustRightInd w:val="0"/>
              <w:spacing w:after="0" w:line="240" w:lineRule="auto"/>
              <w:jc w:val="both"/>
              <w:rPr>
                <w:b/>
                <w:bCs/>
                <w:color w:val="FFFFFF"/>
              </w:rPr>
            </w:pPr>
            <w:r w:rsidRPr="00252EE9">
              <w:rPr>
                <w:color w:val="000000"/>
              </w:rPr>
              <w:t>100% of remaining</w:t>
            </w:r>
          </w:p>
        </w:tc>
        <w:tc>
          <w:tcPr>
            <w:tcW w:w="984" w:type="pct"/>
            <w:shd w:val="clear" w:color="auto" w:fill="auto"/>
          </w:tcPr>
          <w:p w:rsidR="009446B3" w:rsidRPr="00252EE9" w:rsidRDefault="009446B3" w:rsidP="00155793">
            <w:pPr>
              <w:autoSpaceDE w:val="0"/>
              <w:autoSpaceDN w:val="0"/>
              <w:adjustRightInd w:val="0"/>
              <w:spacing w:after="0" w:line="240" w:lineRule="auto"/>
              <w:jc w:val="both"/>
              <w:rPr>
                <w:color w:val="000000"/>
              </w:rPr>
            </w:pPr>
            <w:r w:rsidRPr="00252EE9">
              <w:rPr>
                <w:color w:val="000000"/>
              </w:rPr>
              <w:t>13.2</w:t>
            </w:r>
          </w:p>
        </w:tc>
        <w:tc>
          <w:tcPr>
            <w:tcW w:w="2093" w:type="pct"/>
            <w:shd w:val="clear" w:color="auto" w:fill="auto"/>
          </w:tcPr>
          <w:p w:rsidR="009446B3" w:rsidRPr="00252EE9" w:rsidRDefault="009446B3" w:rsidP="00155793">
            <w:pPr>
              <w:autoSpaceDE w:val="0"/>
              <w:autoSpaceDN w:val="0"/>
              <w:adjustRightInd w:val="0"/>
              <w:spacing w:after="0" w:line="240" w:lineRule="auto"/>
              <w:jc w:val="both"/>
              <w:rPr>
                <w:b/>
                <w:bCs/>
                <w:color w:val="FFFFFF"/>
              </w:rPr>
            </w:pPr>
            <w:r w:rsidRPr="00252EE9">
              <w:rPr>
                <w:color w:val="000000"/>
              </w:rPr>
              <w:t>Forest on land greater than 600 m and less than or equal to 850 m elevation</w:t>
            </w:r>
          </w:p>
        </w:tc>
      </w:tr>
      <w:tr w:rsidR="009446B3" w:rsidRPr="00252EE9" w:rsidTr="00155793">
        <w:tc>
          <w:tcPr>
            <w:tcW w:w="1108" w:type="pct"/>
            <w:shd w:val="clear" w:color="auto" w:fill="auto"/>
          </w:tcPr>
          <w:p w:rsidR="009446B3" w:rsidRPr="00252EE9" w:rsidRDefault="009446B3" w:rsidP="00155793">
            <w:pPr>
              <w:autoSpaceDE w:val="0"/>
              <w:autoSpaceDN w:val="0"/>
              <w:adjustRightInd w:val="0"/>
              <w:spacing w:after="0" w:line="240" w:lineRule="auto"/>
              <w:jc w:val="both"/>
              <w:rPr>
                <w:b/>
                <w:bCs/>
                <w:color w:val="FFFFFF"/>
              </w:rPr>
            </w:pPr>
            <w:r w:rsidRPr="00252EE9">
              <w:t xml:space="preserve">Cloud/montane rainforest </w:t>
            </w:r>
          </w:p>
        </w:tc>
        <w:tc>
          <w:tcPr>
            <w:tcW w:w="815" w:type="pct"/>
            <w:shd w:val="clear" w:color="auto" w:fill="auto"/>
          </w:tcPr>
          <w:p w:rsidR="009446B3" w:rsidRPr="00252EE9" w:rsidRDefault="009446B3" w:rsidP="00155793">
            <w:pPr>
              <w:autoSpaceDE w:val="0"/>
              <w:autoSpaceDN w:val="0"/>
              <w:adjustRightInd w:val="0"/>
              <w:spacing w:after="0" w:line="240" w:lineRule="auto"/>
              <w:jc w:val="both"/>
              <w:rPr>
                <w:b/>
                <w:bCs/>
                <w:color w:val="FFFFFF"/>
              </w:rPr>
            </w:pPr>
            <w:r w:rsidRPr="00252EE9">
              <w:t>100% of remaining</w:t>
            </w:r>
          </w:p>
        </w:tc>
        <w:tc>
          <w:tcPr>
            <w:tcW w:w="984" w:type="pct"/>
            <w:shd w:val="clear" w:color="auto" w:fill="auto"/>
          </w:tcPr>
          <w:p w:rsidR="009446B3" w:rsidRPr="00252EE9" w:rsidRDefault="009446B3" w:rsidP="00155793">
            <w:pPr>
              <w:autoSpaceDE w:val="0"/>
              <w:autoSpaceDN w:val="0"/>
              <w:adjustRightInd w:val="0"/>
              <w:spacing w:after="0" w:line="240" w:lineRule="auto"/>
              <w:jc w:val="both"/>
            </w:pPr>
            <w:r w:rsidRPr="00252EE9">
              <w:t>19.2</w:t>
            </w:r>
          </w:p>
        </w:tc>
        <w:tc>
          <w:tcPr>
            <w:tcW w:w="2093" w:type="pct"/>
            <w:shd w:val="clear" w:color="auto" w:fill="auto"/>
          </w:tcPr>
          <w:p w:rsidR="009446B3" w:rsidRPr="00252EE9" w:rsidRDefault="009446B3" w:rsidP="00155793">
            <w:pPr>
              <w:autoSpaceDE w:val="0"/>
              <w:autoSpaceDN w:val="0"/>
              <w:adjustRightInd w:val="0"/>
              <w:spacing w:after="0" w:line="240" w:lineRule="auto"/>
              <w:jc w:val="both"/>
              <w:rPr>
                <w:b/>
                <w:bCs/>
                <w:color w:val="FFFFFF"/>
              </w:rPr>
            </w:pPr>
            <w:smartTag w:uri="urn:schemas-microsoft-com:office:smarttags" w:element="place">
              <w:r w:rsidRPr="00252EE9">
                <w:t>Forest</w:t>
              </w:r>
            </w:smartTag>
            <w:r w:rsidRPr="00252EE9">
              <w:t xml:space="preserve"> on land greater than 850 m elevation</w:t>
            </w:r>
          </w:p>
        </w:tc>
      </w:tr>
      <w:tr w:rsidR="009446B3" w:rsidRPr="00252EE9" w:rsidTr="00155793">
        <w:tc>
          <w:tcPr>
            <w:tcW w:w="1108" w:type="pct"/>
            <w:shd w:val="clear" w:color="auto" w:fill="auto"/>
          </w:tcPr>
          <w:p w:rsidR="009446B3" w:rsidRPr="00252EE9" w:rsidRDefault="009446B3" w:rsidP="00155793">
            <w:pPr>
              <w:autoSpaceDE w:val="0"/>
              <w:autoSpaceDN w:val="0"/>
              <w:adjustRightInd w:val="0"/>
              <w:spacing w:after="0" w:line="240" w:lineRule="auto"/>
              <w:jc w:val="both"/>
              <w:rPr>
                <w:b/>
                <w:bCs/>
                <w:color w:val="FFFFFF"/>
              </w:rPr>
            </w:pPr>
            <w:r w:rsidRPr="00252EE9">
              <w:t xml:space="preserve">Dry forest </w:t>
            </w:r>
          </w:p>
        </w:tc>
        <w:tc>
          <w:tcPr>
            <w:tcW w:w="815" w:type="pct"/>
            <w:shd w:val="clear" w:color="auto" w:fill="auto"/>
          </w:tcPr>
          <w:p w:rsidR="009446B3" w:rsidRPr="00252EE9" w:rsidRDefault="009446B3" w:rsidP="00155793">
            <w:pPr>
              <w:autoSpaceDE w:val="0"/>
              <w:autoSpaceDN w:val="0"/>
              <w:adjustRightInd w:val="0"/>
              <w:spacing w:after="0" w:line="240" w:lineRule="auto"/>
              <w:jc w:val="both"/>
              <w:rPr>
                <w:b/>
                <w:bCs/>
                <w:color w:val="FFFFFF"/>
              </w:rPr>
            </w:pPr>
            <w:r w:rsidRPr="00252EE9">
              <w:t>100% of remaining</w:t>
            </w:r>
          </w:p>
        </w:tc>
        <w:tc>
          <w:tcPr>
            <w:tcW w:w="984" w:type="pct"/>
            <w:shd w:val="clear" w:color="auto" w:fill="auto"/>
          </w:tcPr>
          <w:p w:rsidR="009446B3" w:rsidRPr="00252EE9" w:rsidRDefault="009446B3" w:rsidP="00155793">
            <w:pPr>
              <w:autoSpaceDE w:val="0"/>
              <w:autoSpaceDN w:val="0"/>
              <w:adjustRightInd w:val="0"/>
              <w:spacing w:after="0" w:line="240" w:lineRule="auto"/>
              <w:jc w:val="both"/>
            </w:pPr>
            <w:r w:rsidRPr="00252EE9">
              <w:t>0.0</w:t>
            </w:r>
          </w:p>
        </w:tc>
        <w:tc>
          <w:tcPr>
            <w:tcW w:w="2093" w:type="pct"/>
            <w:shd w:val="clear" w:color="auto" w:fill="auto"/>
          </w:tcPr>
          <w:p w:rsidR="009446B3" w:rsidRPr="00252EE9" w:rsidRDefault="009446B3" w:rsidP="00155793">
            <w:pPr>
              <w:autoSpaceDE w:val="0"/>
              <w:autoSpaceDN w:val="0"/>
              <w:adjustRightInd w:val="0"/>
              <w:spacing w:after="0" w:line="240" w:lineRule="auto"/>
              <w:jc w:val="both"/>
              <w:rPr>
                <w:b/>
                <w:bCs/>
                <w:color w:val="FFFFFF"/>
              </w:rPr>
            </w:pPr>
            <w:r w:rsidRPr="00252EE9">
              <w:t>Mesic forest of the  D</w:t>
            </w:r>
            <w:r w:rsidRPr="00252EE9">
              <w:rPr>
                <w:i/>
                <w:iCs/>
              </w:rPr>
              <w:t>acrydium</w:t>
            </w:r>
            <w:r w:rsidRPr="00252EE9">
              <w:rPr>
                <w:rFonts w:eastAsia="MS Gothic" w:hAnsi="MS Gothic"/>
                <w:i/>
                <w:iCs/>
              </w:rPr>
              <w:t>‐</w:t>
            </w:r>
            <w:r w:rsidRPr="00252EE9">
              <w:rPr>
                <w:i/>
                <w:iCs/>
              </w:rPr>
              <w:t xml:space="preserve">Fagraea </w:t>
            </w:r>
            <w:r w:rsidRPr="00252EE9">
              <w:t>type</w:t>
            </w:r>
          </w:p>
        </w:tc>
      </w:tr>
      <w:tr w:rsidR="009446B3" w:rsidRPr="00252EE9" w:rsidTr="00155793">
        <w:tc>
          <w:tcPr>
            <w:tcW w:w="1108" w:type="pct"/>
            <w:shd w:val="clear" w:color="auto" w:fill="auto"/>
          </w:tcPr>
          <w:p w:rsidR="009446B3" w:rsidRPr="00252EE9" w:rsidRDefault="009446B3" w:rsidP="00155793">
            <w:pPr>
              <w:autoSpaceDE w:val="0"/>
              <w:autoSpaceDN w:val="0"/>
              <w:adjustRightInd w:val="0"/>
              <w:spacing w:after="0" w:line="240" w:lineRule="auto"/>
              <w:jc w:val="both"/>
              <w:rPr>
                <w:b/>
                <w:bCs/>
                <w:color w:val="FFFFFF"/>
              </w:rPr>
            </w:pPr>
            <w:r w:rsidRPr="00252EE9">
              <w:t xml:space="preserve">Talasiga </w:t>
            </w:r>
          </w:p>
        </w:tc>
        <w:tc>
          <w:tcPr>
            <w:tcW w:w="815" w:type="pct"/>
            <w:shd w:val="clear" w:color="auto" w:fill="auto"/>
          </w:tcPr>
          <w:p w:rsidR="009446B3" w:rsidRPr="00252EE9" w:rsidRDefault="009446B3" w:rsidP="00155793">
            <w:pPr>
              <w:autoSpaceDE w:val="0"/>
              <w:autoSpaceDN w:val="0"/>
              <w:adjustRightInd w:val="0"/>
              <w:spacing w:after="0" w:line="240" w:lineRule="auto"/>
              <w:jc w:val="both"/>
            </w:pPr>
            <w:r w:rsidRPr="00252EE9">
              <w:t>0% protected; % for</w:t>
            </w:r>
          </w:p>
          <w:p w:rsidR="009446B3" w:rsidRPr="00252EE9" w:rsidRDefault="009446B3" w:rsidP="00155793">
            <w:pPr>
              <w:autoSpaceDE w:val="0"/>
              <w:autoSpaceDN w:val="0"/>
              <w:adjustRightInd w:val="0"/>
              <w:spacing w:after="0" w:line="240" w:lineRule="auto"/>
              <w:jc w:val="both"/>
            </w:pPr>
            <w:r w:rsidRPr="00252EE9">
              <w:t>restoration TBD</w:t>
            </w:r>
          </w:p>
          <w:p w:rsidR="009446B3" w:rsidRPr="00252EE9" w:rsidRDefault="009446B3" w:rsidP="00155793">
            <w:pPr>
              <w:autoSpaceDE w:val="0"/>
              <w:autoSpaceDN w:val="0"/>
              <w:adjustRightInd w:val="0"/>
              <w:spacing w:after="0" w:line="240" w:lineRule="auto"/>
              <w:jc w:val="both"/>
              <w:rPr>
                <w:b/>
                <w:bCs/>
                <w:color w:val="FFFFFF"/>
              </w:rPr>
            </w:pPr>
          </w:p>
        </w:tc>
        <w:tc>
          <w:tcPr>
            <w:tcW w:w="984" w:type="pct"/>
            <w:shd w:val="clear" w:color="auto" w:fill="auto"/>
          </w:tcPr>
          <w:p w:rsidR="009446B3" w:rsidRPr="00252EE9" w:rsidRDefault="009446B3" w:rsidP="00155793">
            <w:pPr>
              <w:autoSpaceDE w:val="0"/>
              <w:autoSpaceDN w:val="0"/>
              <w:adjustRightInd w:val="0"/>
              <w:spacing w:after="0" w:line="240" w:lineRule="auto"/>
              <w:jc w:val="both"/>
            </w:pPr>
          </w:p>
        </w:tc>
        <w:tc>
          <w:tcPr>
            <w:tcW w:w="2093" w:type="pct"/>
            <w:shd w:val="clear" w:color="auto" w:fill="auto"/>
          </w:tcPr>
          <w:p w:rsidR="009446B3" w:rsidRPr="00252EE9" w:rsidRDefault="009446B3" w:rsidP="00155793">
            <w:pPr>
              <w:autoSpaceDE w:val="0"/>
              <w:autoSpaceDN w:val="0"/>
              <w:adjustRightInd w:val="0"/>
              <w:spacing w:after="0" w:line="240" w:lineRule="auto"/>
              <w:jc w:val="both"/>
              <w:rPr>
                <w:b/>
                <w:bCs/>
                <w:color w:val="FFFFFF"/>
              </w:rPr>
            </w:pPr>
            <w:r w:rsidRPr="00252EE9">
              <w:t>Fire modified and degraded forest to be targeted for restoration with teak and fuel wood</w:t>
            </w:r>
          </w:p>
        </w:tc>
      </w:tr>
      <w:tr w:rsidR="009446B3" w:rsidRPr="00252EE9" w:rsidTr="00155793">
        <w:tc>
          <w:tcPr>
            <w:tcW w:w="1108" w:type="pct"/>
            <w:shd w:val="clear" w:color="auto" w:fill="auto"/>
          </w:tcPr>
          <w:p w:rsidR="009446B3" w:rsidRPr="00252EE9" w:rsidRDefault="009446B3" w:rsidP="00155793">
            <w:pPr>
              <w:autoSpaceDE w:val="0"/>
              <w:autoSpaceDN w:val="0"/>
              <w:adjustRightInd w:val="0"/>
              <w:spacing w:after="0" w:line="240" w:lineRule="auto"/>
              <w:jc w:val="both"/>
              <w:rPr>
                <w:b/>
                <w:bCs/>
                <w:color w:val="FFFFFF"/>
              </w:rPr>
            </w:pPr>
            <w:r w:rsidRPr="00252EE9">
              <w:t xml:space="preserve">Freshwater wetland vegetation </w:t>
            </w:r>
          </w:p>
        </w:tc>
        <w:tc>
          <w:tcPr>
            <w:tcW w:w="815" w:type="pct"/>
            <w:shd w:val="clear" w:color="auto" w:fill="auto"/>
          </w:tcPr>
          <w:p w:rsidR="009446B3" w:rsidRPr="00252EE9" w:rsidRDefault="009446B3" w:rsidP="00155793">
            <w:pPr>
              <w:autoSpaceDE w:val="0"/>
              <w:autoSpaceDN w:val="0"/>
              <w:adjustRightInd w:val="0"/>
              <w:spacing w:after="0" w:line="240" w:lineRule="auto"/>
              <w:jc w:val="both"/>
              <w:rPr>
                <w:b/>
                <w:bCs/>
                <w:color w:val="FFFFFF"/>
              </w:rPr>
            </w:pPr>
            <w:r w:rsidRPr="00252EE9">
              <w:t>100% remaining</w:t>
            </w:r>
          </w:p>
        </w:tc>
        <w:tc>
          <w:tcPr>
            <w:tcW w:w="984" w:type="pct"/>
            <w:shd w:val="clear" w:color="auto" w:fill="auto"/>
          </w:tcPr>
          <w:p w:rsidR="009446B3" w:rsidRPr="00252EE9" w:rsidRDefault="009446B3" w:rsidP="00155793">
            <w:pPr>
              <w:autoSpaceDE w:val="0"/>
              <w:autoSpaceDN w:val="0"/>
              <w:adjustRightInd w:val="0"/>
              <w:spacing w:after="0" w:line="240" w:lineRule="auto"/>
              <w:jc w:val="both"/>
              <w:rPr>
                <w:iCs/>
              </w:rPr>
            </w:pPr>
            <w:r w:rsidRPr="00252EE9">
              <w:rPr>
                <w:iCs/>
              </w:rPr>
              <w:t>8.9</w:t>
            </w:r>
          </w:p>
        </w:tc>
        <w:tc>
          <w:tcPr>
            <w:tcW w:w="2093" w:type="pct"/>
            <w:shd w:val="clear" w:color="auto" w:fill="auto"/>
          </w:tcPr>
          <w:p w:rsidR="009446B3" w:rsidRPr="00252EE9" w:rsidRDefault="009446B3" w:rsidP="00155793">
            <w:pPr>
              <w:autoSpaceDE w:val="0"/>
              <w:autoSpaceDN w:val="0"/>
              <w:adjustRightInd w:val="0"/>
              <w:spacing w:after="0" w:line="240" w:lineRule="auto"/>
              <w:jc w:val="both"/>
            </w:pPr>
            <w:r w:rsidRPr="00252EE9">
              <w:rPr>
                <w:i/>
                <w:iCs/>
              </w:rPr>
              <w:t xml:space="preserve">Pandanus </w:t>
            </w:r>
            <w:r w:rsidRPr="00252EE9">
              <w:t>and sedges on peats and gley</w:t>
            </w:r>
          </w:p>
          <w:p w:rsidR="009446B3" w:rsidRPr="00252EE9" w:rsidRDefault="009446B3" w:rsidP="00155793">
            <w:pPr>
              <w:autoSpaceDE w:val="0"/>
              <w:autoSpaceDN w:val="0"/>
              <w:adjustRightInd w:val="0"/>
              <w:spacing w:after="0" w:line="240" w:lineRule="auto"/>
              <w:jc w:val="both"/>
              <w:rPr>
                <w:b/>
                <w:bCs/>
                <w:color w:val="FFFFFF"/>
              </w:rPr>
            </w:pPr>
            <w:r w:rsidRPr="00252EE9">
              <w:t>soils</w:t>
            </w:r>
          </w:p>
        </w:tc>
      </w:tr>
      <w:tr w:rsidR="009446B3" w:rsidRPr="00252EE9" w:rsidTr="00155793">
        <w:tc>
          <w:tcPr>
            <w:tcW w:w="1108" w:type="pct"/>
            <w:shd w:val="clear" w:color="auto" w:fill="auto"/>
          </w:tcPr>
          <w:p w:rsidR="009446B3" w:rsidRPr="00252EE9" w:rsidRDefault="009446B3" w:rsidP="00155793">
            <w:pPr>
              <w:autoSpaceDE w:val="0"/>
              <w:autoSpaceDN w:val="0"/>
              <w:adjustRightInd w:val="0"/>
              <w:spacing w:after="0" w:line="240" w:lineRule="auto"/>
              <w:jc w:val="both"/>
              <w:rPr>
                <w:b/>
                <w:bCs/>
                <w:color w:val="FFFFFF"/>
              </w:rPr>
            </w:pPr>
            <w:r w:rsidRPr="00252EE9">
              <w:t xml:space="preserve">Mangrove forest and scrub </w:t>
            </w:r>
          </w:p>
        </w:tc>
        <w:tc>
          <w:tcPr>
            <w:tcW w:w="815" w:type="pct"/>
            <w:shd w:val="clear" w:color="auto" w:fill="auto"/>
          </w:tcPr>
          <w:p w:rsidR="009446B3" w:rsidRPr="00252EE9" w:rsidRDefault="009446B3" w:rsidP="00155793">
            <w:pPr>
              <w:autoSpaceDE w:val="0"/>
              <w:autoSpaceDN w:val="0"/>
              <w:adjustRightInd w:val="0"/>
              <w:spacing w:after="0" w:line="240" w:lineRule="auto"/>
              <w:jc w:val="both"/>
              <w:rPr>
                <w:b/>
                <w:bCs/>
                <w:color w:val="FFFFFF"/>
              </w:rPr>
            </w:pPr>
            <w:r w:rsidRPr="00252EE9">
              <w:t>100% managed; 30% protected</w:t>
            </w:r>
          </w:p>
        </w:tc>
        <w:tc>
          <w:tcPr>
            <w:tcW w:w="984" w:type="pct"/>
            <w:shd w:val="clear" w:color="auto" w:fill="auto"/>
          </w:tcPr>
          <w:p w:rsidR="009446B3" w:rsidRPr="00252EE9" w:rsidRDefault="009446B3" w:rsidP="00155793">
            <w:pPr>
              <w:autoSpaceDE w:val="0"/>
              <w:autoSpaceDN w:val="0"/>
              <w:adjustRightInd w:val="0"/>
              <w:spacing w:after="0" w:line="240" w:lineRule="auto"/>
              <w:jc w:val="both"/>
            </w:pPr>
          </w:p>
        </w:tc>
        <w:tc>
          <w:tcPr>
            <w:tcW w:w="2093" w:type="pct"/>
            <w:shd w:val="clear" w:color="auto" w:fill="auto"/>
          </w:tcPr>
          <w:p w:rsidR="009446B3" w:rsidRPr="00252EE9" w:rsidRDefault="009446B3" w:rsidP="00155793">
            <w:pPr>
              <w:autoSpaceDE w:val="0"/>
              <w:autoSpaceDN w:val="0"/>
              <w:adjustRightInd w:val="0"/>
              <w:spacing w:after="0" w:line="240" w:lineRule="auto"/>
              <w:jc w:val="both"/>
              <w:rPr>
                <w:b/>
                <w:bCs/>
                <w:color w:val="FFFFFF"/>
              </w:rPr>
            </w:pPr>
            <w:r w:rsidRPr="00252EE9">
              <w:t>Mangroves and mangrove associates found in four environmental settings classified by Woodroffe (1987)</w:t>
            </w:r>
          </w:p>
        </w:tc>
      </w:tr>
      <w:tr w:rsidR="009446B3" w:rsidRPr="00252EE9" w:rsidTr="00155793">
        <w:tc>
          <w:tcPr>
            <w:tcW w:w="1108" w:type="pct"/>
            <w:shd w:val="clear" w:color="auto" w:fill="auto"/>
          </w:tcPr>
          <w:p w:rsidR="009446B3" w:rsidRPr="00252EE9" w:rsidRDefault="009446B3" w:rsidP="00155793">
            <w:pPr>
              <w:autoSpaceDE w:val="0"/>
              <w:autoSpaceDN w:val="0"/>
              <w:adjustRightInd w:val="0"/>
              <w:spacing w:after="0" w:line="240" w:lineRule="auto"/>
              <w:jc w:val="both"/>
            </w:pPr>
            <w:r w:rsidRPr="00252EE9">
              <w:t xml:space="preserve">Coastal strand vegetation </w:t>
            </w:r>
          </w:p>
        </w:tc>
        <w:tc>
          <w:tcPr>
            <w:tcW w:w="815" w:type="pct"/>
            <w:shd w:val="clear" w:color="auto" w:fill="auto"/>
          </w:tcPr>
          <w:p w:rsidR="009446B3" w:rsidRPr="00252EE9" w:rsidRDefault="009446B3" w:rsidP="00155793">
            <w:pPr>
              <w:autoSpaceDE w:val="0"/>
              <w:autoSpaceDN w:val="0"/>
              <w:adjustRightInd w:val="0"/>
              <w:spacing w:after="0" w:line="240" w:lineRule="auto"/>
              <w:jc w:val="both"/>
            </w:pPr>
            <w:r w:rsidRPr="00252EE9">
              <w:t>100% remaining</w:t>
            </w:r>
          </w:p>
        </w:tc>
        <w:tc>
          <w:tcPr>
            <w:tcW w:w="984" w:type="pct"/>
            <w:shd w:val="clear" w:color="auto" w:fill="auto"/>
          </w:tcPr>
          <w:p w:rsidR="009446B3" w:rsidRPr="00252EE9" w:rsidRDefault="009446B3" w:rsidP="00155793">
            <w:pPr>
              <w:autoSpaceDE w:val="0"/>
              <w:autoSpaceDN w:val="0"/>
              <w:adjustRightInd w:val="0"/>
              <w:spacing w:after="0" w:line="240" w:lineRule="auto"/>
              <w:jc w:val="both"/>
            </w:pPr>
            <w:r w:rsidRPr="00252EE9">
              <w:t>N/A</w:t>
            </w:r>
          </w:p>
        </w:tc>
        <w:tc>
          <w:tcPr>
            <w:tcW w:w="2093" w:type="pct"/>
            <w:shd w:val="clear" w:color="auto" w:fill="auto"/>
          </w:tcPr>
          <w:p w:rsidR="009446B3" w:rsidRPr="00252EE9" w:rsidRDefault="009446B3" w:rsidP="00155793">
            <w:pPr>
              <w:autoSpaceDE w:val="0"/>
              <w:autoSpaceDN w:val="0"/>
              <w:adjustRightInd w:val="0"/>
              <w:spacing w:after="0" w:line="240" w:lineRule="auto"/>
              <w:jc w:val="both"/>
            </w:pPr>
            <w:r w:rsidRPr="00252EE9">
              <w:t>Herb, shrub, tree zonation affected by</w:t>
            </w:r>
          </w:p>
          <w:p w:rsidR="009446B3" w:rsidRPr="00252EE9" w:rsidRDefault="009446B3" w:rsidP="00155793">
            <w:pPr>
              <w:autoSpaceDE w:val="0"/>
              <w:autoSpaceDN w:val="0"/>
              <w:adjustRightInd w:val="0"/>
              <w:spacing w:after="0" w:line="240" w:lineRule="auto"/>
              <w:jc w:val="both"/>
            </w:pPr>
            <w:r w:rsidRPr="00252EE9">
              <w:t>natural physical disturbance from surf</w:t>
            </w:r>
          </w:p>
        </w:tc>
      </w:tr>
      <w:tr w:rsidR="009446B3" w:rsidRPr="00252EE9" w:rsidTr="00155793">
        <w:tc>
          <w:tcPr>
            <w:tcW w:w="1108" w:type="pct"/>
            <w:shd w:val="clear" w:color="auto" w:fill="auto"/>
          </w:tcPr>
          <w:p w:rsidR="009446B3" w:rsidRPr="00252EE9" w:rsidRDefault="009446B3" w:rsidP="00155793">
            <w:pPr>
              <w:autoSpaceDE w:val="0"/>
              <w:autoSpaceDN w:val="0"/>
              <w:adjustRightInd w:val="0"/>
              <w:spacing w:after="0" w:line="240" w:lineRule="auto"/>
              <w:jc w:val="both"/>
            </w:pPr>
            <w:r w:rsidRPr="00252EE9">
              <w:t xml:space="preserve">Smaller island vegetation </w:t>
            </w:r>
          </w:p>
        </w:tc>
        <w:tc>
          <w:tcPr>
            <w:tcW w:w="815" w:type="pct"/>
            <w:shd w:val="clear" w:color="auto" w:fill="auto"/>
          </w:tcPr>
          <w:p w:rsidR="009446B3" w:rsidRPr="00252EE9" w:rsidRDefault="009446B3" w:rsidP="00155793">
            <w:pPr>
              <w:autoSpaceDE w:val="0"/>
              <w:autoSpaceDN w:val="0"/>
              <w:adjustRightInd w:val="0"/>
              <w:spacing w:after="0" w:line="240" w:lineRule="auto"/>
              <w:jc w:val="both"/>
            </w:pPr>
            <w:r w:rsidRPr="00252EE9">
              <w:t>60% managed; 40% protected</w:t>
            </w:r>
          </w:p>
        </w:tc>
        <w:tc>
          <w:tcPr>
            <w:tcW w:w="984" w:type="pct"/>
            <w:shd w:val="clear" w:color="auto" w:fill="auto"/>
          </w:tcPr>
          <w:p w:rsidR="009446B3" w:rsidRPr="00252EE9" w:rsidRDefault="009446B3" w:rsidP="00155793">
            <w:pPr>
              <w:autoSpaceDE w:val="0"/>
              <w:autoSpaceDN w:val="0"/>
              <w:adjustRightInd w:val="0"/>
              <w:spacing w:after="0" w:line="240" w:lineRule="auto"/>
              <w:rPr>
                <w:rFonts w:ascii="Calibri" w:hAnsi="Calibri" w:cs="Calibri"/>
              </w:rPr>
            </w:pPr>
            <w:r w:rsidRPr="00252EE9">
              <w:rPr>
                <w:rFonts w:ascii="Calibri" w:hAnsi="Calibri" w:cs="Calibri"/>
              </w:rPr>
              <w:t>N/A</w:t>
            </w:r>
          </w:p>
        </w:tc>
        <w:tc>
          <w:tcPr>
            <w:tcW w:w="2093" w:type="pct"/>
            <w:shd w:val="clear" w:color="auto" w:fill="auto"/>
          </w:tcPr>
          <w:p w:rsidR="009446B3" w:rsidRPr="00252EE9" w:rsidRDefault="009446B3" w:rsidP="00155793">
            <w:pPr>
              <w:autoSpaceDE w:val="0"/>
              <w:autoSpaceDN w:val="0"/>
              <w:adjustRightInd w:val="0"/>
              <w:spacing w:after="0" w:line="240" w:lineRule="auto"/>
              <w:rPr>
                <w:rFonts w:ascii="Calibri" w:hAnsi="Calibri" w:cs="Calibri"/>
              </w:rPr>
            </w:pPr>
          </w:p>
        </w:tc>
      </w:tr>
    </w:tbl>
    <w:p w:rsidR="009446B3" w:rsidRDefault="009446B3" w:rsidP="00155793">
      <w:pPr>
        <w:autoSpaceDE w:val="0"/>
        <w:autoSpaceDN w:val="0"/>
        <w:adjustRightInd w:val="0"/>
        <w:spacing w:after="0"/>
        <w:rPr>
          <w:rFonts w:ascii="Calibri-Bold" w:hAnsi="Calibri-Bold" w:cs="Calibri-Bold"/>
          <w:b/>
          <w:bCs/>
          <w:color w:val="FFFFFF"/>
        </w:rPr>
      </w:pPr>
      <w:r>
        <w:rPr>
          <w:rFonts w:ascii="Calibri-Bold" w:hAnsi="Calibri-Bold" w:cs="Calibri-Bold"/>
          <w:b/>
          <w:bCs/>
          <w:color w:val="FFFFFF"/>
        </w:rPr>
        <w:t>Vegetation Type Target Definition</w:t>
      </w:r>
    </w:p>
    <w:p w:rsidR="009446B3" w:rsidRDefault="009446B3" w:rsidP="009446B3">
      <w:pPr>
        <w:autoSpaceDE w:val="0"/>
        <w:autoSpaceDN w:val="0"/>
        <w:adjustRightInd w:val="0"/>
        <w:jc w:val="both"/>
      </w:pPr>
      <w:r w:rsidRPr="001E18D4">
        <w:t xml:space="preserve">When the current boundaries of existing protected areas were overlaid with the vegetation type map of </w:t>
      </w:r>
      <w:smartTag w:uri="urn:schemas-microsoft-com:office:smarttags" w:element="country-region">
        <w:smartTag w:uri="urn:schemas-microsoft-com:office:smarttags" w:element="place">
          <w:r w:rsidRPr="001E18D4">
            <w:t>Fiji</w:t>
          </w:r>
        </w:smartTag>
      </w:smartTag>
      <w:r w:rsidRPr="001E18D4">
        <w:t>'s main islands, nearly all habitat types were found to be underrepresented. The most significant gaps in protection were found in dry forests,</w:t>
      </w:r>
      <w:r>
        <w:t xml:space="preserve"> </w:t>
      </w:r>
      <w:r w:rsidRPr="001E18D4">
        <w:t xml:space="preserve">freshwater wetlands and upland rainforests (Table </w:t>
      </w:r>
      <w:r>
        <w:t>1</w:t>
      </w:r>
      <w:r w:rsidRPr="001E18D4">
        <w:t>).</w:t>
      </w:r>
    </w:p>
    <w:p w:rsidR="00155793" w:rsidRDefault="009446B3" w:rsidP="00155793">
      <w:pPr>
        <w:autoSpaceDE w:val="0"/>
        <w:autoSpaceDN w:val="0"/>
        <w:adjustRightInd w:val="0"/>
        <w:rPr>
          <w:b/>
          <w:bCs/>
        </w:rPr>
      </w:pPr>
      <w:r w:rsidRPr="00452EA5">
        <w:rPr>
          <w:b/>
          <w:bCs/>
        </w:rPr>
        <w:t>Marine</w:t>
      </w:r>
    </w:p>
    <w:p w:rsidR="009446B3" w:rsidRPr="00155793" w:rsidRDefault="009446B3" w:rsidP="00155793">
      <w:pPr>
        <w:autoSpaceDE w:val="0"/>
        <w:autoSpaceDN w:val="0"/>
        <w:adjustRightInd w:val="0"/>
        <w:jc w:val="both"/>
        <w:rPr>
          <w:b/>
          <w:bCs/>
        </w:rPr>
      </w:pPr>
      <w:r w:rsidRPr="0099322B">
        <w:rPr>
          <w:color w:val="000000"/>
        </w:rPr>
        <w:t>The core members of the marine working group includes representatives from the Wildlife Conservation Society (</w:t>
      </w:r>
      <w:smartTag w:uri="urn:schemas-microsoft-com:office:smarttags" w:element="PersonName">
        <w:r w:rsidRPr="0099322B">
          <w:rPr>
            <w:color w:val="000000"/>
          </w:rPr>
          <w:t>WCS</w:t>
        </w:r>
      </w:smartTag>
      <w:r w:rsidRPr="0099322B">
        <w:rPr>
          <w:color w:val="000000"/>
        </w:rPr>
        <w:t>), Department of Fisheries, WWF South Pacific Programme, Wetlands International</w:t>
      </w:r>
      <w:r w:rsidRPr="0099322B">
        <w:rPr>
          <w:rFonts w:ascii="Calibri" w:hAnsi="Calibri"/>
          <w:color w:val="000000"/>
        </w:rPr>
        <w:t>‐</w:t>
      </w:r>
      <w:r w:rsidRPr="0099322B">
        <w:rPr>
          <w:color w:val="000000"/>
        </w:rPr>
        <w:t xml:space="preserve">Oceania (WIO) and USP, all of which are FLMMA partners. In addition, the group has received contributions from marine experts from SOPAC, BirdLife International, Whale and Dolphin Conservation Society (WDCS) and private sector groups (i.e. Beqa Adventure Divers, Marine Ecology Consulting;. In June 2009, </w:t>
      </w:r>
      <w:smartTag w:uri="urn:schemas-microsoft-com:office:smarttags" w:element="PersonName">
        <w:r w:rsidRPr="0099322B">
          <w:rPr>
            <w:color w:val="000000"/>
          </w:rPr>
          <w:t>WCS</w:t>
        </w:r>
      </w:smartTag>
      <w:r w:rsidRPr="0099322B">
        <w:rPr>
          <w:color w:val="000000"/>
        </w:rPr>
        <w:t xml:space="preserve"> facilitated a workshop to identify key marine species and surrogate habitat targets. These targets were later refined based on data availability and a follow</w:t>
      </w:r>
      <w:r w:rsidRPr="0099322B">
        <w:rPr>
          <w:rFonts w:ascii="Calibri" w:hAnsi="Calibri"/>
          <w:color w:val="000000"/>
        </w:rPr>
        <w:t>‐</w:t>
      </w:r>
      <w:r w:rsidRPr="0099322B">
        <w:rPr>
          <w:color w:val="000000"/>
        </w:rPr>
        <w:t>up workshop in March 2010 (Table 2).</w:t>
      </w:r>
    </w:p>
    <w:p w:rsidR="009446B3" w:rsidRDefault="009446B3" w:rsidP="009446B3">
      <w:pPr>
        <w:autoSpaceDE w:val="0"/>
        <w:autoSpaceDN w:val="0"/>
        <w:adjustRightInd w:val="0"/>
        <w:jc w:val="both"/>
        <w:rPr>
          <w:color w:val="000000"/>
        </w:rPr>
      </w:pPr>
      <w:r w:rsidRPr="0099322B">
        <w:rPr>
          <w:color w:val="000000"/>
        </w:rPr>
        <w:t>To assess achievement towards the conservation targets set at the March 2010 workshop, the marine working group collaborated with researchers at James Cook University and collated information on the distribution of ecosystems, management strategies, and the ecological effectiveness of each strategy for different species groups. The management strategies for which national</w:t>
      </w:r>
      <w:r w:rsidRPr="0099322B">
        <w:rPr>
          <w:rFonts w:ascii="Calibri" w:hAnsi="Calibri"/>
          <w:color w:val="000000"/>
        </w:rPr>
        <w:t>‐</w:t>
      </w:r>
      <w:r w:rsidRPr="0099322B">
        <w:rPr>
          <w:color w:val="000000"/>
        </w:rPr>
        <w:t xml:space="preserve">scale spatial data were available included: permanent closures; conditional closures with controlled harvesting; conditional closures with uncontrolled harvesting; and other management within the broader LMMA (see Table 5 for definitions). This information was then used to assess the achievement of national marine conservation targets in </w:t>
      </w:r>
      <w:smartTag w:uri="urn:schemas-microsoft-com:office:smarttags" w:element="place">
        <w:smartTag w:uri="urn:schemas-microsoft-com:office:smarttags" w:element="country-region">
          <w:r w:rsidRPr="0099322B">
            <w:rPr>
              <w:color w:val="000000"/>
            </w:rPr>
            <w:t>Fiji</w:t>
          </w:r>
        </w:smartTag>
      </w:smartTag>
      <w:r w:rsidRPr="0099322B">
        <w:rPr>
          <w:color w:val="000000"/>
        </w:rPr>
        <w:t xml:space="preserve"> under the assumption that different management strategies vary in their effectiveness for species and ecosystem conservation.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2520"/>
        <w:gridCol w:w="2880"/>
      </w:tblGrid>
      <w:tr w:rsidR="009446B3" w:rsidRPr="00252EE9" w:rsidTr="00AD1934">
        <w:tc>
          <w:tcPr>
            <w:tcW w:w="3168" w:type="dxa"/>
            <w:shd w:val="clear" w:color="auto" w:fill="auto"/>
          </w:tcPr>
          <w:p w:rsidR="009446B3" w:rsidRPr="00252EE9" w:rsidRDefault="009446B3" w:rsidP="00155793">
            <w:pPr>
              <w:autoSpaceDE w:val="0"/>
              <w:autoSpaceDN w:val="0"/>
              <w:adjustRightInd w:val="0"/>
              <w:spacing w:after="0" w:line="240" w:lineRule="auto"/>
              <w:jc w:val="both"/>
              <w:rPr>
                <w:b/>
              </w:rPr>
            </w:pPr>
            <w:r w:rsidRPr="00252EE9">
              <w:rPr>
                <w:b/>
              </w:rPr>
              <w:t>Habitat</w:t>
            </w:r>
          </w:p>
        </w:tc>
        <w:tc>
          <w:tcPr>
            <w:tcW w:w="2520" w:type="dxa"/>
            <w:shd w:val="clear" w:color="auto" w:fill="auto"/>
          </w:tcPr>
          <w:p w:rsidR="009446B3" w:rsidRPr="00252EE9" w:rsidRDefault="009446B3" w:rsidP="00155793">
            <w:pPr>
              <w:autoSpaceDE w:val="0"/>
              <w:autoSpaceDN w:val="0"/>
              <w:adjustRightInd w:val="0"/>
              <w:spacing w:after="0" w:line="240" w:lineRule="auto"/>
              <w:jc w:val="both"/>
              <w:rPr>
                <w:b/>
              </w:rPr>
            </w:pPr>
            <w:r w:rsidRPr="00252EE9">
              <w:rPr>
                <w:b/>
              </w:rPr>
              <w:t>Main species</w:t>
            </w:r>
          </w:p>
        </w:tc>
        <w:tc>
          <w:tcPr>
            <w:tcW w:w="2880" w:type="dxa"/>
            <w:shd w:val="clear" w:color="auto" w:fill="auto"/>
          </w:tcPr>
          <w:p w:rsidR="009446B3" w:rsidRPr="00252EE9" w:rsidRDefault="009446B3" w:rsidP="00155793">
            <w:pPr>
              <w:autoSpaceDE w:val="0"/>
              <w:autoSpaceDN w:val="0"/>
              <w:adjustRightInd w:val="0"/>
              <w:spacing w:after="0" w:line="240" w:lineRule="auto"/>
              <w:jc w:val="both"/>
              <w:rPr>
                <w:b/>
              </w:rPr>
            </w:pPr>
            <w:r w:rsidRPr="00252EE9">
              <w:rPr>
                <w:b/>
              </w:rPr>
              <w:t>% Target</w:t>
            </w:r>
          </w:p>
        </w:tc>
      </w:tr>
      <w:tr w:rsidR="009446B3" w:rsidRPr="00252EE9" w:rsidTr="00AD1934">
        <w:tc>
          <w:tcPr>
            <w:tcW w:w="3168" w:type="dxa"/>
            <w:shd w:val="clear" w:color="auto" w:fill="auto"/>
          </w:tcPr>
          <w:p w:rsidR="009446B3" w:rsidRPr="00252EE9" w:rsidRDefault="009446B3" w:rsidP="00155793">
            <w:pPr>
              <w:autoSpaceDE w:val="0"/>
              <w:autoSpaceDN w:val="0"/>
              <w:adjustRightInd w:val="0"/>
              <w:spacing w:after="0" w:line="240" w:lineRule="auto"/>
              <w:jc w:val="both"/>
            </w:pPr>
            <w:r w:rsidRPr="00252EE9">
              <w:rPr>
                <w:bCs/>
              </w:rPr>
              <w:t xml:space="preserve">Intertidal mudflats </w:t>
            </w:r>
          </w:p>
        </w:tc>
        <w:tc>
          <w:tcPr>
            <w:tcW w:w="2520" w:type="dxa"/>
            <w:shd w:val="clear" w:color="auto" w:fill="auto"/>
          </w:tcPr>
          <w:p w:rsidR="009446B3" w:rsidRPr="00252EE9" w:rsidRDefault="009446B3" w:rsidP="00155793">
            <w:pPr>
              <w:autoSpaceDE w:val="0"/>
              <w:autoSpaceDN w:val="0"/>
              <w:adjustRightInd w:val="0"/>
              <w:spacing w:after="0" w:line="240" w:lineRule="auto"/>
              <w:jc w:val="both"/>
            </w:pPr>
            <w:r w:rsidRPr="00252EE9">
              <w:t>Shorebirds, invertebrates</w:t>
            </w:r>
          </w:p>
        </w:tc>
        <w:tc>
          <w:tcPr>
            <w:tcW w:w="2880" w:type="dxa"/>
            <w:shd w:val="clear" w:color="auto" w:fill="auto"/>
          </w:tcPr>
          <w:p w:rsidR="009446B3" w:rsidRPr="00252EE9" w:rsidRDefault="009446B3" w:rsidP="00155793">
            <w:pPr>
              <w:autoSpaceDE w:val="0"/>
              <w:autoSpaceDN w:val="0"/>
              <w:adjustRightInd w:val="0"/>
              <w:spacing w:after="0" w:line="240" w:lineRule="auto"/>
              <w:jc w:val="both"/>
            </w:pPr>
            <w:r w:rsidRPr="00252EE9">
              <w:t>30% (with 100% of mudflats known to be important to waders in 2009</w:t>
            </w:r>
          </w:p>
        </w:tc>
      </w:tr>
      <w:tr w:rsidR="009446B3" w:rsidRPr="00252EE9" w:rsidTr="00AD1934">
        <w:tc>
          <w:tcPr>
            <w:tcW w:w="3168" w:type="dxa"/>
            <w:shd w:val="clear" w:color="auto" w:fill="auto"/>
          </w:tcPr>
          <w:p w:rsidR="009446B3" w:rsidRPr="00252EE9" w:rsidRDefault="009446B3" w:rsidP="00155793">
            <w:pPr>
              <w:autoSpaceDE w:val="0"/>
              <w:autoSpaceDN w:val="0"/>
              <w:adjustRightInd w:val="0"/>
              <w:spacing w:after="0" w:line="240" w:lineRule="auto"/>
              <w:jc w:val="both"/>
            </w:pPr>
            <w:r w:rsidRPr="00252EE9">
              <w:rPr>
                <w:bCs/>
              </w:rPr>
              <w:t xml:space="preserve">Mangroves </w:t>
            </w:r>
          </w:p>
        </w:tc>
        <w:tc>
          <w:tcPr>
            <w:tcW w:w="2520" w:type="dxa"/>
            <w:shd w:val="clear" w:color="auto" w:fill="auto"/>
          </w:tcPr>
          <w:p w:rsidR="009446B3" w:rsidRPr="00252EE9" w:rsidRDefault="009446B3" w:rsidP="00155793">
            <w:pPr>
              <w:autoSpaceDE w:val="0"/>
              <w:autoSpaceDN w:val="0"/>
              <w:adjustRightInd w:val="0"/>
              <w:spacing w:after="0" w:line="240" w:lineRule="auto"/>
              <w:jc w:val="both"/>
            </w:pPr>
            <w:r w:rsidRPr="00252EE9">
              <w:t>Fish, invertebrates, seabirds, bats, mangroves</w:t>
            </w:r>
          </w:p>
        </w:tc>
        <w:tc>
          <w:tcPr>
            <w:tcW w:w="2880" w:type="dxa"/>
            <w:shd w:val="clear" w:color="auto" w:fill="auto"/>
          </w:tcPr>
          <w:p w:rsidR="009446B3" w:rsidRPr="00252EE9" w:rsidRDefault="009446B3" w:rsidP="00155793">
            <w:pPr>
              <w:autoSpaceDE w:val="0"/>
              <w:autoSpaceDN w:val="0"/>
              <w:adjustRightInd w:val="0"/>
              <w:spacing w:after="0" w:line="240" w:lineRule="auto"/>
              <w:jc w:val="both"/>
            </w:pPr>
            <w:r w:rsidRPr="00252EE9">
              <w:t>30%</w:t>
            </w:r>
          </w:p>
        </w:tc>
      </w:tr>
      <w:tr w:rsidR="009446B3" w:rsidRPr="00252EE9" w:rsidTr="00AD1934">
        <w:tc>
          <w:tcPr>
            <w:tcW w:w="3168" w:type="dxa"/>
            <w:shd w:val="clear" w:color="auto" w:fill="auto"/>
          </w:tcPr>
          <w:p w:rsidR="009446B3" w:rsidRPr="00252EE9" w:rsidRDefault="009446B3" w:rsidP="00155793">
            <w:pPr>
              <w:autoSpaceDE w:val="0"/>
              <w:autoSpaceDN w:val="0"/>
              <w:adjustRightInd w:val="0"/>
              <w:spacing w:after="0" w:line="240" w:lineRule="auto"/>
              <w:jc w:val="both"/>
            </w:pPr>
            <w:r w:rsidRPr="00252EE9">
              <w:rPr>
                <w:bCs/>
              </w:rPr>
              <w:t xml:space="preserve">Fringing reef </w:t>
            </w:r>
          </w:p>
        </w:tc>
        <w:tc>
          <w:tcPr>
            <w:tcW w:w="2520" w:type="dxa"/>
            <w:shd w:val="clear" w:color="auto" w:fill="auto"/>
          </w:tcPr>
          <w:p w:rsidR="009446B3" w:rsidRPr="00252EE9" w:rsidRDefault="009446B3" w:rsidP="00155793">
            <w:pPr>
              <w:autoSpaceDE w:val="0"/>
              <w:autoSpaceDN w:val="0"/>
              <w:adjustRightInd w:val="0"/>
              <w:spacing w:after="0" w:line="240" w:lineRule="auto"/>
              <w:jc w:val="both"/>
            </w:pPr>
            <w:r w:rsidRPr="00252EE9">
              <w:t>Coral, invertebrates, fish</w:t>
            </w:r>
          </w:p>
        </w:tc>
        <w:tc>
          <w:tcPr>
            <w:tcW w:w="2880" w:type="dxa"/>
            <w:shd w:val="clear" w:color="auto" w:fill="auto"/>
          </w:tcPr>
          <w:p w:rsidR="009446B3" w:rsidRPr="00252EE9" w:rsidRDefault="009446B3" w:rsidP="00155793">
            <w:pPr>
              <w:autoSpaceDE w:val="0"/>
              <w:autoSpaceDN w:val="0"/>
              <w:adjustRightInd w:val="0"/>
              <w:spacing w:after="0" w:line="240" w:lineRule="auto"/>
              <w:jc w:val="both"/>
            </w:pPr>
            <w:r w:rsidRPr="00252EE9">
              <w:t>30%</w:t>
            </w:r>
          </w:p>
        </w:tc>
      </w:tr>
      <w:tr w:rsidR="009446B3" w:rsidRPr="00252EE9" w:rsidTr="00AD1934">
        <w:tc>
          <w:tcPr>
            <w:tcW w:w="3168" w:type="dxa"/>
            <w:shd w:val="clear" w:color="auto" w:fill="auto"/>
          </w:tcPr>
          <w:p w:rsidR="009446B3" w:rsidRPr="00252EE9" w:rsidRDefault="009446B3" w:rsidP="00155793">
            <w:pPr>
              <w:autoSpaceDE w:val="0"/>
              <w:autoSpaceDN w:val="0"/>
              <w:adjustRightInd w:val="0"/>
              <w:spacing w:after="0" w:line="240" w:lineRule="auto"/>
              <w:jc w:val="both"/>
            </w:pPr>
            <w:r w:rsidRPr="00252EE9">
              <w:rPr>
                <w:bCs/>
              </w:rPr>
              <w:t>Non</w:t>
            </w:r>
            <w:r w:rsidRPr="00252EE9">
              <w:rPr>
                <w:rFonts w:eastAsia="MS Gothic" w:hAnsi="MS Gothic"/>
                <w:bCs/>
              </w:rPr>
              <w:t>‐</w:t>
            </w:r>
            <w:r w:rsidRPr="00252EE9">
              <w:rPr>
                <w:bCs/>
              </w:rPr>
              <w:t xml:space="preserve">fringing reef </w:t>
            </w:r>
          </w:p>
        </w:tc>
        <w:tc>
          <w:tcPr>
            <w:tcW w:w="2520" w:type="dxa"/>
            <w:shd w:val="clear" w:color="auto" w:fill="auto"/>
          </w:tcPr>
          <w:p w:rsidR="009446B3" w:rsidRPr="00252EE9" w:rsidRDefault="009446B3" w:rsidP="00155793">
            <w:pPr>
              <w:autoSpaceDE w:val="0"/>
              <w:autoSpaceDN w:val="0"/>
              <w:adjustRightInd w:val="0"/>
              <w:spacing w:after="0" w:line="240" w:lineRule="auto"/>
              <w:jc w:val="both"/>
            </w:pPr>
            <w:r w:rsidRPr="00252EE9">
              <w:t>Coral, invertebrates, fish</w:t>
            </w:r>
          </w:p>
        </w:tc>
        <w:tc>
          <w:tcPr>
            <w:tcW w:w="2880" w:type="dxa"/>
            <w:shd w:val="clear" w:color="auto" w:fill="auto"/>
          </w:tcPr>
          <w:p w:rsidR="009446B3" w:rsidRPr="00252EE9" w:rsidRDefault="009446B3" w:rsidP="00155793">
            <w:pPr>
              <w:autoSpaceDE w:val="0"/>
              <w:autoSpaceDN w:val="0"/>
              <w:adjustRightInd w:val="0"/>
              <w:spacing w:after="0" w:line="240" w:lineRule="auto"/>
              <w:jc w:val="both"/>
            </w:pPr>
            <w:r w:rsidRPr="00252EE9">
              <w:t>30% (with 100% of reef channels known to support spawning aggregations</w:t>
            </w:r>
          </w:p>
        </w:tc>
      </w:tr>
      <w:tr w:rsidR="009446B3" w:rsidRPr="00252EE9" w:rsidTr="00AD1934">
        <w:tc>
          <w:tcPr>
            <w:tcW w:w="3168" w:type="dxa"/>
            <w:shd w:val="clear" w:color="auto" w:fill="auto"/>
          </w:tcPr>
          <w:p w:rsidR="009446B3" w:rsidRPr="00252EE9" w:rsidRDefault="009446B3" w:rsidP="00155793">
            <w:pPr>
              <w:autoSpaceDE w:val="0"/>
              <w:autoSpaceDN w:val="0"/>
              <w:adjustRightInd w:val="0"/>
              <w:spacing w:after="0" w:line="240" w:lineRule="auto"/>
              <w:jc w:val="both"/>
              <w:rPr>
                <w:bCs/>
              </w:rPr>
            </w:pPr>
            <w:r w:rsidRPr="00252EE9">
              <w:rPr>
                <w:bCs/>
              </w:rPr>
              <w:t>Other benthos &lt; 30m</w:t>
            </w:r>
          </w:p>
          <w:p w:rsidR="009446B3" w:rsidRPr="00252EE9" w:rsidRDefault="009446B3" w:rsidP="00155793">
            <w:pPr>
              <w:autoSpaceDE w:val="0"/>
              <w:autoSpaceDN w:val="0"/>
              <w:adjustRightInd w:val="0"/>
              <w:spacing w:after="0" w:line="240" w:lineRule="auto"/>
              <w:jc w:val="both"/>
            </w:pPr>
          </w:p>
        </w:tc>
        <w:tc>
          <w:tcPr>
            <w:tcW w:w="2520" w:type="dxa"/>
            <w:shd w:val="clear" w:color="auto" w:fill="auto"/>
          </w:tcPr>
          <w:p w:rsidR="009446B3" w:rsidRPr="00252EE9" w:rsidRDefault="009446B3" w:rsidP="00155793">
            <w:pPr>
              <w:autoSpaceDE w:val="0"/>
              <w:autoSpaceDN w:val="0"/>
              <w:adjustRightInd w:val="0"/>
              <w:spacing w:after="0" w:line="240" w:lineRule="auto"/>
              <w:jc w:val="both"/>
            </w:pPr>
            <w:r w:rsidRPr="00252EE9">
              <w:t xml:space="preserve">Invertebrates, fish, seagrass, turtles </w:t>
            </w:r>
          </w:p>
        </w:tc>
        <w:tc>
          <w:tcPr>
            <w:tcW w:w="2880" w:type="dxa"/>
            <w:shd w:val="clear" w:color="auto" w:fill="auto"/>
          </w:tcPr>
          <w:p w:rsidR="009446B3" w:rsidRPr="00252EE9" w:rsidRDefault="009446B3" w:rsidP="00155793">
            <w:pPr>
              <w:autoSpaceDE w:val="0"/>
              <w:autoSpaceDN w:val="0"/>
              <w:adjustRightInd w:val="0"/>
              <w:spacing w:after="0" w:line="240" w:lineRule="auto"/>
              <w:jc w:val="both"/>
            </w:pPr>
            <w:r w:rsidRPr="00252EE9">
              <w:t>10% (with 100% of highest quality turtle feeding ground known from 2009)</w:t>
            </w:r>
          </w:p>
        </w:tc>
      </w:tr>
      <w:tr w:rsidR="009446B3" w:rsidRPr="00252EE9" w:rsidTr="00AD1934">
        <w:tc>
          <w:tcPr>
            <w:tcW w:w="3168" w:type="dxa"/>
            <w:shd w:val="clear" w:color="auto" w:fill="auto"/>
          </w:tcPr>
          <w:p w:rsidR="009446B3" w:rsidRPr="00252EE9" w:rsidRDefault="009446B3" w:rsidP="00155793">
            <w:pPr>
              <w:autoSpaceDE w:val="0"/>
              <w:autoSpaceDN w:val="0"/>
              <w:adjustRightInd w:val="0"/>
              <w:spacing w:after="0" w:line="240" w:lineRule="auto"/>
              <w:jc w:val="both"/>
              <w:rPr>
                <w:bCs/>
              </w:rPr>
            </w:pPr>
            <w:r w:rsidRPr="00252EE9">
              <w:rPr>
                <w:bCs/>
              </w:rPr>
              <w:t>Permanent sandy cays, beaches and coastal littoral forests</w:t>
            </w:r>
          </w:p>
          <w:p w:rsidR="009446B3" w:rsidRPr="00252EE9" w:rsidRDefault="009446B3" w:rsidP="00155793">
            <w:pPr>
              <w:autoSpaceDE w:val="0"/>
              <w:autoSpaceDN w:val="0"/>
              <w:adjustRightInd w:val="0"/>
              <w:spacing w:after="0" w:line="240" w:lineRule="auto"/>
              <w:jc w:val="both"/>
            </w:pPr>
          </w:p>
        </w:tc>
        <w:tc>
          <w:tcPr>
            <w:tcW w:w="2520" w:type="dxa"/>
            <w:shd w:val="clear" w:color="auto" w:fill="auto"/>
          </w:tcPr>
          <w:p w:rsidR="009446B3" w:rsidRPr="00252EE9" w:rsidRDefault="009446B3" w:rsidP="00155793">
            <w:pPr>
              <w:autoSpaceDE w:val="0"/>
              <w:autoSpaceDN w:val="0"/>
              <w:adjustRightInd w:val="0"/>
              <w:spacing w:after="0" w:line="240" w:lineRule="auto"/>
              <w:jc w:val="both"/>
            </w:pPr>
            <w:r w:rsidRPr="00252EE9">
              <w:t>Turtles, seabirds</w:t>
            </w:r>
          </w:p>
        </w:tc>
        <w:tc>
          <w:tcPr>
            <w:tcW w:w="2880" w:type="dxa"/>
            <w:shd w:val="clear" w:color="auto" w:fill="auto"/>
          </w:tcPr>
          <w:p w:rsidR="009446B3" w:rsidRPr="00252EE9" w:rsidRDefault="009446B3" w:rsidP="00155793">
            <w:pPr>
              <w:autoSpaceDE w:val="0"/>
              <w:autoSpaceDN w:val="0"/>
              <w:adjustRightInd w:val="0"/>
              <w:spacing w:after="0" w:line="240" w:lineRule="auto"/>
              <w:jc w:val="both"/>
            </w:pPr>
            <w:r w:rsidRPr="00252EE9">
              <w:t>50% (with 100% of priority seabird and turtle nesting sites known from 2009)</w:t>
            </w:r>
          </w:p>
        </w:tc>
      </w:tr>
    </w:tbl>
    <w:p w:rsidR="009446B3" w:rsidRDefault="009446B3" w:rsidP="00155793">
      <w:pPr>
        <w:autoSpaceDE w:val="0"/>
        <w:autoSpaceDN w:val="0"/>
        <w:adjustRightInd w:val="0"/>
        <w:spacing w:after="0"/>
        <w:jc w:val="both"/>
      </w:pPr>
    </w:p>
    <w:p w:rsidR="009446B3" w:rsidRPr="0099322B" w:rsidRDefault="009446B3" w:rsidP="009446B3">
      <w:pPr>
        <w:autoSpaceDE w:val="0"/>
        <w:autoSpaceDN w:val="0"/>
        <w:adjustRightInd w:val="0"/>
        <w:jc w:val="both"/>
      </w:pPr>
      <w:r w:rsidRPr="00811E82">
        <w:t>While national targets for other benthic habitat were achieved at all depths across all habitats, the gap analysis results indicated that Fiji will require approximately an additional 10</w:t>
      </w:r>
      <w:r w:rsidRPr="00811E82">
        <w:rPr>
          <w:rFonts w:ascii="Calibri" w:hAnsi="Calibri"/>
        </w:rPr>
        <w:t>‐</w:t>
      </w:r>
      <w:r w:rsidRPr="00811E82">
        <w:t xml:space="preserve">20% effective coverage across fringing reefs, non fringing reefs, mangroves and intertidal habitats .This can be accomplished through implementing the range of different management strategies across the remaining unprotected inshore marine areas in Fiji. For example, to meet the national target of 30% effective coverage of fringing reefs would require the addition of 402 km2 of permanent closures, 574 km2 of conditional closures with controlled harvesting or 2,010 km2 of other management. Given that there is only 867 km2 of unmanaged fringing reef in </w:t>
      </w:r>
      <w:smartTag w:uri="urn:schemas-microsoft-com:office:smarttags" w:element="country-region">
        <w:smartTag w:uri="urn:schemas-microsoft-com:office:smarttags" w:element="place">
          <w:r w:rsidRPr="00811E82">
            <w:t>Fiji</w:t>
          </w:r>
        </w:smartTag>
      </w:smartTag>
      <w:r w:rsidRPr="00811E82">
        <w:t>, it will be necessary to think about establishing larger and more numerous permanent closures and conditional closures with controlled harvesting</w:t>
      </w:r>
      <w:r>
        <w:rPr>
          <w:rFonts w:ascii="Calibri" w:hAnsi="Calibri" w:cs="Calibri"/>
        </w:rPr>
        <w:t xml:space="preserve">. </w:t>
      </w:r>
    </w:p>
    <w:p w:rsidR="00795E6A" w:rsidRDefault="00795E6A" w:rsidP="00795E6A">
      <w:pPr>
        <w:tabs>
          <w:tab w:val="left" w:pos="2186"/>
        </w:tabs>
      </w:pPr>
      <w:r w:rsidRPr="005168A6">
        <w:rPr>
          <w:rStyle w:val="Heading1Char"/>
        </w:rPr>
        <w:t>Management effectiveness assessment</w:t>
      </w:r>
      <w:r>
        <w:t xml:space="preserve"> (Insert summary findings if available)</w:t>
      </w:r>
    </w:p>
    <w:p w:rsidR="004D7BFE" w:rsidRDefault="004D7BFE" w:rsidP="004D7BFE">
      <w:pPr>
        <w:tabs>
          <w:tab w:val="left" w:pos="2186"/>
        </w:tabs>
        <w:jc w:val="both"/>
      </w:pPr>
      <w:r>
        <w:t xml:space="preserve">A management effectiveness framework has been adapted by the Fiji Protected Areas Committee to be applied to existing state managed protected areas. The Fiji Locally Marine Managed Areas network has developed a Site Audit and Learning document for the purpose of monitoring and management. </w:t>
      </w:r>
    </w:p>
    <w:p w:rsidR="00795E6A" w:rsidRDefault="00795E6A" w:rsidP="00795E6A">
      <w:pPr>
        <w:tabs>
          <w:tab w:val="left" w:pos="2186"/>
        </w:tabs>
      </w:pPr>
      <w:r w:rsidRPr="005168A6">
        <w:rPr>
          <w:rStyle w:val="Heading1Char"/>
        </w:rPr>
        <w:t>Sustainable finance assessment</w:t>
      </w:r>
      <w:r>
        <w:t xml:space="preserve"> (Insert summary findings if available)</w:t>
      </w:r>
    </w:p>
    <w:p w:rsidR="004A3391" w:rsidRDefault="004A3391" w:rsidP="004A3391">
      <w:pPr>
        <w:autoSpaceDE w:val="0"/>
        <w:autoSpaceDN w:val="0"/>
        <w:adjustRightInd w:val="0"/>
        <w:spacing w:after="0" w:line="240" w:lineRule="auto"/>
        <w:jc w:val="both"/>
      </w:pPr>
      <w:r>
        <w:t>Financing of protected areas in Fiji have been established through cost sharing, benefit sharing, investment and enterprise funds in active collaboration between international NGO partners, the government of Fiji, multilateral or private foundation and sector funders as well as community driven monitoring and adaptive management.</w:t>
      </w:r>
    </w:p>
    <w:p w:rsidR="004A3391" w:rsidRDefault="004A3391" w:rsidP="004A3391">
      <w:pPr>
        <w:autoSpaceDE w:val="0"/>
        <w:autoSpaceDN w:val="0"/>
        <w:adjustRightInd w:val="0"/>
        <w:spacing w:after="0" w:line="240" w:lineRule="auto"/>
        <w:jc w:val="both"/>
      </w:pPr>
    </w:p>
    <w:p w:rsidR="004A3391" w:rsidRDefault="004A3391" w:rsidP="004A3391">
      <w:pPr>
        <w:autoSpaceDE w:val="0"/>
        <w:autoSpaceDN w:val="0"/>
        <w:adjustRightInd w:val="0"/>
        <w:spacing w:after="0" w:line="240" w:lineRule="auto"/>
        <w:jc w:val="both"/>
      </w:pPr>
      <w:r>
        <w:t>Market based r</w:t>
      </w:r>
      <w:r w:rsidRPr="00AB6C4F">
        <w:t>esource-use fees, tourism charges and payments for ecosystem services</w:t>
      </w:r>
      <w:r>
        <w:t xml:space="preserve"> contribute to </w:t>
      </w:r>
      <w:r w:rsidRPr="00AB6C4F">
        <w:t>PA</w:t>
      </w:r>
      <w:r>
        <w:t xml:space="preserve"> management however the revenue generated is only a fraction of the cost to manage PA.  For this reason there is continual discussion on sustainable financing mechanism that supports and diversifies the scope of PA management to allow resilience to impacts of climate change. </w:t>
      </w:r>
    </w:p>
    <w:p w:rsidR="004A3391" w:rsidRDefault="004A3391" w:rsidP="004A3391">
      <w:pPr>
        <w:autoSpaceDE w:val="0"/>
        <w:autoSpaceDN w:val="0"/>
        <w:adjustRightInd w:val="0"/>
        <w:spacing w:after="0" w:line="240" w:lineRule="auto"/>
        <w:jc w:val="both"/>
      </w:pPr>
    </w:p>
    <w:p w:rsidR="004A3391" w:rsidRDefault="004A3391" w:rsidP="004A3391">
      <w:pPr>
        <w:jc w:val="both"/>
      </w:pPr>
      <w:r>
        <w:t>Sustainable financing mechanism is important to support continuity of current PA work.  Recent assessment on Fiji Locally Managed Marine Area Cost Analysis and Financing Framework</w:t>
      </w:r>
      <w:r>
        <w:rPr>
          <w:rStyle w:val="FootnoteReference"/>
        </w:rPr>
        <w:footnoteReference w:id="16"/>
      </w:r>
      <w:r>
        <w:t xml:space="preserve"> indicate an </w:t>
      </w:r>
      <w:r w:rsidRPr="00AB6C4F">
        <w:t>estimated capitaliz</w:t>
      </w:r>
      <w:r>
        <w:t xml:space="preserve">ation fund of </w:t>
      </w:r>
      <w:r w:rsidRPr="00AB6C4F">
        <w:t>$5-10 million</w:t>
      </w:r>
      <w:r>
        <w:t xml:space="preserve"> as Trust Fund to cover the full cost of maintaining 102 FLMMA.  Considering the cost sharing aspect, actual capitalization requirement is reduced $2.5-5 million.  In any event, the Trust Fund for MPA will</w:t>
      </w:r>
      <w:r w:rsidRPr="003946F5">
        <w:t xml:space="preserve"> require a strong fundraising campaign targeted at key philanthropic donors. In addition to </w:t>
      </w:r>
      <w:r>
        <w:t xml:space="preserve">this </w:t>
      </w:r>
      <w:r w:rsidRPr="003946F5">
        <w:t>donor support, community support should also be considered.</w:t>
      </w:r>
      <w:r>
        <w:t xml:space="preserve">  For terrestrial ecosystem, enterprise funding is site specific with the view of creating a model that can be replicated to other PA sites.  The Trust Fund set up for Sovi Basin Conservation area is valued at $4.75m, with matching funds from Fiji Water Foundation, Conservation International and other business enterprise.  Mechanism for administering the Trust Fund is established through extensive consultation with all stakeholders.   </w:t>
      </w:r>
    </w:p>
    <w:p w:rsidR="004A3391" w:rsidRDefault="004A3391" w:rsidP="004A3391">
      <w:pPr>
        <w:jc w:val="both"/>
      </w:pPr>
      <w:r>
        <w:t>There is a need to undertake scoping study to assess the total cost of protecting significant, connected PA system creating corridors from ridge, reef and wider seascape.   The scoping study must also consider investment and enterprise funding mechanisms as well as taxation incentives.</w:t>
      </w:r>
    </w:p>
    <w:p w:rsidR="004A3391" w:rsidRDefault="004A3391" w:rsidP="00795E6A">
      <w:pPr>
        <w:tabs>
          <w:tab w:val="left" w:pos="2186"/>
        </w:tabs>
        <w:rPr>
          <w:rStyle w:val="Heading1Char"/>
        </w:rPr>
      </w:pPr>
    </w:p>
    <w:p w:rsidR="00795E6A" w:rsidRDefault="00795E6A" w:rsidP="00795E6A">
      <w:pPr>
        <w:tabs>
          <w:tab w:val="left" w:pos="2186"/>
        </w:tabs>
      </w:pPr>
      <w:r w:rsidRPr="005168A6">
        <w:rPr>
          <w:rStyle w:val="Heading1Char"/>
        </w:rPr>
        <w:t>Capacity needs assessment</w:t>
      </w:r>
      <w:r>
        <w:t xml:space="preserve"> (Insert summary findings if available)</w:t>
      </w:r>
    </w:p>
    <w:p w:rsidR="004D7BFE" w:rsidRDefault="004D7BFE" w:rsidP="004D7BFE">
      <w:pPr>
        <w:jc w:val="both"/>
      </w:pPr>
      <w:r>
        <w:t>To date, Fiji has not carried out a systematic assessment of capacity needs from its existing protected areas. There is an aspiration that the new Protected Area legislation will provide the policy framework to formalize a statutory body that would be responsible for carrying out capacity needs assessments as part of their remit to monitor protected areas. This body could be based on the ideas for a "Conservation and National Parks Authority" within the Department of Environment proposed in Part XVII of the Draft Sustainable Development Bill (1997).</w:t>
      </w:r>
    </w:p>
    <w:p w:rsidR="005168A6" w:rsidRDefault="005168A6" w:rsidP="00795E6A">
      <w:pPr>
        <w:tabs>
          <w:tab w:val="left" w:pos="2186"/>
        </w:tabs>
        <w:rPr>
          <w:rStyle w:val="Heading1Char"/>
        </w:rPr>
      </w:pPr>
    </w:p>
    <w:p w:rsidR="00795E6A" w:rsidRDefault="00795E6A" w:rsidP="00795E6A">
      <w:pPr>
        <w:tabs>
          <w:tab w:val="left" w:pos="2186"/>
        </w:tabs>
      </w:pPr>
      <w:r w:rsidRPr="005168A6">
        <w:rPr>
          <w:rStyle w:val="Heading1Char"/>
        </w:rPr>
        <w:t>Policy environment assessment</w:t>
      </w:r>
      <w:r>
        <w:t xml:space="preserve"> (Insert summary findings if available)</w:t>
      </w:r>
    </w:p>
    <w:p w:rsidR="009446B3" w:rsidRPr="009446B3" w:rsidRDefault="009446B3" w:rsidP="009446B3">
      <w:pPr>
        <w:pStyle w:val="ECFBodyCharChar"/>
        <w:rPr>
          <w:rFonts w:asciiTheme="minorHAnsi" w:hAnsiTheme="minorHAnsi" w:cstheme="minorHAnsi"/>
          <w:sz w:val="22"/>
          <w:szCs w:val="22"/>
        </w:rPr>
      </w:pPr>
      <w:r w:rsidRPr="009446B3">
        <w:rPr>
          <w:rFonts w:asciiTheme="minorHAnsi" w:hAnsiTheme="minorHAnsi" w:cstheme="minorHAnsi"/>
          <w:sz w:val="22"/>
          <w:szCs w:val="22"/>
        </w:rPr>
        <w:t>Current legislation for PAs is dispersed among several different departments and agencies. As such responsibilities are dispersed, and the frequent shifting of several of these departments between different ministries (ie DoEnv. and DCulture &amp; Heritage; National Trust) makes it very difficult for these agencies to attract consistent political and institutional support. This situation has not changed since it was first identified as problematic in the National Trust-WWF study of 1980, which resulted in draft PA legislation being drafted then.</w:t>
      </w:r>
    </w:p>
    <w:p w:rsidR="009446B3" w:rsidRPr="009446B3" w:rsidRDefault="009446B3" w:rsidP="009446B3">
      <w:pPr>
        <w:pStyle w:val="ECFBodyCharChar"/>
        <w:rPr>
          <w:rFonts w:asciiTheme="minorHAnsi" w:hAnsiTheme="minorHAnsi" w:cstheme="minorHAnsi"/>
          <w:sz w:val="22"/>
          <w:szCs w:val="22"/>
        </w:rPr>
      </w:pPr>
      <w:smartTag w:uri="urn:schemas-microsoft-com:office:smarttags" w:element="country-region">
        <w:r w:rsidRPr="009446B3">
          <w:rPr>
            <w:rFonts w:asciiTheme="minorHAnsi" w:hAnsiTheme="minorHAnsi" w:cstheme="minorHAnsi"/>
            <w:sz w:val="22"/>
            <w:szCs w:val="22"/>
          </w:rPr>
          <w:t>Fiji</w:t>
        </w:r>
      </w:smartTag>
      <w:r w:rsidRPr="009446B3">
        <w:rPr>
          <w:rFonts w:asciiTheme="minorHAnsi" w:hAnsiTheme="minorHAnsi" w:cstheme="minorHAnsi"/>
          <w:sz w:val="22"/>
          <w:szCs w:val="22"/>
        </w:rPr>
        <w:t xml:space="preserve">’s Forest Decree’s Nature Reserve legislation is no longer a credible instrument in a modern context, this has been demonstrated during the </w:t>
      </w:r>
      <w:smartTag w:uri="urn:schemas-microsoft-com:office:smarttags" w:element="place">
        <w:smartTag w:uri="urn:schemas-microsoft-com:office:smarttags" w:element="PlaceName">
          <w:r w:rsidRPr="009446B3">
            <w:rPr>
              <w:rFonts w:asciiTheme="minorHAnsi" w:hAnsiTheme="minorHAnsi" w:cstheme="minorHAnsi"/>
              <w:sz w:val="22"/>
              <w:szCs w:val="22"/>
            </w:rPr>
            <w:t>Sovi</w:t>
          </w:r>
        </w:smartTag>
        <w:r w:rsidRPr="009446B3">
          <w:rPr>
            <w:rFonts w:asciiTheme="minorHAnsi" w:hAnsiTheme="minorHAnsi" w:cstheme="minorHAnsi"/>
            <w:sz w:val="22"/>
            <w:szCs w:val="22"/>
          </w:rPr>
          <w:t xml:space="preserve"> </w:t>
        </w:r>
        <w:smartTag w:uri="urn:schemas-microsoft-com:office:smarttags" w:element="PlaceType">
          <w:r w:rsidRPr="009446B3">
            <w:rPr>
              <w:rFonts w:asciiTheme="minorHAnsi" w:hAnsiTheme="minorHAnsi" w:cstheme="minorHAnsi"/>
              <w:sz w:val="22"/>
              <w:szCs w:val="22"/>
            </w:rPr>
            <w:t>Basin</w:t>
          </w:r>
        </w:smartTag>
      </w:smartTag>
      <w:r w:rsidRPr="009446B3">
        <w:rPr>
          <w:rFonts w:asciiTheme="minorHAnsi" w:hAnsiTheme="minorHAnsi" w:cstheme="minorHAnsi"/>
          <w:sz w:val="22"/>
          <w:szCs w:val="22"/>
        </w:rPr>
        <w:t xml:space="preserve"> work which has revealed that NLTB will not accept it.  This is a highly significant development which indicates that what has hitherto been considered the most secure legislation for terrestrial protected areas is actually no longer workable. Equally serious are the advanced plans for the Tomanivi and Ravilevu Nature Reserves to be reverted from crown freehold to native tenure.</w:t>
      </w:r>
    </w:p>
    <w:p w:rsidR="009446B3" w:rsidRPr="009446B3" w:rsidRDefault="009446B3" w:rsidP="009446B3">
      <w:pPr>
        <w:pStyle w:val="ECFBodyCharChar"/>
        <w:rPr>
          <w:rFonts w:asciiTheme="minorHAnsi" w:hAnsiTheme="minorHAnsi" w:cstheme="minorHAnsi"/>
          <w:sz w:val="22"/>
          <w:szCs w:val="22"/>
        </w:rPr>
      </w:pPr>
    </w:p>
    <w:p w:rsidR="009446B3" w:rsidRPr="009446B3" w:rsidRDefault="009446B3" w:rsidP="009446B3">
      <w:pPr>
        <w:jc w:val="both"/>
        <w:rPr>
          <w:rFonts w:cstheme="minorHAnsi"/>
        </w:rPr>
      </w:pPr>
      <w:r w:rsidRPr="009446B3">
        <w:rPr>
          <w:rFonts w:cstheme="minorHAnsi"/>
        </w:rPr>
        <w:t>Recent developments with the FLMMA network and local community control of qoliqoli have shown that the Fisheries legislation for Marine reserves is also not a credible instrument in a modern context.</w:t>
      </w:r>
    </w:p>
    <w:p w:rsidR="009446B3" w:rsidRPr="009446B3" w:rsidRDefault="009446B3" w:rsidP="009446B3">
      <w:pPr>
        <w:spacing w:after="0" w:line="240" w:lineRule="auto"/>
        <w:jc w:val="both"/>
        <w:rPr>
          <w:rFonts w:ascii="Calibri" w:eastAsia="Calibri" w:hAnsi="Calibri" w:cs="Calibri"/>
        </w:rPr>
      </w:pPr>
      <w:r w:rsidRPr="009446B3">
        <w:rPr>
          <w:rFonts w:ascii="Calibri" w:eastAsia="Calibri" w:hAnsi="Calibri" w:cs="Calibri"/>
          <w:color w:val="000000"/>
          <w:lang w:val="en-AU"/>
        </w:rPr>
        <w:t>The lack of a national policy and legislative framework was identified as one of the key gaps that need to be addressed.</w:t>
      </w:r>
    </w:p>
    <w:p w:rsidR="009446B3" w:rsidRPr="009446B3" w:rsidRDefault="009446B3" w:rsidP="009446B3">
      <w:pPr>
        <w:pStyle w:val="ListParagraph"/>
        <w:spacing w:after="0"/>
        <w:rPr>
          <w:rFonts w:ascii="Calibri" w:eastAsia="Calibri" w:hAnsi="Calibri" w:cs="Calibri"/>
        </w:rPr>
      </w:pPr>
    </w:p>
    <w:p w:rsidR="009446B3" w:rsidRPr="009446B3" w:rsidRDefault="009446B3" w:rsidP="009446B3">
      <w:pPr>
        <w:spacing w:after="0" w:line="240" w:lineRule="auto"/>
        <w:jc w:val="both"/>
        <w:rPr>
          <w:rFonts w:ascii="Calibri" w:eastAsia="Calibri" w:hAnsi="Calibri" w:cs="Calibri"/>
          <w:color w:val="4F81BD"/>
        </w:rPr>
      </w:pPr>
      <w:r>
        <w:rPr>
          <w:rFonts w:cstheme="minorHAnsi"/>
          <w:color w:val="000000"/>
          <w:lang w:val="en-AU"/>
        </w:rPr>
        <w:t>In 2011 the Fiji Government approved the process to commence the drafting of a</w:t>
      </w:r>
      <w:r w:rsidR="0062603E">
        <w:rPr>
          <w:rFonts w:cstheme="minorHAnsi"/>
          <w:color w:val="000000"/>
          <w:lang w:val="en-AU"/>
        </w:rPr>
        <w:t xml:space="preserve"> national </w:t>
      </w:r>
      <w:r>
        <w:rPr>
          <w:rFonts w:cstheme="minorHAnsi"/>
          <w:color w:val="000000"/>
          <w:lang w:val="en-AU"/>
        </w:rPr>
        <w:t xml:space="preserve">policy </w:t>
      </w:r>
      <w:r w:rsidR="0062603E">
        <w:rPr>
          <w:rFonts w:cstheme="minorHAnsi"/>
          <w:color w:val="000000"/>
          <w:lang w:val="en-AU"/>
        </w:rPr>
        <w:t xml:space="preserve">and legislative </w:t>
      </w:r>
      <w:r>
        <w:rPr>
          <w:rFonts w:cstheme="minorHAnsi"/>
          <w:color w:val="000000"/>
          <w:lang w:val="en-AU"/>
        </w:rPr>
        <w:t xml:space="preserve">framework for Protected Areas Management in Fiji. </w:t>
      </w:r>
      <w:r w:rsidRPr="009446B3">
        <w:rPr>
          <w:rFonts w:ascii="Calibri" w:eastAsia="Calibri" w:hAnsi="Calibri" w:cs="Calibri"/>
          <w:color w:val="000000"/>
          <w:lang w:val="en-AU"/>
        </w:rPr>
        <w:t xml:space="preserve">The PAC through the Department of Environment will work in close consultation with the Office of the Solicitor General to develop a draft policy and legislative framework. A legal consultant will be commissioned to assist with this process. </w:t>
      </w:r>
    </w:p>
    <w:p w:rsidR="009446B3" w:rsidRPr="009446B3" w:rsidRDefault="009446B3" w:rsidP="009446B3">
      <w:pPr>
        <w:pStyle w:val="ListParagraph"/>
        <w:spacing w:after="0"/>
        <w:rPr>
          <w:rFonts w:ascii="Calibri" w:eastAsia="Calibri" w:hAnsi="Calibri" w:cs="Calibri"/>
          <w:color w:val="4F81BD"/>
        </w:rPr>
      </w:pPr>
    </w:p>
    <w:p w:rsidR="009446B3" w:rsidRPr="009446B3" w:rsidRDefault="009446B3" w:rsidP="009446B3">
      <w:pPr>
        <w:spacing w:after="0" w:line="240" w:lineRule="auto"/>
        <w:jc w:val="both"/>
        <w:rPr>
          <w:rFonts w:ascii="Calibri" w:eastAsia="Calibri" w:hAnsi="Calibri" w:cs="Calibri"/>
          <w:color w:val="4F81BD"/>
        </w:rPr>
      </w:pPr>
      <w:r w:rsidRPr="009446B3">
        <w:rPr>
          <w:rFonts w:ascii="Calibri" w:eastAsia="Calibri" w:hAnsi="Calibri" w:cs="Calibri"/>
          <w:color w:val="000000"/>
          <w:lang w:val="en-AU"/>
        </w:rPr>
        <w:t>The draft will then undergo a wide consultative process including public consultations before a final draft is submitted to the National Environment Council</w:t>
      </w:r>
      <w:r w:rsidRPr="009446B3">
        <w:rPr>
          <w:rFonts w:ascii="Calibri" w:eastAsia="Calibri" w:hAnsi="Calibri" w:cs="Calibri"/>
        </w:rPr>
        <w:t>. The National Environment Council through the Department of Environment will advise the Minister for Local Government, Urban Development, Housing and Environment and make recommendations for further action.</w:t>
      </w:r>
    </w:p>
    <w:p w:rsidR="009446B3" w:rsidRPr="009446B3" w:rsidRDefault="009446B3" w:rsidP="009446B3">
      <w:pPr>
        <w:pStyle w:val="ListParagraph"/>
        <w:spacing w:after="0"/>
        <w:rPr>
          <w:rFonts w:ascii="Calibri" w:eastAsia="Calibri" w:hAnsi="Calibri" w:cs="Calibri"/>
          <w:color w:val="4F81BD"/>
        </w:rPr>
      </w:pPr>
    </w:p>
    <w:p w:rsidR="009446B3" w:rsidRPr="009446B3" w:rsidRDefault="009446B3" w:rsidP="009446B3">
      <w:pPr>
        <w:pStyle w:val="Heading1"/>
        <w:spacing w:before="0"/>
        <w:rPr>
          <w:rFonts w:ascii="Calibri" w:eastAsia="Calibri" w:hAnsi="Calibri" w:cs="Calibri"/>
          <w:b w:val="0"/>
          <w:bCs w:val="0"/>
          <w:color w:val="4F81BD"/>
          <w:sz w:val="22"/>
          <w:szCs w:val="22"/>
        </w:rPr>
      </w:pPr>
    </w:p>
    <w:p w:rsidR="00795E6A" w:rsidRDefault="00795E6A" w:rsidP="00795E6A">
      <w:pPr>
        <w:tabs>
          <w:tab w:val="left" w:pos="2186"/>
        </w:tabs>
      </w:pPr>
      <w:r w:rsidRPr="005168A6">
        <w:rPr>
          <w:rStyle w:val="Heading1Char"/>
        </w:rPr>
        <w:t>Protected area integration and mainstreaming assessment</w:t>
      </w:r>
      <w:r>
        <w:t xml:space="preserve"> (Insert summary findings if available)</w:t>
      </w:r>
    </w:p>
    <w:p w:rsidR="005D52B9" w:rsidRPr="001376AB" w:rsidRDefault="005D52B9" w:rsidP="005D52B9">
      <w:pPr>
        <w:spacing w:after="0" w:line="240" w:lineRule="auto"/>
        <w:jc w:val="both"/>
        <w:rPr>
          <w:rFonts w:cstheme="minorHAnsi"/>
        </w:rPr>
      </w:pPr>
      <w:r w:rsidRPr="00E25D93">
        <w:rPr>
          <w:rFonts w:cstheme="minorHAnsi"/>
        </w:rPr>
        <w:t>The 2005 Environment Management Act (EMA) stipulates the development of a coastal management plan under Section 3(8).</w:t>
      </w:r>
      <w:r>
        <w:rPr>
          <w:rFonts w:cstheme="minorHAnsi"/>
        </w:rPr>
        <w:t xml:space="preserve"> In 2011, the Fiji Department of Environment released a draft </w:t>
      </w:r>
      <w:r w:rsidRPr="00E25D93">
        <w:rPr>
          <w:rFonts w:cstheme="minorHAnsi"/>
          <w:i/>
        </w:rPr>
        <w:t>Integrated Coastal Management (ICM) Framework</w:t>
      </w:r>
      <w:r w:rsidRPr="00E25D93">
        <w:rPr>
          <w:rFonts w:cstheme="minorHAnsi"/>
        </w:rPr>
        <w:t xml:space="preserve"> </w:t>
      </w:r>
      <w:r>
        <w:rPr>
          <w:rFonts w:cstheme="minorHAnsi"/>
        </w:rPr>
        <w:t xml:space="preserve">that </w:t>
      </w:r>
      <w:r w:rsidRPr="00E25D93">
        <w:rPr>
          <w:rFonts w:cstheme="minorHAnsi"/>
        </w:rPr>
        <w:t xml:space="preserve">begets the coastal management plan (to be called the </w:t>
      </w:r>
      <w:r w:rsidRPr="00E25D93">
        <w:rPr>
          <w:rFonts w:cstheme="minorHAnsi"/>
          <w:i/>
        </w:rPr>
        <w:t xml:space="preserve">National ICM </w:t>
      </w:r>
      <w:r w:rsidRPr="00E25D93">
        <w:rPr>
          <w:rFonts w:cstheme="minorHAnsi"/>
        </w:rPr>
        <w:t>Plan) by delineating the p</w:t>
      </w:r>
      <w:r>
        <w:rPr>
          <w:rFonts w:cstheme="minorHAnsi"/>
        </w:rPr>
        <w:t xml:space="preserve">lan’s scope and structure.  The framework was produced by the </w:t>
      </w:r>
      <w:r w:rsidRPr="00E25D93">
        <w:rPr>
          <w:rFonts w:cstheme="minorHAnsi"/>
        </w:rPr>
        <w:t xml:space="preserve">Department of Environment to review current coastal conditions in the context of tourism development, coral reef degradation, siltation and erosion, harvesting of marine resources, waste management, coastal reclamation and construction and natural disasters among others as well as assess the current legal and institutional governing framework so as to recommend proposals for action and policy towards sustainable coastal resource management for Fiji.  </w:t>
      </w:r>
      <w:r>
        <w:rPr>
          <w:rFonts w:cstheme="minorHAnsi"/>
        </w:rPr>
        <w:t xml:space="preserve">The </w:t>
      </w:r>
      <w:r>
        <w:rPr>
          <w:rFonts w:cstheme="minorHAnsi"/>
          <w:i/>
        </w:rPr>
        <w:t>ICM Framework</w:t>
      </w:r>
      <w:r>
        <w:rPr>
          <w:rFonts w:cstheme="minorHAnsi"/>
        </w:rPr>
        <w:t xml:space="preserve"> describes how protected areas can be integrated into coastal zone planning as a strategy for sustainable management of coastal resources.</w:t>
      </w:r>
    </w:p>
    <w:p w:rsidR="005D52B9" w:rsidRDefault="005D52B9" w:rsidP="005D52B9">
      <w:pPr>
        <w:spacing w:after="0" w:line="240" w:lineRule="auto"/>
        <w:jc w:val="both"/>
        <w:rPr>
          <w:rFonts w:cstheme="minorHAnsi"/>
        </w:rPr>
      </w:pPr>
    </w:p>
    <w:p w:rsidR="005D52B9" w:rsidRPr="00E25D93" w:rsidRDefault="005D52B9" w:rsidP="005D52B9">
      <w:pPr>
        <w:spacing w:after="0" w:line="240" w:lineRule="auto"/>
        <w:jc w:val="both"/>
        <w:rPr>
          <w:rFonts w:cstheme="minorHAnsi"/>
        </w:rPr>
      </w:pPr>
      <w:r w:rsidRPr="00E25D93">
        <w:rPr>
          <w:rFonts w:cstheme="minorHAnsi"/>
        </w:rPr>
        <w:t>The 2007 Fiji National B</w:t>
      </w:r>
      <w:r>
        <w:rPr>
          <w:rFonts w:cstheme="minorHAnsi"/>
        </w:rPr>
        <w:t xml:space="preserve">iodiversity Strategy Action </w:t>
      </w:r>
      <w:r w:rsidRPr="00E25D93">
        <w:rPr>
          <w:rFonts w:cstheme="minorHAnsi"/>
        </w:rPr>
        <w:t xml:space="preserve">prioritised 16 terrestrial, marine and mangrove </w:t>
      </w:r>
      <w:r>
        <w:rPr>
          <w:rFonts w:cstheme="minorHAnsi"/>
        </w:rPr>
        <w:t xml:space="preserve">areas for protection based on an </w:t>
      </w:r>
      <w:r>
        <w:rPr>
          <w:rFonts w:cstheme="minorHAnsi"/>
          <w:i/>
        </w:rPr>
        <w:t>ad hoc</w:t>
      </w:r>
      <w:r>
        <w:rPr>
          <w:rFonts w:cstheme="minorHAnsi"/>
        </w:rPr>
        <w:t xml:space="preserve"> system of selection.</w:t>
      </w:r>
      <w:r w:rsidRPr="00E25D93">
        <w:rPr>
          <w:rFonts w:cstheme="minorHAnsi"/>
        </w:rPr>
        <w:t xml:space="preserve">  Most of the sites have yet to be legally recognised although they have been referred to when assessing</w:t>
      </w:r>
      <w:r>
        <w:rPr>
          <w:rFonts w:cstheme="minorHAnsi"/>
        </w:rPr>
        <w:t xml:space="preserve"> proposed developments.</w:t>
      </w:r>
      <w:r>
        <w:rPr>
          <w:rStyle w:val="FootnoteReference"/>
          <w:rFonts w:cstheme="minorHAnsi"/>
        </w:rPr>
        <w:footnoteReference w:id="17"/>
      </w:r>
      <w:r>
        <w:rPr>
          <w:rFonts w:cstheme="minorHAnsi"/>
        </w:rPr>
        <w:t xml:space="preserve"> </w:t>
      </w:r>
      <w:r w:rsidRPr="00E25D93">
        <w:rPr>
          <w:rFonts w:cstheme="minorHAnsi"/>
        </w:rPr>
        <w:t xml:space="preserve">In addition to this, local resource owner initiatives placing restrictions on harvesting in traditional fishing grounds areas have expanded from early 1990s to now covering almost a third of Fiji’s </w:t>
      </w:r>
      <w:r>
        <w:rPr>
          <w:rFonts w:cstheme="minorHAnsi"/>
        </w:rPr>
        <w:t>inshore fisheries area</w:t>
      </w:r>
      <w:r w:rsidRPr="00E25D93">
        <w:rPr>
          <w:rFonts w:cstheme="minorHAnsi"/>
        </w:rPr>
        <w:t>.</w:t>
      </w:r>
      <w:r>
        <w:rPr>
          <w:rStyle w:val="FootnoteReference"/>
          <w:rFonts w:cstheme="minorHAnsi"/>
        </w:rPr>
        <w:footnoteReference w:id="18"/>
      </w:r>
      <w:r w:rsidRPr="00E25D93">
        <w:rPr>
          <w:rFonts w:cstheme="minorHAnsi"/>
        </w:rPr>
        <w:t xml:space="preserve">  Resource owners, with the help of the Department of Fisheries and various local and international conservation organisations have established the Fiji Locally Managed Marine Areas Network (FLMMA) comprising at least 216 </w:t>
      </w:r>
      <w:r w:rsidRPr="00E25D93">
        <w:rPr>
          <w:rFonts w:cstheme="minorHAnsi"/>
          <w:i/>
        </w:rPr>
        <w:t>tabu</w:t>
      </w:r>
      <w:r w:rsidRPr="00E25D93">
        <w:rPr>
          <w:rFonts w:cstheme="minorHAnsi"/>
        </w:rPr>
        <w:t xml:space="preserve"> areas.</w:t>
      </w:r>
      <w:r>
        <w:rPr>
          <w:rStyle w:val="FootnoteReference"/>
          <w:rFonts w:cstheme="minorHAnsi"/>
        </w:rPr>
        <w:footnoteReference w:id="19"/>
      </w:r>
      <w:r w:rsidRPr="00E25D93">
        <w:rPr>
          <w:rFonts w:cstheme="minorHAnsi"/>
        </w:rPr>
        <w:t xml:space="preserve"> With coastal communities being more attentive to customary mar</w:t>
      </w:r>
      <w:r>
        <w:rPr>
          <w:rFonts w:cstheme="minorHAnsi"/>
        </w:rPr>
        <w:t>ine resource use practices</w:t>
      </w:r>
      <w:r w:rsidRPr="00E25D93">
        <w:rPr>
          <w:rFonts w:cstheme="minorHAnsi"/>
        </w:rPr>
        <w:t>,</w:t>
      </w:r>
      <w:r>
        <w:rPr>
          <w:rStyle w:val="FootnoteReference"/>
          <w:rFonts w:cstheme="minorHAnsi"/>
        </w:rPr>
        <w:footnoteReference w:id="20"/>
      </w:r>
      <w:r w:rsidRPr="00E25D93">
        <w:rPr>
          <w:rFonts w:cstheme="minorHAnsi"/>
        </w:rPr>
        <w:t xml:space="preserve"> the institutionalisation of the FLMMA framework may prove effective to achieving ICM goals nationally.  The new Fisheries Legislation may recognise these community-based management plans and </w:t>
      </w:r>
      <w:r w:rsidRPr="00E25D93">
        <w:rPr>
          <w:rFonts w:cstheme="minorHAnsi"/>
          <w:i/>
        </w:rPr>
        <w:t>tabu</w:t>
      </w:r>
      <w:r w:rsidRPr="00E25D93">
        <w:rPr>
          <w:rFonts w:cstheme="minorHAnsi"/>
        </w:rPr>
        <w:t xml:space="preserve"> areas.</w:t>
      </w:r>
    </w:p>
    <w:p w:rsidR="005D52B9" w:rsidRPr="00E25D93" w:rsidRDefault="005D52B9" w:rsidP="005D52B9">
      <w:pPr>
        <w:spacing w:after="0" w:line="240" w:lineRule="auto"/>
        <w:jc w:val="both"/>
        <w:rPr>
          <w:rFonts w:cstheme="minorHAnsi"/>
        </w:rPr>
      </w:pPr>
    </w:p>
    <w:p w:rsidR="005D52B9" w:rsidRPr="00E25D93" w:rsidRDefault="005D52B9" w:rsidP="005D52B9">
      <w:pPr>
        <w:spacing w:after="0" w:line="240" w:lineRule="auto"/>
        <w:jc w:val="both"/>
        <w:rPr>
          <w:rFonts w:cstheme="minorHAnsi"/>
        </w:rPr>
      </w:pPr>
      <w:r w:rsidRPr="00E25D93">
        <w:rPr>
          <w:rFonts w:cstheme="minorHAnsi"/>
        </w:rPr>
        <w:t>Various groups have also proposed selected habitats and species to be prioritised fo</w:t>
      </w:r>
      <w:r>
        <w:rPr>
          <w:rFonts w:cstheme="minorHAnsi"/>
        </w:rPr>
        <w:t>r protection</w:t>
      </w:r>
      <w:r w:rsidRPr="00E25D93">
        <w:rPr>
          <w:rFonts w:cstheme="minorHAnsi"/>
        </w:rPr>
        <w:t>.  The Protected Area Committee (PAC) recently put together maps of the following localities for conservation and management identified on a national scale:</w:t>
      </w:r>
      <w:r>
        <w:rPr>
          <w:rStyle w:val="FootnoteReference"/>
          <w:rFonts w:cstheme="minorHAnsi"/>
        </w:rPr>
        <w:footnoteReference w:id="21"/>
      </w:r>
    </w:p>
    <w:p w:rsidR="005D52B9" w:rsidRPr="00E25D93" w:rsidRDefault="005D52B9" w:rsidP="005D52B9">
      <w:pPr>
        <w:pStyle w:val="ListParagraph"/>
        <w:numPr>
          <w:ilvl w:val="0"/>
          <w:numId w:val="15"/>
        </w:numPr>
        <w:spacing w:after="0" w:line="240" w:lineRule="auto"/>
        <w:jc w:val="both"/>
        <w:rPr>
          <w:rFonts w:cstheme="minorHAnsi"/>
        </w:rPr>
      </w:pPr>
      <w:r w:rsidRPr="00E25D93">
        <w:rPr>
          <w:rFonts w:cstheme="minorHAnsi"/>
          <w:i/>
        </w:rPr>
        <w:t xml:space="preserve"> </w:t>
      </w:r>
      <w:r w:rsidRPr="00E25D93">
        <w:rPr>
          <w:rFonts w:cstheme="minorHAnsi"/>
        </w:rPr>
        <w:t>localities</w:t>
      </w:r>
      <w:r w:rsidRPr="00E25D93">
        <w:rPr>
          <w:rFonts w:cstheme="minorHAnsi"/>
          <w:i/>
        </w:rPr>
        <w:t xml:space="preserve"> </w:t>
      </w:r>
      <w:r w:rsidRPr="00E25D93">
        <w:rPr>
          <w:rFonts w:cstheme="minorHAnsi"/>
        </w:rPr>
        <w:t>where endemic plants and snails and marine and estuarine fish have been confirmed (endemic species).</w:t>
      </w:r>
    </w:p>
    <w:p w:rsidR="005D52B9" w:rsidRPr="00E25D93" w:rsidRDefault="005D52B9" w:rsidP="005D52B9">
      <w:pPr>
        <w:pStyle w:val="ListParagraph"/>
        <w:numPr>
          <w:ilvl w:val="0"/>
          <w:numId w:val="15"/>
        </w:numPr>
        <w:spacing w:after="0" w:line="240" w:lineRule="auto"/>
        <w:jc w:val="both"/>
        <w:rPr>
          <w:rFonts w:cstheme="minorHAnsi"/>
        </w:rPr>
      </w:pPr>
      <w:r w:rsidRPr="00E25D93">
        <w:rPr>
          <w:rFonts w:cstheme="minorHAnsi"/>
        </w:rPr>
        <w:t xml:space="preserve">19 important bird areas </w:t>
      </w:r>
    </w:p>
    <w:p w:rsidR="005D52B9" w:rsidRPr="00E25D93" w:rsidRDefault="005D52B9" w:rsidP="005D52B9">
      <w:pPr>
        <w:pStyle w:val="ListParagraph"/>
        <w:numPr>
          <w:ilvl w:val="0"/>
          <w:numId w:val="15"/>
        </w:numPr>
        <w:spacing w:after="0" w:line="240" w:lineRule="auto"/>
        <w:jc w:val="both"/>
        <w:rPr>
          <w:rFonts w:cstheme="minorHAnsi"/>
        </w:rPr>
      </w:pPr>
      <w:r w:rsidRPr="00E25D93">
        <w:rPr>
          <w:rFonts w:cstheme="minorHAnsi"/>
        </w:rPr>
        <w:t xml:space="preserve">40 priority forest areas </w:t>
      </w:r>
    </w:p>
    <w:p w:rsidR="005D52B9" w:rsidRPr="00E25D93" w:rsidRDefault="005D52B9" w:rsidP="005D52B9">
      <w:pPr>
        <w:pStyle w:val="ListParagraph"/>
        <w:numPr>
          <w:ilvl w:val="0"/>
          <w:numId w:val="15"/>
        </w:numPr>
        <w:spacing w:after="0" w:line="240" w:lineRule="auto"/>
        <w:jc w:val="both"/>
        <w:rPr>
          <w:rFonts w:cstheme="minorHAnsi"/>
        </w:rPr>
      </w:pPr>
      <w:r w:rsidRPr="00E25D93">
        <w:rPr>
          <w:rFonts w:cstheme="minorHAnsi"/>
        </w:rPr>
        <w:t>48 wetland sites of national and international significance</w:t>
      </w:r>
    </w:p>
    <w:p w:rsidR="005D52B9" w:rsidRPr="00E25D93" w:rsidRDefault="005D52B9" w:rsidP="005D52B9">
      <w:pPr>
        <w:pStyle w:val="ListParagraph"/>
        <w:numPr>
          <w:ilvl w:val="0"/>
          <w:numId w:val="15"/>
        </w:numPr>
        <w:spacing w:after="0" w:line="240" w:lineRule="auto"/>
        <w:jc w:val="both"/>
        <w:rPr>
          <w:rFonts w:cstheme="minorHAnsi"/>
        </w:rPr>
      </w:pPr>
      <w:r w:rsidRPr="00E25D93">
        <w:rPr>
          <w:rFonts w:cstheme="minorHAnsi"/>
        </w:rPr>
        <w:t>Priority connectivity areas (Viti Levu and Vanua Levu)</w:t>
      </w:r>
    </w:p>
    <w:p w:rsidR="005D52B9" w:rsidRPr="00E25D93" w:rsidRDefault="005D52B9" w:rsidP="005D52B9">
      <w:pPr>
        <w:pStyle w:val="ListParagraph"/>
        <w:numPr>
          <w:ilvl w:val="0"/>
          <w:numId w:val="15"/>
        </w:numPr>
        <w:spacing w:after="0" w:line="240" w:lineRule="auto"/>
        <w:jc w:val="both"/>
        <w:rPr>
          <w:rFonts w:cstheme="minorHAnsi"/>
        </w:rPr>
      </w:pPr>
      <w:r w:rsidRPr="00E25D93">
        <w:rPr>
          <w:rFonts w:cstheme="minorHAnsi"/>
        </w:rPr>
        <w:t>35 priority marine ecoregion areas (of which 5 are globally important)</w:t>
      </w:r>
    </w:p>
    <w:p w:rsidR="005D52B9" w:rsidRDefault="005D52B9" w:rsidP="005D52B9">
      <w:pPr>
        <w:spacing w:after="0" w:line="240" w:lineRule="auto"/>
        <w:jc w:val="both"/>
        <w:rPr>
          <w:rFonts w:cstheme="minorHAnsi"/>
        </w:rPr>
      </w:pPr>
    </w:p>
    <w:p w:rsidR="005D52B9" w:rsidRDefault="005D52B9" w:rsidP="005D52B9">
      <w:pPr>
        <w:spacing w:after="0" w:line="240" w:lineRule="auto"/>
        <w:jc w:val="both"/>
        <w:rPr>
          <w:rFonts w:cstheme="minorHAnsi"/>
        </w:rPr>
      </w:pPr>
      <w:r w:rsidRPr="00E25D93">
        <w:rPr>
          <w:rFonts w:cstheme="minorHAnsi"/>
        </w:rPr>
        <w:t>Through a facilitated workshop</w:t>
      </w:r>
      <w:r>
        <w:rPr>
          <w:rFonts w:cstheme="minorHAnsi"/>
        </w:rPr>
        <w:t xml:space="preserve"> led by members of the PAC in September 2010</w:t>
      </w:r>
      <w:r w:rsidRPr="00E25D93">
        <w:rPr>
          <w:rFonts w:cstheme="minorHAnsi"/>
        </w:rPr>
        <w:t>, provincial administrators further identified sites of significance for conservation and management for each of Fiji’s 14 provinces.  The PAC is currently working towards facilitating the effective management of the above sites through collaboration with resource owning communities, government and other local and overseas a</w:t>
      </w:r>
      <w:r>
        <w:rPr>
          <w:rFonts w:cstheme="minorHAnsi"/>
        </w:rPr>
        <w:t>gencies</w:t>
      </w:r>
      <w:r w:rsidRPr="00E25D93">
        <w:rPr>
          <w:rFonts w:cstheme="minorHAnsi"/>
        </w:rPr>
        <w:t>.  The identified sites may be useful for initiating dialogue with stakeholders in developing ICM plans at the provincial level.</w:t>
      </w:r>
    </w:p>
    <w:p w:rsidR="005D52B9" w:rsidRPr="00E25D93" w:rsidRDefault="005D52B9" w:rsidP="005D52B9">
      <w:pPr>
        <w:spacing w:after="0" w:line="240" w:lineRule="auto"/>
        <w:jc w:val="both"/>
        <w:rPr>
          <w:rFonts w:cstheme="minorHAnsi"/>
        </w:rPr>
      </w:pPr>
    </w:p>
    <w:p w:rsidR="005D52B9" w:rsidRPr="00E25D93" w:rsidRDefault="005D52B9" w:rsidP="005D52B9">
      <w:pPr>
        <w:spacing w:after="0" w:line="240" w:lineRule="auto"/>
        <w:jc w:val="both"/>
        <w:rPr>
          <w:rFonts w:cstheme="minorHAnsi"/>
        </w:rPr>
      </w:pPr>
      <w:r w:rsidRPr="00E25D93">
        <w:rPr>
          <w:rFonts w:cstheme="minorHAnsi"/>
        </w:rPr>
        <w:t xml:space="preserve">The above mentioned plans, schemes and areas of interest are linked to distinct groups of stakeholders with various interests and intentions and an essential component of ICM planning would </w:t>
      </w:r>
      <w:r>
        <w:rPr>
          <w:rFonts w:cstheme="minorHAnsi"/>
        </w:rPr>
        <w:t>be to consolidate these "mapped"</w:t>
      </w:r>
      <w:r w:rsidRPr="00E25D93">
        <w:rPr>
          <w:rFonts w:cstheme="minorHAnsi"/>
        </w:rPr>
        <w:t xml:space="preserve"> interests and intentions</w:t>
      </w:r>
      <w:r>
        <w:rPr>
          <w:rFonts w:cstheme="minorHAnsi"/>
        </w:rPr>
        <w:t xml:space="preserve"> into spatial zones</w:t>
      </w:r>
      <w:r w:rsidRPr="00E25D93">
        <w:rPr>
          <w:rFonts w:cstheme="minorHAnsi"/>
        </w:rPr>
        <w:t xml:space="preserve">.  Indeed, such a process would have to be linked to the national landuse planning process given the importance of sustainable watershed management to the health of coastal ecosystems.    A sustainable and relevant ICM plan will be one for which most if not all stakeholders share a sense of ownership.  Given the competing stakeholder interest and scientific uncertainties that are likely to affect such a process, it may be more effective to approach the ICM planning process on a provincial basis.  </w:t>
      </w:r>
    </w:p>
    <w:p w:rsidR="005D52B9" w:rsidRDefault="005D52B9" w:rsidP="005D52B9">
      <w:pPr>
        <w:spacing w:after="0" w:line="240" w:lineRule="auto"/>
        <w:jc w:val="both"/>
        <w:rPr>
          <w:rFonts w:cstheme="minorHAnsi"/>
        </w:rPr>
      </w:pPr>
    </w:p>
    <w:p w:rsidR="005D52B9" w:rsidRPr="00E25D93" w:rsidRDefault="005D52B9" w:rsidP="005D52B9">
      <w:pPr>
        <w:spacing w:after="0" w:line="240" w:lineRule="auto"/>
        <w:jc w:val="both"/>
        <w:rPr>
          <w:rFonts w:cstheme="minorHAnsi"/>
        </w:rPr>
      </w:pPr>
      <w:r>
        <w:rPr>
          <w:rFonts w:cstheme="minorHAnsi"/>
        </w:rPr>
        <w:t>In response, the Wildlife Conservation Society and other government and non-government stakeholders facilitated a pilot workshop in September 2011 bringing together government and community representatives from the four provinces (Ra, Tailevu, Lomaiviti, Bua) that border on the Vatu-i-Ra Seascape. The participants used the outcomes of the September 2010 workshop as a starting point to discuss how protected areas might become integrated into broader ICM plans that consider living coastal resource utilization, coastal development and ecotourism, and land-based activities. At the same time, planning of protected area integration into wider landscapes is occurring upland of coastal watersheds. For example, areas have been proposed for management as corridors between Viti Levu forests designated as key biodiversity areas (e.g. matrix of landscape outside of the Waimanu, Sovi Basin, Nadrau Plateau, Nadarivatu, and Nakavaudra range KBAs).</w:t>
      </w:r>
    </w:p>
    <w:p w:rsidR="005168A6" w:rsidRDefault="005168A6" w:rsidP="00795E6A">
      <w:pPr>
        <w:tabs>
          <w:tab w:val="left" w:pos="2186"/>
        </w:tabs>
        <w:rPr>
          <w:rStyle w:val="Heading1Char"/>
        </w:rPr>
      </w:pPr>
    </w:p>
    <w:p w:rsidR="005168A6" w:rsidRDefault="005168A6" w:rsidP="00795E6A">
      <w:pPr>
        <w:tabs>
          <w:tab w:val="left" w:pos="2186"/>
        </w:tabs>
      </w:pPr>
      <w:r w:rsidRPr="005168A6">
        <w:rPr>
          <w:rStyle w:val="Heading1Char"/>
        </w:rPr>
        <w:t>Protected area valuation assessment</w:t>
      </w:r>
      <w:r>
        <w:t xml:space="preserve"> (Insert summary findings if available)</w:t>
      </w:r>
    </w:p>
    <w:p w:rsidR="0062603E" w:rsidRDefault="0062603E" w:rsidP="00EB1229">
      <w:pPr>
        <w:autoSpaceDE w:val="0"/>
        <w:autoSpaceDN w:val="0"/>
        <w:adjustRightInd w:val="0"/>
        <w:spacing w:after="0" w:line="240" w:lineRule="auto"/>
        <w:jc w:val="both"/>
        <w:rPr>
          <w:rFonts w:cstheme="minorHAnsi"/>
          <w:lang w:val="en-AU"/>
        </w:rPr>
      </w:pPr>
      <w:r w:rsidRPr="00591661">
        <w:rPr>
          <w:rFonts w:cstheme="minorHAnsi"/>
          <w:lang w:val="en-AU"/>
        </w:rPr>
        <w:t>In Fiji, economic valuation has not yet been formally adopted as an aid to coastal</w:t>
      </w:r>
      <w:r w:rsidR="00591661">
        <w:rPr>
          <w:rFonts w:cstheme="minorHAnsi"/>
          <w:lang w:val="en-AU"/>
        </w:rPr>
        <w:t xml:space="preserve"> </w:t>
      </w:r>
      <w:r w:rsidRPr="00591661">
        <w:rPr>
          <w:rFonts w:cstheme="minorHAnsi"/>
          <w:lang w:val="en-AU"/>
        </w:rPr>
        <w:t xml:space="preserve">resource management. </w:t>
      </w:r>
      <w:r w:rsidR="00591661">
        <w:rPr>
          <w:rFonts w:cstheme="minorHAnsi"/>
          <w:lang w:val="en-AU"/>
        </w:rPr>
        <w:t xml:space="preserve">Between 1990 and 2007 </w:t>
      </w:r>
      <w:r w:rsidRPr="00591661">
        <w:rPr>
          <w:rFonts w:cstheme="minorHAnsi"/>
          <w:lang w:val="en-AU"/>
        </w:rPr>
        <w:t xml:space="preserve">there have been only </w:t>
      </w:r>
      <w:r w:rsidR="00591661">
        <w:rPr>
          <w:rFonts w:cstheme="minorHAnsi"/>
          <w:lang w:val="en-AU"/>
        </w:rPr>
        <w:t>four</w:t>
      </w:r>
      <w:r w:rsidRPr="00591661">
        <w:rPr>
          <w:rFonts w:cstheme="minorHAnsi"/>
          <w:lang w:val="en-AU"/>
        </w:rPr>
        <w:t xml:space="preserve"> economic valuations associated</w:t>
      </w:r>
      <w:r w:rsidR="00591661">
        <w:rPr>
          <w:rFonts w:cstheme="minorHAnsi"/>
          <w:lang w:val="en-AU"/>
        </w:rPr>
        <w:t xml:space="preserve"> </w:t>
      </w:r>
      <w:r w:rsidRPr="00591661">
        <w:rPr>
          <w:rFonts w:cstheme="minorHAnsi"/>
          <w:lang w:val="en-AU"/>
        </w:rPr>
        <w:t>with coastal resources in Fiji</w:t>
      </w:r>
      <w:r w:rsidR="00591661">
        <w:rPr>
          <w:rFonts w:cstheme="minorHAnsi"/>
          <w:lang w:val="en-AU"/>
        </w:rPr>
        <w:t xml:space="preserve">. </w:t>
      </w:r>
      <w:r w:rsidR="00591661" w:rsidRPr="00591661">
        <w:rPr>
          <w:rFonts w:cstheme="minorHAnsi"/>
          <w:lang w:val="en-AU"/>
        </w:rPr>
        <w:t xml:space="preserve">Two </w:t>
      </w:r>
      <w:r w:rsidR="00591661">
        <w:rPr>
          <w:rFonts w:cstheme="minorHAnsi"/>
          <w:lang w:val="en-AU"/>
        </w:rPr>
        <w:t>studies in 2005</w:t>
      </w:r>
      <w:r w:rsidR="00591661" w:rsidRPr="00591661">
        <w:rPr>
          <w:rFonts w:cstheme="minorHAnsi"/>
          <w:lang w:val="en-AU"/>
        </w:rPr>
        <w:t xml:space="preserve"> value</w:t>
      </w:r>
      <w:r w:rsidR="00591661">
        <w:rPr>
          <w:rFonts w:cstheme="minorHAnsi"/>
          <w:lang w:val="en-AU"/>
        </w:rPr>
        <w:t>d</w:t>
      </w:r>
      <w:r w:rsidR="00591661" w:rsidRPr="00591661">
        <w:rPr>
          <w:rFonts w:cstheme="minorHAnsi"/>
          <w:lang w:val="en-AU"/>
        </w:rPr>
        <w:t xml:space="preserve"> the extraction of live coral for the aquarium</w:t>
      </w:r>
      <w:r w:rsidR="00591661">
        <w:rPr>
          <w:rFonts w:cstheme="minorHAnsi"/>
          <w:lang w:val="en-AU"/>
        </w:rPr>
        <w:t xml:space="preserve"> </w:t>
      </w:r>
      <w:r w:rsidR="00591661" w:rsidRPr="00591661">
        <w:rPr>
          <w:rFonts w:cstheme="minorHAnsi"/>
          <w:lang w:val="en-AU"/>
        </w:rPr>
        <w:t>trade</w:t>
      </w:r>
      <w:r w:rsidR="00EB1229">
        <w:rPr>
          <w:rFonts w:cstheme="minorHAnsi"/>
          <w:lang w:val="en-AU"/>
        </w:rPr>
        <w:t xml:space="preserve"> according to the </w:t>
      </w:r>
      <w:r w:rsidR="00591661" w:rsidRPr="00591661">
        <w:rPr>
          <w:rFonts w:cstheme="minorHAnsi"/>
          <w:lang w:val="en-AU"/>
        </w:rPr>
        <w:t>financial revenue to local villagers from coral reef harvest</w:t>
      </w:r>
      <w:r w:rsidR="00591661">
        <w:rPr>
          <w:rFonts w:cstheme="minorHAnsi"/>
          <w:lang w:val="en-AU"/>
        </w:rPr>
        <w:t xml:space="preserve"> </w:t>
      </w:r>
      <w:r w:rsidR="00EB1229">
        <w:rPr>
          <w:rFonts w:cstheme="minorHAnsi"/>
          <w:lang w:val="en-AU"/>
        </w:rPr>
        <w:t>only. In</w:t>
      </w:r>
      <w:r w:rsidR="00591661" w:rsidRPr="00591661">
        <w:rPr>
          <w:rFonts w:cstheme="minorHAnsi"/>
          <w:lang w:val="en-AU"/>
        </w:rPr>
        <w:t xml:space="preserve"> 2007</w:t>
      </w:r>
      <w:r w:rsidRPr="00591661">
        <w:rPr>
          <w:rFonts w:cstheme="minorHAnsi"/>
          <w:lang w:val="en-AU"/>
        </w:rPr>
        <w:t xml:space="preserve"> </w:t>
      </w:r>
      <w:r w:rsidR="00EB1229">
        <w:rPr>
          <w:rFonts w:cstheme="minorHAnsi"/>
          <w:lang w:val="en-AU"/>
        </w:rPr>
        <w:t xml:space="preserve">a further study </w:t>
      </w:r>
      <w:r w:rsidR="00591661" w:rsidRPr="00591661">
        <w:rPr>
          <w:rFonts w:cstheme="minorHAnsi"/>
          <w:lang w:val="en-AU"/>
        </w:rPr>
        <w:t>estimated</w:t>
      </w:r>
      <w:r w:rsidRPr="00591661">
        <w:rPr>
          <w:rFonts w:cstheme="minorHAnsi"/>
          <w:lang w:val="en-AU"/>
        </w:rPr>
        <w:t xml:space="preserve"> the total economic value of the coastal ecosystems within the</w:t>
      </w:r>
      <w:r w:rsidR="00591661" w:rsidRPr="00591661">
        <w:rPr>
          <w:rFonts w:cstheme="minorHAnsi"/>
          <w:lang w:val="en-AU"/>
        </w:rPr>
        <w:t xml:space="preserve"> </w:t>
      </w:r>
      <w:r w:rsidRPr="00591661">
        <w:rPr>
          <w:rFonts w:cstheme="minorHAnsi"/>
          <w:lang w:val="en-AU"/>
        </w:rPr>
        <w:t xml:space="preserve">Navakavu </w:t>
      </w:r>
      <w:r w:rsidRPr="00591661">
        <w:rPr>
          <w:rFonts w:cstheme="minorHAnsi"/>
          <w:i/>
          <w:iCs/>
          <w:lang w:val="en-AU"/>
        </w:rPr>
        <w:t xml:space="preserve">locally managed marine area </w:t>
      </w:r>
      <w:r w:rsidRPr="00591661">
        <w:rPr>
          <w:rFonts w:cstheme="minorHAnsi"/>
          <w:lang w:val="en-AU"/>
        </w:rPr>
        <w:t>in the southeast of Fiji, on the Muaivuso</w:t>
      </w:r>
      <w:r w:rsidR="00591661" w:rsidRPr="00591661">
        <w:rPr>
          <w:rFonts w:cstheme="minorHAnsi"/>
          <w:lang w:val="en-AU"/>
        </w:rPr>
        <w:t xml:space="preserve"> </w:t>
      </w:r>
      <w:r w:rsidRPr="00591661">
        <w:rPr>
          <w:rFonts w:cstheme="minorHAnsi"/>
          <w:lang w:val="en-AU"/>
        </w:rPr>
        <w:t>Peninsula, 13km from the capital of Suva. The key goods and services provided by the</w:t>
      </w:r>
      <w:r w:rsidR="00591661" w:rsidRPr="00591661">
        <w:rPr>
          <w:rFonts w:cstheme="minorHAnsi"/>
          <w:lang w:val="en-AU"/>
        </w:rPr>
        <w:t xml:space="preserve"> </w:t>
      </w:r>
      <w:r w:rsidRPr="00591661">
        <w:rPr>
          <w:rFonts w:cstheme="minorHAnsi"/>
          <w:lang w:val="en-AU"/>
        </w:rPr>
        <w:t>coral reefs, lagoon and mangroves in this area were: fisheries (direct use, extractive</w:t>
      </w:r>
      <w:r w:rsidR="00591661" w:rsidRPr="00591661">
        <w:rPr>
          <w:rFonts w:cstheme="minorHAnsi"/>
          <w:lang w:val="en-AU"/>
        </w:rPr>
        <w:t xml:space="preserve"> </w:t>
      </w:r>
      <w:r w:rsidRPr="00591661">
        <w:rPr>
          <w:rFonts w:cstheme="minorHAnsi"/>
          <w:lang w:val="en-AU"/>
        </w:rPr>
        <w:t>value), bequest value (non-use value), research and education benefits (direct use, nonextractive</w:t>
      </w:r>
      <w:r w:rsidR="00591661" w:rsidRPr="00591661">
        <w:rPr>
          <w:rFonts w:cstheme="minorHAnsi"/>
          <w:lang w:val="en-AU"/>
        </w:rPr>
        <w:t xml:space="preserve"> </w:t>
      </w:r>
      <w:r w:rsidRPr="00591661">
        <w:rPr>
          <w:rFonts w:cstheme="minorHAnsi"/>
          <w:lang w:val="en-AU"/>
        </w:rPr>
        <w:t>value) and coastal protection (indirect use value). The economic values</w:t>
      </w:r>
      <w:r w:rsidR="00591661" w:rsidRPr="00591661">
        <w:rPr>
          <w:rFonts w:cstheme="minorHAnsi"/>
          <w:lang w:val="en-AU"/>
        </w:rPr>
        <w:t xml:space="preserve"> </w:t>
      </w:r>
      <w:r w:rsidRPr="00591661">
        <w:rPr>
          <w:rFonts w:cstheme="minorHAnsi"/>
          <w:lang w:val="en-AU"/>
        </w:rPr>
        <w:t>estimated in this study accrue to local communities only.</w:t>
      </w:r>
    </w:p>
    <w:p w:rsidR="00EB1229" w:rsidRDefault="00EB1229" w:rsidP="00EB1229">
      <w:pPr>
        <w:autoSpaceDE w:val="0"/>
        <w:autoSpaceDN w:val="0"/>
        <w:adjustRightInd w:val="0"/>
        <w:spacing w:after="0" w:line="240" w:lineRule="auto"/>
        <w:jc w:val="both"/>
        <w:rPr>
          <w:rFonts w:cstheme="minorHAnsi"/>
          <w:lang w:val="en-AU"/>
        </w:rPr>
      </w:pPr>
    </w:p>
    <w:p w:rsidR="00EB1229" w:rsidRPr="00EB1229" w:rsidRDefault="00EB1229" w:rsidP="00EB1229">
      <w:pPr>
        <w:autoSpaceDE w:val="0"/>
        <w:autoSpaceDN w:val="0"/>
        <w:adjustRightInd w:val="0"/>
        <w:spacing w:after="0" w:line="240" w:lineRule="auto"/>
        <w:jc w:val="both"/>
        <w:rPr>
          <w:rStyle w:val="Heading1Char"/>
          <w:rFonts w:asciiTheme="minorHAnsi" w:eastAsiaTheme="minorHAnsi" w:hAnsiTheme="minorHAnsi" w:cstheme="minorHAnsi"/>
          <w:b w:val="0"/>
          <w:bCs w:val="0"/>
          <w:color w:val="auto"/>
          <w:sz w:val="22"/>
          <w:szCs w:val="22"/>
          <w:lang w:val="en-AU"/>
        </w:rPr>
      </w:pPr>
      <w:r>
        <w:rPr>
          <w:rFonts w:cstheme="minorHAnsi"/>
          <w:lang w:val="en-AU"/>
        </w:rPr>
        <w:t xml:space="preserve">The study of the LMMA of Navakavau is the first initiative to estimate the Total Economic Value of a coastal ecosystem (including coral reefs, lagoon and mangroves) in Fiji and the </w:t>
      </w:r>
      <w:r w:rsidR="00313ABE">
        <w:rPr>
          <w:rFonts w:cstheme="minorHAnsi"/>
          <w:lang w:val="en-AU"/>
        </w:rPr>
        <w:t>evaluation</w:t>
      </w:r>
      <w:r>
        <w:rPr>
          <w:rFonts w:cstheme="minorHAnsi"/>
          <w:lang w:val="en-AU"/>
        </w:rPr>
        <w:t xml:space="preserve"> of LMMA site</w:t>
      </w:r>
      <w:r w:rsidR="00313ABE">
        <w:rPr>
          <w:rFonts w:cstheme="minorHAnsi"/>
          <w:lang w:val="en-AU"/>
        </w:rPr>
        <w:t>s to local economies. Knowledge</w:t>
      </w:r>
      <w:r w:rsidRPr="00EB1229">
        <w:rPr>
          <w:rFonts w:cstheme="minorHAnsi"/>
          <w:lang w:val="en-AU"/>
        </w:rPr>
        <w:t xml:space="preserve"> on the economic</w:t>
      </w:r>
      <w:r>
        <w:rPr>
          <w:rFonts w:cstheme="minorHAnsi"/>
          <w:lang w:val="en-AU"/>
        </w:rPr>
        <w:t xml:space="preserve"> </w:t>
      </w:r>
      <w:r w:rsidRPr="00EB1229">
        <w:rPr>
          <w:rFonts w:cstheme="minorHAnsi"/>
          <w:lang w:val="en-AU"/>
        </w:rPr>
        <w:t>benefits of LMMAs can be used to compare the costs and benefits of different</w:t>
      </w:r>
      <w:r>
        <w:rPr>
          <w:rFonts w:cstheme="minorHAnsi"/>
          <w:lang w:val="en-AU"/>
        </w:rPr>
        <w:t xml:space="preserve"> </w:t>
      </w:r>
      <w:r w:rsidRPr="00EB1229">
        <w:rPr>
          <w:rFonts w:cstheme="minorHAnsi"/>
          <w:lang w:val="en-AU"/>
        </w:rPr>
        <w:t>management options, such as conservation, controlled fishing and/or ecotourism, and</w:t>
      </w:r>
      <w:r>
        <w:rPr>
          <w:rFonts w:cstheme="minorHAnsi"/>
          <w:lang w:val="en-AU"/>
        </w:rPr>
        <w:t xml:space="preserve"> </w:t>
      </w:r>
      <w:r w:rsidRPr="00EB1229">
        <w:rPr>
          <w:rFonts w:cstheme="minorHAnsi"/>
          <w:lang w:val="en-AU"/>
        </w:rPr>
        <w:t>hence, assist in policy decision-making</w:t>
      </w:r>
      <w:r w:rsidR="00313ABE">
        <w:rPr>
          <w:rStyle w:val="FootnoteReference"/>
          <w:rFonts w:cstheme="minorHAnsi"/>
          <w:lang w:val="en-AU"/>
        </w:rPr>
        <w:footnoteReference w:id="22"/>
      </w:r>
      <w:r w:rsidRPr="00EB1229">
        <w:rPr>
          <w:rFonts w:cstheme="minorHAnsi"/>
          <w:lang w:val="en-AU"/>
        </w:rPr>
        <w:t>.</w:t>
      </w:r>
    </w:p>
    <w:p w:rsidR="00591661" w:rsidRDefault="00591661" w:rsidP="00795E6A">
      <w:pPr>
        <w:tabs>
          <w:tab w:val="left" w:pos="2186"/>
        </w:tabs>
        <w:rPr>
          <w:rStyle w:val="Heading1Char"/>
        </w:rPr>
      </w:pPr>
    </w:p>
    <w:p w:rsidR="00795E6A" w:rsidRDefault="00795E6A" w:rsidP="00795E6A">
      <w:pPr>
        <w:tabs>
          <w:tab w:val="left" w:pos="2186"/>
        </w:tabs>
      </w:pPr>
      <w:r w:rsidRPr="005168A6">
        <w:rPr>
          <w:rStyle w:val="Heading1Char"/>
        </w:rPr>
        <w:t>Climate change resilience and adaptation assessment</w:t>
      </w:r>
      <w:r>
        <w:t xml:space="preserve"> (Insert summary findings if available)</w:t>
      </w:r>
    </w:p>
    <w:p w:rsidR="004E0F96" w:rsidRPr="00BB120E" w:rsidRDefault="004E0F96" w:rsidP="004E0F96">
      <w:pPr>
        <w:jc w:val="both"/>
        <w:rPr>
          <w:rFonts w:cstheme="minorHAnsi"/>
        </w:rPr>
      </w:pPr>
      <w:r w:rsidRPr="00BB120E">
        <w:rPr>
          <w:rFonts w:cstheme="minorHAnsi"/>
        </w:rPr>
        <w:t xml:space="preserve">Fiji’s coastal ecosystems are known to be among the most diverse and functionally intact coral reefs in the Pacific. Nevertheless, anthropogenic pressure on these resources is increasing, and changes due to the effects of climate change are inevitable. Coastal communities in this region depend upon healthy coral reefs, mangroves and seagrass ecosystems to provide food, building materials, coastal protection and other benefits. If these communities are to thrive into the future, action is required now to maximise ecological resilience to climate change and to increase community capacity to prepare for and adapt to climate change impacts on their environment. </w:t>
      </w:r>
    </w:p>
    <w:p w:rsidR="004E0F96" w:rsidRPr="00BB120E" w:rsidRDefault="004E0F96" w:rsidP="004E0F96">
      <w:pPr>
        <w:jc w:val="both"/>
        <w:rPr>
          <w:rFonts w:cstheme="minorHAnsi"/>
        </w:rPr>
      </w:pPr>
      <w:r w:rsidRPr="00BB120E">
        <w:rPr>
          <w:rFonts w:cstheme="minorHAnsi"/>
        </w:rPr>
        <w:t>There are currently several examples of site-based implementation to improve social and ecological resilience to climate change in Fiji. The Wildlife Conservation Society (WCS) is leading a project to: (1) adapt the Kubulau marine protected area network (MPAs) and existing ecosystem-based management (EBM) plan to improve reef resilience to increasing frequency and severity of disturbance due to global climate change; and (2) develop, in concert with local stakeholders, a new, resilient, linked network of MPAs in the four adjacent districts. To  incorporate resilience into MPA network design, WCS has adopted the following strategy: subject to meeting targets for habitat representation, sites with high predicted resilience to coral bleaching are prioritised, followed by sites whose resilience might be improved by management. For example, sites that have low herbivore abundance or functional diversity (as a result of fishing pressure) but rate highly against other resilience criteria are prioritised over sites that rate poorly against criteria that cannot be improved through management. Sites with low resilience scores are not be prioritised for inclusion in the MPA network, but may be selected if they are required to fulfil other criteria, for example if they contain a rare habitat type or have a very low implementation cost.</w:t>
      </w:r>
    </w:p>
    <w:p w:rsidR="004E0F96" w:rsidRPr="00BB120E" w:rsidRDefault="004E0F96" w:rsidP="004E0F96">
      <w:pPr>
        <w:jc w:val="both"/>
        <w:rPr>
          <w:rFonts w:cstheme="minorHAnsi"/>
        </w:rPr>
      </w:pPr>
    </w:p>
    <w:p w:rsidR="005168A6" w:rsidRPr="004E0F96" w:rsidRDefault="004E0F96" w:rsidP="004E0F96">
      <w:pPr>
        <w:jc w:val="both"/>
        <w:rPr>
          <w:rFonts w:cstheme="minorHAnsi"/>
        </w:rPr>
      </w:pPr>
      <w:r w:rsidRPr="00BB120E">
        <w:rPr>
          <w:rFonts w:cstheme="minorHAnsi"/>
        </w:rPr>
        <w:t>The WWF South Pacific Programme is currently leading an AusAID funded national "Building Resilience" project, partnered with Department of Land Use and Planning, Department of Environment, National Trust of Fiji, and Learn and Learn Environment Education. The Building Resilience project intends to define adaptation strategies in its planning and vulnerability assessment process at  village,  district, municipal and provincial level plans, consequently aligning them to national adaptation policies. The project hopes that it can build local capacity,  enhance  awareness,  integrate  its  lessons  into  policy  and  support  community-based adaptation. With two of  the  largest  river deltas and associated  mangrove forests in the country, Ba and Macuata have been identified as key provinces for the project’s river-related  adaptation activities. These areas were targeted due to the relatively large population density on lands heavily used for agriculture, which has had consequent negative effects on ecosystem function and resilience.</w:t>
      </w:r>
    </w:p>
    <w:p w:rsidR="00313ABE" w:rsidRDefault="00313ABE" w:rsidP="00313ABE">
      <w:pPr>
        <w:autoSpaceDE w:val="0"/>
        <w:autoSpaceDN w:val="0"/>
        <w:adjustRightInd w:val="0"/>
        <w:spacing w:after="0" w:line="240" w:lineRule="auto"/>
        <w:rPr>
          <w:rFonts w:ascii="MyriadPro-Bold" w:hAnsi="MyriadPro-Bold" w:cs="MyriadPro-Bold"/>
          <w:b/>
          <w:bCs/>
          <w:color w:val="FFFFFF"/>
          <w:sz w:val="28"/>
          <w:szCs w:val="28"/>
          <w:lang w:val="en-AU"/>
        </w:rPr>
      </w:pPr>
      <w:r>
        <w:rPr>
          <w:rFonts w:ascii="MyriadPro-Bold" w:hAnsi="MyriadPro-Bold" w:cs="MyriadPro-Bold"/>
          <w:b/>
          <w:bCs/>
          <w:color w:val="FFFFFF"/>
          <w:sz w:val="28"/>
          <w:szCs w:val="28"/>
          <w:lang w:val="en-AU"/>
        </w:rPr>
        <w:t>COMPONENT 2A - Project 2A2</w:t>
      </w:r>
    </w:p>
    <w:p w:rsidR="00313ABE" w:rsidRDefault="00313ABE" w:rsidP="00313ABE">
      <w:pPr>
        <w:autoSpaceDE w:val="0"/>
        <w:autoSpaceDN w:val="0"/>
        <w:adjustRightInd w:val="0"/>
        <w:spacing w:after="0" w:line="240" w:lineRule="auto"/>
        <w:rPr>
          <w:rFonts w:ascii="MyriadPro-Bold" w:hAnsi="MyriadPro-Bold" w:cs="MyriadPro-Bold"/>
          <w:b/>
          <w:bCs/>
          <w:color w:val="FFFFFF"/>
          <w:sz w:val="28"/>
          <w:szCs w:val="28"/>
          <w:lang w:val="en-AU"/>
        </w:rPr>
      </w:pPr>
      <w:r>
        <w:rPr>
          <w:rFonts w:ascii="MyriadPro-Bold" w:hAnsi="MyriadPro-Bold" w:cs="MyriadPro-Bold"/>
          <w:b/>
          <w:bCs/>
          <w:color w:val="FFFFFF"/>
          <w:sz w:val="28"/>
          <w:szCs w:val="28"/>
          <w:lang w:val="en-AU"/>
        </w:rPr>
        <w:t>Knowledge, monitoring, management and</w:t>
      </w:r>
    </w:p>
    <w:sectPr w:rsidR="00313ABE" w:rsidSect="00D7518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1A3" w:rsidRDefault="001631A3" w:rsidP="00B7768A">
      <w:pPr>
        <w:spacing w:after="0" w:line="240" w:lineRule="auto"/>
      </w:pPr>
      <w:r>
        <w:separator/>
      </w:r>
    </w:p>
  </w:endnote>
  <w:endnote w:type="continuationSeparator" w:id="0">
    <w:p w:rsidR="001631A3" w:rsidRDefault="001631A3" w:rsidP="00B776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pitch w:val="fixed"/>
    <w:sig w:usb0="A00002BF" w:usb1="68C7FCFB" w:usb2="00000010" w:usb3="00000000" w:csb0="0002009F" w:csb1="00000000"/>
  </w:font>
  <w:font w:name="Calibri-Bold">
    <w:panose1 w:val="00000000000000000000"/>
    <w:charset w:val="00"/>
    <w:family w:val="swiss"/>
    <w:notTrueType/>
    <w:pitch w:val="default"/>
    <w:sig w:usb0="00000003" w:usb1="00000000" w:usb2="00000000" w:usb3="00000000" w:csb0="00000001" w:csb1="00000000"/>
  </w:font>
  <w:font w:name="MyriadPro-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1A3" w:rsidRDefault="001631A3" w:rsidP="00B7768A">
      <w:pPr>
        <w:spacing w:after="0" w:line="240" w:lineRule="auto"/>
      </w:pPr>
      <w:r>
        <w:separator/>
      </w:r>
    </w:p>
  </w:footnote>
  <w:footnote w:type="continuationSeparator" w:id="0">
    <w:p w:rsidR="001631A3" w:rsidRDefault="001631A3" w:rsidP="00B7768A">
      <w:pPr>
        <w:spacing w:after="0" w:line="240" w:lineRule="auto"/>
      </w:pPr>
      <w:r>
        <w:continuationSeparator/>
      </w:r>
    </w:p>
  </w:footnote>
  <w:footnote w:id="1">
    <w:p w:rsidR="003D1FFB" w:rsidRDefault="003D1FFB" w:rsidP="003D1FFB">
      <w:pPr>
        <w:pStyle w:val="FootnoteText"/>
      </w:pPr>
      <w:r>
        <w:rPr>
          <w:rStyle w:val="FootnoteReference"/>
        </w:rPr>
        <w:footnoteRef/>
      </w:r>
      <w:r>
        <w:t xml:space="preserve"> Under the same legislation, 15 or more Forest Reserves were established. Only two of these have ecological significance…</w:t>
      </w:r>
      <w:smartTag w:uri="urn:schemas-microsoft-com:office:smarttags" w:element="place">
        <w:smartTag w:uri="urn:schemas-microsoft-com:office:smarttags" w:element="PlaceName">
          <w:r>
            <w:t>.Taveuni</w:t>
          </w:r>
        </w:smartTag>
        <w:r>
          <w:t xml:space="preserve"> </w:t>
        </w:r>
        <w:smartTag w:uri="urn:schemas-microsoft-com:office:smarttags" w:element="PlaceType">
          <w:r>
            <w:t>Forest</w:t>
          </w:r>
        </w:smartTag>
      </w:smartTag>
      <w:r>
        <w:t xml:space="preserve"> Reserve and the Wabu Forest Reserve. The majority have been converted to Mahogany plantations or de-reserved.</w:t>
      </w:r>
    </w:p>
  </w:footnote>
  <w:footnote w:id="2">
    <w:p w:rsidR="00B7768A" w:rsidRPr="008E74C9" w:rsidRDefault="00B7768A" w:rsidP="00B7768A">
      <w:pPr>
        <w:pStyle w:val="FootnoteText"/>
        <w:rPr>
          <w:lang w:val="en-US"/>
        </w:rPr>
      </w:pPr>
      <w:r>
        <w:rPr>
          <w:rStyle w:val="FootnoteReference"/>
        </w:rPr>
        <w:footnoteRef/>
      </w:r>
      <w:r>
        <w:t xml:space="preserve"> </w:t>
      </w:r>
      <w:r>
        <w:rPr>
          <w:lang w:val="en-US"/>
        </w:rPr>
        <w:t>Gap assessment could be updated to look at amount of cultural sites currently protected based on data from Fiji Museum</w:t>
      </w:r>
    </w:p>
  </w:footnote>
  <w:footnote w:id="3">
    <w:p w:rsidR="00B7768A" w:rsidRPr="008E74C9" w:rsidRDefault="00B7768A" w:rsidP="00B7768A">
      <w:pPr>
        <w:pStyle w:val="FootnoteText"/>
        <w:rPr>
          <w:lang w:val="en-US"/>
        </w:rPr>
      </w:pPr>
      <w:r>
        <w:rPr>
          <w:rStyle w:val="FootnoteReference"/>
        </w:rPr>
        <w:footnoteRef/>
      </w:r>
      <w:r>
        <w:t xml:space="preserve"> </w:t>
      </w:r>
      <w:r>
        <w:rPr>
          <w:lang w:val="en-US"/>
        </w:rPr>
        <w:t>Melanesian Spearhead Group developing ideas. Lau-Tonga Corridor proposed.</w:t>
      </w:r>
    </w:p>
  </w:footnote>
  <w:footnote w:id="4">
    <w:p w:rsidR="00B7768A" w:rsidRPr="008E74C9" w:rsidRDefault="00B7768A" w:rsidP="00B7768A">
      <w:pPr>
        <w:pStyle w:val="FootnoteText"/>
        <w:rPr>
          <w:lang w:val="en-US"/>
        </w:rPr>
      </w:pPr>
      <w:r>
        <w:rPr>
          <w:rStyle w:val="FootnoteReference"/>
        </w:rPr>
        <w:footnoteRef/>
      </w:r>
      <w:r>
        <w:t xml:space="preserve"> </w:t>
      </w:r>
      <w:r w:rsidRPr="008E74C9">
        <w:t>By 2020, all protected areas have management plans consistent with new PA legislation</w:t>
      </w:r>
    </w:p>
  </w:footnote>
  <w:footnote w:id="5">
    <w:p w:rsidR="00B7768A" w:rsidRPr="008E74C9" w:rsidRDefault="00B7768A" w:rsidP="00B7768A">
      <w:pPr>
        <w:pStyle w:val="FootnoteText"/>
        <w:rPr>
          <w:lang w:val="en-US"/>
        </w:rPr>
      </w:pPr>
      <w:r>
        <w:rPr>
          <w:rStyle w:val="FootnoteReference"/>
        </w:rPr>
        <w:footnoteRef/>
      </w:r>
      <w:r>
        <w:t xml:space="preserve"> </w:t>
      </w:r>
      <w:r>
        <w:rPr>
          <w:lang w:val="en-US"/>
        </w:rPr>
        <w:t>ABS committee formed. Membership has been revised based on endorsement of Cabinet paper. Committee should be advising government on signing Nagoya Protocol. There is a separate committee on Intellectual Rights spearheaded by Solicitor General's office</w:t>
      </w:r>
    </w:p>
  </w:footnote>
  <w:footnote w:id="6">
    <w:p w:rsidR="00B7768A" w:rsidRPr="0034069B" w:rsidRDefault="00B7768A" w:rsidP="00B7768A">
      <w:pPr>
        <w:pStyle w:val="FootnoteText"/>
        <w:rPr>
          <w:lang w:val="en-US"/>
        </w:rPr>
      </w:pPr>
      <w:r>
        <w:rPr>
          <w:rStyle w:val="FootnoteReference"/>
        </w:rPr>
        <w:footnoteRef/>
      </w:r>
      <w:r>
        <w:t xml:space="preserve"> </w:t>
      </w:r>
      <w:r>
        <w:rPr>
          <w:lang w:val="en-US"/>
        </w:rPr>
        <w:t>Information for policy framework needs to be collated prior to deadline to ratify Nagoya Protocol.</w:t>
      </w:r>
    </w:p>
  </w:footnote>
  <w:footnote w:id="7">
    <w:p w:rsidR="00B7768A" w:rsidRPr="0034069B" w:rsidRDefault="00B7768A" w:rsidP="00B7768A">
      <w:pPr>
        <w:pStyle w:val="FootnoteText"/>
        <w:rPr>
          <w:lang w:val="en-US"/>
        </w:rPr>
      </w:pPr>
      <w:r>
        <w:rPr>
          <w:rStyle w:val="FootnoteReference"/>
        </w:rPr>
        <w:footnoteRef/>
      </w:r>
      <w:r>
        <w:t xml:space="preserve"> </w:t>
      </w:r>
      <w:r w:rsidRPr="0034069B">
        <w:t>By 2012, Fiji has defined categories of PAs and governance types to be recognized under new PA legislation</w:t>
      </w:r>
    </w:p>
  </w:footnote>
  <w:footnote w:id="8">
    <w:p w:rsidR="00B7768A" w:rsidRPr="0034069B" w:rsidRDefault="00B7768A" w:rsidP="00B7768A">
      <w:pPr>
        <w:pStyle w:val="FootnoteText"/>
        <w:rPr>
          <w:lang w:val="en-US"/>
        </w:rPr>
      </w:pPr>
      <w:r>
        <w:rPr>
          <w:rStyle w:val="FootnoteReference"/>
        </w:rPr>
        <w:footnoteRef/>
      </w:r>
      <w:r>
        <w:t xml:space="preserve"> </w:t>
      </w:r>
      <w:r w:rsidRPr="0034069B">
        <w:t>By 2015, there will be clear mechanisms to provide for legal recognition of multiple types of PAs and legislative frameworks to enable good governance and management</w:t>
      </w:r>
    </w:p>
  </w:footnote>
  <w:footnote w:id="9">
    <w:p w:rsidR="00B7768A" w:rsidRPr="0034069B" w:rsidRDefault="00B7768A" w:rsidP="00B7768A">
      <w:pPr>
        <w:pStyle w:val="FootnoteText"/>
        <w:rPr>
          <w:lang w:val="en-US"/>
        </w:rPr>
      </w:pPr>
      <w:r>
        <w:rPr>
          <w:rStyle w:val="FootnoteReference"/>
        </w:rPr>
        <w:footnoteRef/>
      </w:r>
      <w:r>
        <w:t xml:space="preserve"> </w:t>
      </w:r>
      <w:r>
        <w:rPr>
          <w:lang w:val="en-US"/>
        </w:rPr>
        <w:t>GEF PAS project design Object 4.2 is to develop Methodology for valuing resources.</w:t>
      </w:r>
    </w:p>
  </w:footnote>
  <w:footnote w:id="10">
    <w:p w:rsidR="00B7768A" w:rsidRPr="007722DB" w:rsidRDefault="00B7768A" w:rsidP="00B7768A">
      <w:pPr>
        <w:pStyle w:val="FootnoteText"/>
        <w:rPr>
          <w:lang w:val="en-US"/>
        </w:rPr>
      </w:pPr>
      <w:r>
        <w:rPr>
          <w:rStyle w:val="FootnoteReference"/>
        </w:rPr>
        <w:footnoteRef/>
      </w:r>
      <w:r>
        <w:t xml:space="preserve"> </w:t>
      </w:r>
      <w:r w:rsidRPr="007722DB">
        <w:t>By 2015, PA legislation approved with regulations documenting process for tax-benefit system for PAs</w:t>
      </w:r>
      <w:r>
        <w:t xml:space="preserve">. </w:t>
      </w:r>
      <w:r w:rsidRPr="007722DB">
        <w:t>By 2020, Fiji has implemented a tax-benefit system for PA management</w:t>
      </w:r>
    </w:p>
  </w:footnote>
  <w:footnote w:id="11">
    <w:p w:rsidR="00B7768A" w:rsidRPr="007722DB" w:rsidRDefault="00B7768A" w:rsidP="00B7768A">
      <w:pPr>
        <w:pStyle w:val="FootnoteText"/>
        <w:rPr>
          <w:lang w:val="en-US"/>
        </w:rPr>
      </w:pPr>
      <w:r>
        <w:rPr>
          <w:rStyle w:val="FootnoteReference"/>
        </w:rPr>
        <w:footnoteRef/>
      </w:r>
      <w:r>
        <w:t xml:space="preserve"> </w:t>
      </w:r>
      <w:r>
        <w:rPr>
          <w:lang w:val="en-US"/>
        </w:rPr>
        <w:t>NTF has administered questionnaire for Forest and Nature Reserves. This needs to be distributed for all other sites.</w:t>
      </w:r>
    </w:p>
  </w:footnote>
  <w:footnote w:id="12">
    <w:p w:rsidR="00B7768A" w:rsidRPr="007722DB" w:rsidRDefault="00B7768A" w:rsidP="00B7768A">
      <w:pPr>
        <w:pStyle w:val="FootnoteText"/>
        <w:rPr>
          <w:lang w:val="en-US"/>
        </w:rPr>
      </w:pPr>
      <w:r>
        <w:rPr>
          <w:rStyle w:val="FootnoteReference"/>
        </w:rPr>
        <w:footnoteRef/>
      </w:r>
      <w:r>
        <w:t xml:space="preserve"> </w:t>
      </w:r>
      <w:r>
        <w:rPr>
          <w:lang w:val="en-US"/>
        </w:rPr>
        <w:t>Feeling that academic research is not necessarily aligned to government priorities. Government needs to come up with list of priorities to distribute to research institutions. Need better reporting templates.</w:t>
      </w:r>
    </w:p>
  </w:footnote>
  <w:footnote w:id="13">
    <w:p w:rsidR="00B7768A" w:rsidRPr="00D23913" w:rsidRDefault="00B7768A" w:rsidP="00B7768A">
      <w:pPr>
        <w:pStyle w:val="FootnoteText"/>
        <w:rPr>
          <w:lang w:val="en-US"/>
        </w:rPr>
      </w:pPr>
      <w:r>
        <w:rPr>
          <w:rStyle w:val="FootnoteReference"/>
        </w:rPr>
        <w:footnoteRef/>
      </w:r>
      <w:r>
        <w:t xml:space="preserve"> </w:t>
      </w:r>
      <w:r>
        <w:rPr>
          <w:lang w:val="en-US"/>
        </w:rPr>
        <w:t>EBSA meeting Nov 2011 to provide guidelines. Offshore Fisheries Decree in development which will give provisions for offshore MPAs.</w:t>
      </w:r>
    </w:p>
  </w:footnote>
  <w:footnote w:id="14">
    <w:p w:rsidR="007D6D57" w:rsidRPr="003566F7" w:rsidRDefault="007D6D57" w:rsidP="007D6D57">
      <w:pPr>
        <w:pStyle w:val="FootnoteText"/>
        <w:rPr>
          <w:lang w:val="en-US"/>
        </w:rPr>
      </w:pPr>
      <w:r>
        <w:rPr>
          <w:rStyle w:val="FootnoteReference"/>
        </w:rPr>
        <w:footnoteRef/>
      </w:r>
      <w:r>
        <w:t xml:space="preserve"> </w:t>
      </w:r>
      <w:r>
        <w:rPr>
          <w:lang w:val="en-US"/>
        </w:rPr>
        <w:t>This could potentially be a Statutory Body under the new Protected Area legislation</w:t>
      </w:r>
    </w:p>
  </w:footnote>
  <w:footnote w:id="15">
    <w:p w:rsidR="009446B3" w:rsidRDefault="009446B3" w:rsidP="009446B3">
      <w:pPr>
        <w:pStyle w:val="FootnoteText"/>
      </w:pPr>
      <w:r>
        <w:rPr>
          <w:rStyle w:val="FootnoteReference"/>
        </w:rPr>
        <w:footnoteRef/>
      </w:r>
      <w:r>
        <w:t xml:space="preserve">  Jupiter S, Tora K, Mills M, weeks R, adams V, Quaqau I, Nakeke A, Tui T,Nand Y, Yakub N (2011) </w:t>
      </w:r>
      <w:r>
        <w:rPr>
          <w:color w:val="000000"/>
          <w:sz w:val="22"/>
          <w:szCs w:val="22"/>
        </w:rPr>
        <w:t xml:space="preserve">Filling the gaps: identifying candidate sites to expand Fiji’s national protected area network. Outcomes report from rovincial planning meting, 20-21 September 2010. Wildlife Conservation Society, </w:t>
      </w:r>
      <w:smartTag w:uri="urn:schemas-microsoft-com:office:smarttags" w:element="place">
        <w:smartTag w:uri="urn:schemas-microsoft-com:office:smarttags" w:element="City">
          <w:r>
            <w:rPr>
              <w:color w:val="000000"/>
              <w:sz w:val="22"/>
              <w:szCs w:val="22"/>
            </w:rPr>
            <w:t>Suva</w:t>
          </w:r>
        </w:smartTag>
        <w:r>
          <w:rPr>
            <w:color w:val="000000"/>
            <w:sz w:val="22"/>
            <w:szCs w:val="22"/>
          </w:rPr>
          <w:t xml:space="preserve">, </w:t>
        </w:r>
        <w:smartTag w:uri="urn:schemas-microsoft-com:office:smarttags" w:element="country-region">
          <w:r>
            <w:rPr>
              <w:color w:val="000000"/>
              <w:sz w:val="22"/>
              <w:szCs w:val="22"/>
            </w:rPr>
            <w:t>Fiji</w:t>
          </w:r>
        </w:smartTag>
      </w:smartTag>
      <w:r>
        <w:rPr>
          <w:color w:val="000000"/>
          <w:sz w:val="22"/>
          <w:szCs w:val="22"/>
        </w:rPr>
        <w:t>, 65</w:t>
      </w:r>
    </w:p>
  </w:footnote>
  <w:footnote w:id="16">
    <w:p w:rsidR="004A3391" w:rsidRPr="00901FBD" w:rsidRDefault="004A3391" w:rsidP="004A3391">
      <w:pPr>
        <w:pStyle w:val="FootnoteText"/>
      </w:pPr>
      <w:r>
        <w:rPr>
          <w:rStyle w:val="FootnoteReference"/>
        </w:rPr>
        <w:footnoteRef/>
      </w:r>
      <w:r>
        <w:t xml:space="preserve"> Conservation and Community Investment Forum. February 2011. Fiji Locally Managed Marine Area (FLMMA) Cost Analysis and Financing Framework. Unpublished.</w:t>
      </w:r>
    </w:p>
  </w:footnote>
  <w:footnote w:id="17">
    <w:p w:rsidR="005D52B9" w:rsidRDefault="005D52B9" w:rsidP="005D52B9">
      <w:pPr>
        <w:pStyle w:val="FootnoteText"/>
      </w:pPr>
      <w:r>
        <w:rPr>
          <w:rStyle w:val="FootnoteReference"/>
        </w:rPr>
        <w:footnoteRef/>
      </w:r>
      <w:r>
        <w:t xml:space="preserve"> </w:t>
      </w:r>
      <w:r w:rsidRPr="001376AB">
        <w:t>Jupiter S, Tora K, Mills M, Weeks R, Adams V, Qauqau I, Nakeke A, Tui T, Nand Y, Yakub N (2011) Filling the gaps: identifying candidate sites to expand Fiji's national protected area network. Outcomes report from provincial planning meeting, 20-21 September 2010. Wildlife Conservation Society Fiji, Suva, Fiji 65</w:t>
      </w:r>
      <w:r>
        <w:t xml:space="preserve"> pp</w:t>
      </w:r>
    </w:p>
  </w:footnote>
  <w:footnote w:id="18">
    <w:p w:rsidR="005D52B9" w:rsidRDefault="005D52B9" w:rsidP="005D52B9">
      <w:pPr>
        <w:pStyle w:val="FootnoteText"/>
      </w:pPr>
      <w:r>
        <w:rPr>
          <w:rStyle w:val="FootnoteReference"/>
        </w:rPr>
        <w:footnoteRef/>
      </w:r>
      <w:r>
        <w:t xml:space="preserve"> Ibid.</w:t>
      </w:r>
    </w:p>
  </w:footnote>
  <w:footnote w:id="19">
    <w:p w:rsidR="005D52B9" w:rsidRDefault="005D52B9" w:rsidP="005D52B9">
      <w:pPr>
        <w:pStyle w:val="FootnoteText"/>
      </w:pPr>
      <w:r>
        <w:rPr>
          <w:rStyle w:val="FootnoteReference"/>
        </w:rPr>
        <w:footnoteRef/>
      </w:r>
      <w:r>
        <w:t xml:space="preserve"> </w:t>
      </w:r>
      <w:r w:rsidRPr="001376AB">
        <w:t>Mills M, Jupiter SD, Pressey RL, Ban NC, Comley J (in press) Incorporating effectiveness of community-based management strategies in a national marine gap analysis for Fiji. Conservation Biology</w:t>
      </w:r>
    </w:p>
  </w:footnote>
  <w:footnote w:id="20">
    <w:p w:rsidR="005D52B9" w:rsidRDefault="005D52B9" w:rsidP="005D52B9">
      <w:pPr>
        <w:pStyle w:val="FootnoteText"/>
      </w:pPr>
      <w:r>
        <w:rPr>
          <w:rStyle w:val="FootnoteReference"/>
        </w:rPr>
        <w:footnoteRef/>
      </w:r>
      <w:r>
        <w:t xml:space="preserve"> </w:t>
      </w:r>
      <w:r w:rsidRPr="001376AB">
        <w:t>Teh LCL, Teh LSL, Starkhouse B, Sumaila UR (2009) An overview of socio-economic and ecological perspectives of Fiji's inshore reef fisheries. Marine Policy 33:807-817</w:t>
      </w:r>
    </w:p>
  </w:footnote>
  <w:footnote w:id="21">
    <w:p w:rsidR="005D52B9" w:rsidRDefault="005D52B9" w:rsidP="005D52B9">
      <w:pPr>
        <w:pStyle w:val="FootnoteText"/>
      </w:pPr>
      <w:r>
        <w:rPr>
          <w:rStyle w:val="FootnoteReference"/>
        </w:rPr>
        <w:footnoteRef/>
      </w:r>
      <w:r>
        <w:t xml:space="preserve"> </w:t>
      </w:r>
      <w:r w:rsidRPr="001376AB">
        <w:t>Jupiter S, Tora K, Mills M, Weeks R, Adams V, Qauqau I, Nakeke A, Tui T, Nand Y, Yakub N (2011) Filling the gaps: identifying candidate sites to expand Fiji's national protected area network. Outcomes report from provincial planning meeting, 20-21 September 2010. Wildlife Conservation Society Fiji, Suva, Fiji 65</w:t>
      </w:r>
      <w:r>
        <w:t xml:space="preserve"> pp</w:t>
      </w:r>
    </w:p>
  </w:footnote>
  <w:footnote w:id="22">
    <w:p w:rsidR="00313ABE" w:rsidRPr="005D52B9" w:rsidRDefault="00313ABE" w:rsidP="005D52B9">
      <w:pPr>
        <w:autoSpaceDE w:val="0"/>
        <w:autoSpaceDN w:val="0"/>
        <w:adjustRightInd w:val="0"/>
        <w:spacing w:after="0" w:line="240" w:lineRule="auto"/>
        <w:rPr>
          <w:rFonts w:cstheme="minorHAnsi"/>
          <w:sz w:val="20"/>
          <w:szCs w:val="20"/>
        </w:rPr>
      </w:pPr>
      <w:r w:rsidRPr="00313ABE">
        <w:rPr>
          <w:rStyle w:val="FootnoteReference"/>
          <w:sz w:val="20"/>
          <w:szCs w:val="20"/>
        </w:rPr>
        <w:footnoteRef/>
      </w:r>
      <w:r w:rsidRPr="00313ABE">
        <w:rPr>
          <w:sz w:val="20"/>
          <w:szCs w:val="20"/>
        </w:rPr>
        <w:t xml:space="preserve"> O’Garra, T. 2007. Estimating the Total Economic Value (TEV) of the Navakavu LMMA (Locally Managed Marine Area) in Viti Levu Island (Fiji</w:t>
      </w:r>
      <w:r w:rsidRPr="00313ABE">
        <w:rPr>
          <w:rFonts w:cstheme="minorHAnsi"/>
          <w:sz w:val="20"/>
          <w:szCs w:val="20"/>
        </w:rPr>
        <w:t>).</w:t>
      </w:r>
      <w:r w:rsidR="005D52B9">
        <w:rPr>
          <w:rFonts w:cstheme="minorHAnsi"/>
          <w:sz w:val="20"/>
          <w:szCs w:val="20"/>
        </w:rPr>
        <w:t xml:space="preserve"> Component 2A-Project 2A2 </w:t>
      </w:r>
      <w:r w:rsidRPr="00313ABE">
        <w:rPr>
          <w:rFonts w:cstheme="minorHAnsi"/>
          <w:sz w:val="20"/>
          <w:szCs w:val="20"/>
        </w:rPr>
        <w:t xml:space="preserve">  </w:t>
      </w:r>
      <w:r w:rsidRPr="005D52B9">
        <w:rPr>
          <w:rFonts w:cstheme="minorHAnsi"/>
          <w:bCs/>
          <w:sz w:val="20"/>
          <w:szCs w:val="20"/>
          <w:lang w:val="en-AU"/>
        </w:rPr>
        <w:t>Knowledge, monitoring, management and</w:t>
      </w:r>
      <w:r w:rsidR="005D52B9">
        <w:rPr>
          <w:rFonts w:cstheme="minorHAnsi"/>
          <w:bCs/>
          <w:sz w:val="20"/>
          <w:szCs w:val="20"/>
          <w:lang w:val="en-AU"/>
        </w:rPr>
        <w:t xml:space="preserve"> </w:t>
      </w:r>
      <w:r w:rsidRPr="005D52B9">
        <w:rPr>
          <w:rFonts w:cstheme="minorHAnsi"/>
          <w:bCs/>
          <w:sz w:val="20"/>
          <w:szCs w:val="20"/>
          <w:lang w:val="en-AU"/>
        </w:rPr>
        <w:t>beneficial use of coral reef ecosystems</w:t>
      </w:r>
      <w:r w:rsidR="005D52B9">
        <w:rPr>
          <w:rFonts w:cstheme="minorHAnsi"/>
          <w:bCs/>
          <w:sz w:val="20"/>
          <w:szCs w:val="20"/>
          <w:lang w:val="en-AU"/>
        </w:rPr>
        <w:t>. FINAL REPORT.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54E5C"/>
    <w:multiLevelType w:val="hybridMultilevel"/>
    <w:tmpl w:val="4836A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37F40"/>
    <w:multiLevelType w:val="hybridMultilevel"/>
    <w:tmpl w:val="EDB499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1D9E7E54"/>
    <w:multiLevelType w:val="multilevel"/>
    <w:tmpl w:val="F9DABD4A"/>
    <w:lvl w:ilvl="0">
      <w:start w:val="6"/>
      <w:numFmt w:val="decimal"/>
      <w:lvlText w:val="%1"/>
      <w:lvlJc w:val="left"/>
      <w:pPr>
        <w:ind w:left="360" w:hanging="360"/>
      </w:pPr>
      <w:rPr>
        <w:rFonts w:hint="default"/>
        <w:color w:val="000000"/>
      </w:rPr>
    </w:lvl>
    <w:lvl w:ilv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2160" w:hanging="2160"/>
      </w:pPr>
      <w:rPr>
        <w:rFonts w:hint="default"/>
        <w:color w:val="000000"/>
      </w:rPr>
    </w:lvl>
    <w:lvl w:ilvl="8">
      <w:start w:val="1"/>
      <w:numFmt w:val="decimal"/>
      <w:lvlText w:val="%1.%2.%3.%4.%5.%6.%7.%8.%9"/>
      <w:lvlJc w:val="left"/>
      <w:pPr>
        <w:ind w:left="2160" w:hanging="2160"/>
      </w:pPr>
      <w:rPr>
        <w:rFonts w:hint="default"/>
        <w:color w:val="000000"/>
      </w:rPr>
    </w:lvl>
  </w:abstractNum>
  <w:abstractNum w:abstractNumId="3">
    <w:nsid w:val="21795B8B"/>
    <w:multiLevelType w:val="multilevel"/>
    <w:tmpl w:val="76924866"/>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nsid w:val="21D523B4"/>
    <w:multiLevelType w:val="hybridMultilevel"/>
    <w:tmpl w:val="C3D2F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2050E8"/>
    <w:multiLevelType w:val="hybridMultilevel"/>
    <w:tmpl w:val="BC629308"/>
    <w:lvl w:ilvl="0" w:tplc="FA36B46C">
      <w:start w:val="1"/>
      <w:numFmt w:val="bullet"/>
      <w:lvlText w:val=""/>
      <w:lvlJc w:val="left"/>
      <w:pPr>
        <w:tabs>
          <w:tab w:val="num" w:pos="360"/>
        </w:tabs>
        <w:ind w:left="360" w:hanging="216"/>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354DBC"/>
    <w:multiLevelType w:val="multilevel"/>
    <w:tmpl w:val="F9DABD4A"/>
    <w:lvl w:ilvl="0">
      <w:start w:val="6"/>
      <w:numFmt w:val="decimal"/>
      <w:lvlText w:val="%1"/>
      <w:lvlJc w:val="left"/>
      <w:pPr>
        <w:ind w:left="360" w:hanging="360"/>
      </w:pPr>
      <w:rPr>
        <w:rFonts w:hint="default"/>
        <w:color w:val="000000"/>
      </w:rPr>
    </w:lvl>
    <w:lvl w:ilv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2160" w:hanging="2160"/>
      </w:pPr>
      <w:rPr>
        <w:rFonts w:hint="default"/>
        <w:color w:val="000000"/>
      </w:rPr>
    </w:lvl>
    <w:lvl w:ilvl="8">
      <w:start w:val="1"/>
      <w:numFmt w:val="decimal"/>
      <w:lvlText w:val="%1.%2.%3.%4.%5.%6.%7.%8.%9"/>
      <w:lvlJc w:val="left"/>
      <w:pPr>
        <w:ind w:left="2160" w:hanging="2160"/>
      </w:pPr>
      <w:rPr>
        <w:rFonts w:hint="default"/>
        <w:color w:val="000000"/>
      </w:rPr>
    </w:lvl>
  </w:abstractNum>
  <w:abstractNum w:abstractNumId="7">
    <w:nsid w:val="2D1D75D8"/>
    <w:multiLevelType w:val="multilevel"/>
    <w:tmpl w:val="79E24F28"/>
    <w:lvl w:ilvl="0">
      <w:start w:val="5"/>
      <w:numFmt w:val="decimal"/>
      <w:lvlText w:val="%1"/>
      <w:lvlJc w:val="left"/>
      <w:pPr>
        <w:ind w:left="360" w:hanging="36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2160" w:hanging="2160"/>
      </w:pPr>
      <w:rPr>
        <w:rFonts w:hint="default"/>
        <w:color w:val="000000"/>
      </w:rPr>
    </w:lvl>
    <w:lvl w:ilvl="8">
      <w:start w:val="1"/>
      <w:numFmt w:val="decimal"/>
      <w:lvlText w:val="%1.%2.%3.%4.%5.%6.%7.%8.%9"/>
      <w:lvlJc w:val="left"/>
      <w:pPr>
        <w:ind w:left="2160" w:hanging="2160"/>
      </w:pPr>
      <w:rPr>
        <w:rFonts w:hint="default"/>
        <w:color w:val="000000"/>
      </w:rPr>
    </w:lvl>
  </w:abstractNum>
  <w:abstractNum w:abstractNumId="8">
    <w:nsid w:val="318C1396"/>
    <w:multiLevelType w:val="hybridMultilevel"/>
    <w:tmpl w:val="96328AF2"/>
    <w:lvl w:ilvl="0" w:tplc="DC9864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8E1DE3"/>
    <w:multiLevelType w:val="hybridMultilevel"/>
    <w:tmpl w:val="77AEE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6973F3"/>
    <w:multiLevelType w:val="hybridMultilevel"/>
    <w:tmpl w:val="72E069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3DBC2125"/>
    <w:multiLevelType w:val="hybridMultilevel"/>
    <w:tmpl w:val="8968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9E7A3E"/>
    <w:multiLevelType w:val="hybridMultilevel"/>
    <w:tmpl w:val="C31A3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0C32FC"/>
    <w:multiLevelType w:val="hybridMultilevel"/>
    <w:tmpl w:val="C98216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62A17DF8"/>
    <w:multiLevelType w:val="hybridMultilevel"/>
    <w:tmpl w:val="CC964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454391"/>
    <w:multiLevelType w:val="hybridMultilevel"/>
    <w:tmpl w:val="C9288D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8DD2197"/>
    <w:multiLevelType w:val="hybridMultilevel"/>
    <w:tmpl w:val="94EA8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40710B0"/>
    <w:multiLevelType w:val="hybridMultilevel"/>
    <w:tmpl w:val="C77A3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4"/>
  </w:num>
  <w:num w:numId="4">
    <w:abstractNumId w:val="17"/>
  </w:num>
  <w:num w:numId="5">
    <w:abstractNumId w:val="4"/>
  </w:num>
  <w:num w:numId="6">
    <w:abstractNumId w:val="11"/>
  </w:num>
  <w:num w:numId="7">
    <w:abstractNumId w:val="9"/>
  </w:num>
  <w:num w:numId="8">
    <w:abstractNumId w:val="5"/>
  </w:num>
  <w:num w:numId="9">
    <w:abstractNumId w:val="7"/>
  </w:num>
  <w:num w:numId="10">
    <w:abstractNumId w:val="2"/>
  </w:num>
  <w:num w:numId="11">
    <w:abstractNumId w:val="8"/>
  </w:num>
  <w:num w:numId="12">
    <w:abstractNumId w:val="3"/>
  </w:num>
  <w:num w:numId="13">
    <w:abstractNumId w:val="15"/>
  </w:num>
  <w:num w:numId="14">
    <w:abstractNumId w:val="6"/>
  </w:num>
  <w:num w:numId="15">
    <w:abstractNumId w:val="16"/>
  </w:num>
  <w:num w:numId="16">
    <w:abstractNumId w:val="1"/>
  </w:num>
  <w:num w:numId="17">
    <w:abstractNumId w:val="10"/>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624DBD"/>
    <w:rsid w:val="0003270F"/>
    <w:rsid w:val="000F01AF"/>
    <w:rsid w:val="00155793"/>
    <w:rsid w:val="001631A3"/>
    <w:rsid w:val="002E37A1"/>
    <w:rsid w:val="002F6B86"/>
    <w:rsid w:val="00313ABE"/>
    <w:rsid w:val="00337EC0"/>
    <w:rsid w:val="003D1FFB"/>
    <w:rsid w:val="004A3391"/>
    <w:rsid w:val="004D7BFE"/>
    <w:rsid w:val="004E0F96"/>
    <w:rsid w:val="00515DA5"/>
    <w:rsid w:val="005168A6"/>
    <w:rsid w:val="00527ED6"/>
    <w:rsid w:val="00591661"/>
    <w:rsid w:val="005A0AF7"/>
    <w:rsid w:val="005A33B1"/>
    <w:rsid w:val="005D07C1"/>
    <w:rsid w:val="005D52B9"/>
    <w:rsid w:val="0060001D"/>
    <w:rsid w:val="00624DBD"/>
    <w:rsid w:val="0062603E"/>
    <w:rsid w:val="00795E6A"/>
    <w:rsid w:val="007D6D57"/>
    <w:rsid w:val="007E3651"/>
    <w:rsid w:val="0086062D"/>
    <w:rsid w:val="009446B3"/>
    <w:rsid w:val="00A06786"/>
    <w:rsid w:val="00A55E10"/>
    <w:rsid w:val="00A67B93"/>
    <w:rsid w:val="00B7768A"/>
    <w:rsid w:val="00D75187"/>
    <w:rsid w:val="00E31AF6"/>
    <w:rsid w:val="00E43C90"/>
    <w:rsid w:val="00EB1229"/>
    <w:rsid w:val="00FD10D5"/>
  </w:rsids>
  <m:mathPr>
    <m:mathFont m:val="Cambria Math"/>
    <m:brkBin m:val="before"/>
    <m:brkBinSub m:val="--"/>
    <m:smallFrac m:val="off"/>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187"/>
  </w:style>
  <w:style w:type="paragraph" w:styleId="Heading1">
    <w:name w:val="heading 1"/>
    <w:basedOn w:val="Normal"/>
    <w:next w:val="Normal"/>
    <w:link w:val="Heading1Char"/>
    <w:uiPriority w:val="9"/>
    <w:qFormat/>
    <w:rsid w:val="00624D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24D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4DB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24DBD"/>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515D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15DA5"/>
    <w:pPr>
      <w:ind w:left="720"/>
      <w:contextualSpacing/>
    </w:pPr>
  </w:style>
  <w:style w:type="paragraph" w:styleId="Subtitle">
    <w:name w:val="Subtitle"/>
    <w:basedOn w:val="Normal"/>
    <w:next w:val="Normal"/>
    <w:link w:val="SubtitleChar"/>
    <w:uiPriority w:val="11"/>
    <w:qFormat/>
    <w:rsid w:val="00795E6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95E6A"/>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795E6A"/>
    <w:rPr>
      <w:b/>
      <w:bCs/>
      <w:i/>
      <w:iCs/>
      <w:color w:val="4F81BD" w:themeColor="accent1"/>
    </w:rPr>
  </w:style>
  <w:style w:type="paragraph" w:styleId="FootnoteText">
    <w:name w:val="footnote text"/>
    <w:aliases w:val="Geneva 9,Font: Geneva 9,Boston 10,f, F-t"/>
    <w:basedOn w:val="Normal"/>
    <w:link w:val="FootnoteTextChar"/>
    <w:uiPriority w:val="99"/>
    <w:unhideWhenUsed/>
    <w:rsid w:val="00B7768A"/>
    <w:pPr>
      <w:spacing w:after="0" w:line="240" w:lineRule="auto"/>
    </w:pPr>
    <w:rPr>
      <w:rFonts w:ascii="Calibri" w:eastAsia="Calibri" w:hAnsi="Calibri" w:cs="Times New Roman"/>
      <w:sz w:val="20"/>
      <w:szCs w:val="20"/>
      <w:lang w:val="en-AU"/>
    </w:rPr>
  </w:style>
  <w:style w:type="character" w:customStyle="1" w:styleId="FootnoteTextChar">
    <w:name w:val="Footnote Text Char"/>
    <w:aliases w:val="Geneva 9 Char,Font: Geneva 9 Char,Boston 10 Char,f Char, F-t Char"/>
    <w:basedOn w:val="DefaultParagraphFont"/>
    <w:link w:val="FootnoteText"/>
    <w:uiPriority w:val="99"/>
    <w:rsid w:val="00B7768A"/>
    <w:rPr>
      <w:rFonts w:ascii="Calibri" w:eastAsia="Calibri" w:hAnsi="Calibri" w:cs="Times New Roman"/>
      <w:sz w:val="20"/>
      <w:szCs w:val="20"/>
      <w:lang w:val="en-AU"/>
    </w:rPr>
  </w:style>
  <w:style w:type="character" w:styleId="FootnoteReference">
    <w:name w:val="footnote reference"/>
    <w:aliases w:val="16 Point,Superscript 6 Point"/>
    <w:basedOn w:val="DefaultParagraphFont"/>
    <w:uiPriority w:val="99"/>
    <w:semiHidden/>
    <w:unhideWhenUsed/>
    <w:rsid w:val="00B7768A"/>
    <w:rPr>
      <w:vertAlign w:val="superscript"/>
    </w:rPr>
  </w:style>
  <w:style w:type="character" w:customStyle="1" w:styleId="name2">
    <w:name w:val="name2"/>
    <w:rsid w:val="003D1FFB"/>
    <w:rPr>
      <w:b/>
      <w:bCs/>
    </w:rPr>
  </w:style>
  <w:style w:type="character" w:styleId="Hyperlink">
    <w:name w:val="Hyperlink"/>
    <w:rsid w:val="003D1FFB"/>
    <w:rPr>
      <w:color w:val="0000FF"/>
      <w:u w:val="single"/>
    </w:rPr>
  </w:style>
  <w:style w:type="paragraph" w:customStyle="1" w:styleId="ECFBodyCharChar">
    <w:name w:val="ECF Body Char Char"/>
    <w:basedOn w:val="Normal"/>
    <w:link w:val="ECFBodyCharCharChar"/>
    <w:rsid w:val="003D1FFB"/>
    <w:pPr>
      <w:spacing w:before="120" w:after="0" w:line="240" w:lineRule="auto"/>
      <w:jc w:val="both"/>
    </w:pPr>
    <w:rPr>
      <w:rFonts w:ascii="Arial" w:eastAsia="Times New Roman" w:hAnsi="Arial" w:cs="Times New Roman"/>
      <w:sz w:val="24"/>
      <w:szCs w:val="20"/>
      <w:lang w:val="en-GB"/>
    </w:rPr>
  </w:style>
  <w:style w:type="character" w:customStyle="1" w:styleId="ECFBodyCharCharChar">
    <w:name w:val="ECF Body Char Char Char"/>
    <w:link w:val="ECFBodyCharChar"/>
    <w:rsid w:val="003D1FFB"/>
    <w:rPr>
      <w:rFonts w:ascii="Arial" w:eastAsia="Times New Roman" w:hAnsi="Arial" w:cs="Times New Roman"/>
      <w:sz w:val="24"/>
      <w:szCs w:val="20"/>
      <w:lang w:val="en-GB"/>
    </w:rPr>
  </w:style>
  <w:style w:type="paragraph" w:styleId="BodyText2">
    <w:name w:val="Body Text 2"/>
    <w:basedOn w:val="Normal"/>
    <w:link w:val="BodyText2Char"/>
    <w:uiPriority w:val="99"/>
    <w:semiHidden/>
    <w:unhideWhenUsed/>
    <w:rsid w:val="009446B3"/>
    <w:pPr>
      <w:spacing w:before="100" w:beforeAutospacing="1" w:after="100" w:afterAutospacing="1" w:line="240" w:lineRule="auto"/>
    </w:pPr>
    <w:rPr>
      <w:rFonts w:ascii="Times New Roman" w:hAnsi="Times New Roman" w:cs="Times New Roman"/>
      <w:color w:val="000000"/>
      <w:sz w:val="24"/>
      <w:szCs w:val="24"/>
      <w:lang w:val="en-AU" w:eastAsia="en-AU"/>
    </w:rPr>
  </w:style>
  <w:style w:type="character" w:customStyle="1" w:styleId="BodyText2Char">
    <w:name w:val="Body Text 2 Char"/>
    <w:basedOn w:val="DefaultParagraphFont"/>
    <w:link w:val="BodyText2"/>
    <w:uiPriority w:val="99"/>
    <w:semiHidden/>
    <w:rsid w:val="009446B3"/>
    <w:rPr>
      <w:rFonts w:ascii="Times New Roman" w:hAnsi="Times New Roman" w:cs="Times New Roman"/>
      <w:color w:val="000000"/>
      <w:sz w:val="24"/>
      <w:szCs w:val="24"/>
      <w:lang w:val="en-AU" w:eastAsia="en-AU"/>
    </w:rPr>
  </w:style>
  <w:style w:type="character" w:styleId="Strong">
    <w:name w:val="Strong"/>
    <w:qFormat/>
    <w:rsid w:val="005D07C1"/>
    <w:rPr>
      <w:b/>
      <w:bCs/>
    </w:rPr>
  </w:style>
  <w:style w:type="paragraph" w:styleId="BalloonText">
    <w:name w:val="Balloon Text"/>
    <w:basedOn w:val="Normal"/>
    <w:link w:val="BalloonTextChar"/>
    <w:uiPriority w:val="99"/>
    <w:semiHidden/>
    <w:unhideWhenUsed/>
    <w:rsid w:val="000F0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1AF"/>
    <w:rPr>
      <w:rFonts w:ascii="Tahoma" w:hAnsi="Tahoma" w:cs="Tahoma"/>
      <w:sz w:val="16"/>
      <w:szCs w:val="16"/>
    </w:rPr>
  </w:style>
  <w:style w:type="table" w:customStyle="1" w:styleId="LightList-Accent11">
    <w:name w:val="Light List - Accent 11"/>
    <w:basedOn w:val="TableNormal"/>
    <w:uiPriority w:val="61"/>
    <w:rsid w:val="00155793"/>
    <w:pPr>
      <w:spacing w:after="0" w:line="240" w:lineRule="auto"/>
    </w:pPr>
    <w:rPr>
      <w:rFonts w:ascii="Times New Roman" w:eastAsia="Calibri" w:hAnsi="Times New Roman" w:cs="Times New Roman"/>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4D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24D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4DB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24DBD"/>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515D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15DA5"/>
    <w:pPr>
      <w:ind w:left="720"/>
      <w:contextualSpacing/>
    </w:pPr>
  </w:style>
  <w:style w:type="paragraph" w:styleId="Subtitle">
    <w:name w:val="Subtitle"/>
    <w:basedOn w:val="Normal"/>
    <w:next w:val="Normal"/>
    <w:link w:val="SubtitleChar"/>
    <w:uiPriority w:val="11"/>
    <w:qFormat/>
    <w:rsid w:val="00795E6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95E6A"/>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795E6A"/>
    <w:rPr>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626357471">
      <w:bodyDiv w:val="1"/>
      <w:marLeft w:val="0"/>
      <w:marRight w:val="0"/>
      <w:marTop w:val="0"/>
      <w:marBottom w:val="0"/>
      <w:divBdr>
        <w:top w:val="none" w:sz="0" w:space="0" w:color="auto"/>
        <w:left w:val="none" w:sz="0" w:space="0" w:color="auto"/>
        <w:bottom w:val="none" w:sz="0" w:space="0" w:color="auto"/>
        <w:right w:val="none" w:sz="0" w:space="0" w:color="auto"/>
      </w:divBdr>
    </w:div>
    <w:div w:id="1632513495">
      <w:bodyDiv w:val="1"/>
      <w:marLeft w:val="0"/>
      <w:marRight w:val="0"/>
      <w:marTop w:val="0"/>
      <w:marBottom w:val="0"/>
      <w:divBdr>
        <w:top w:val="none" w:sz="0" w:space="0" w:color="auto"/>
        <w:left w:val="none" w:sz="0" w:space="0" w:color="auto"/>
        <w:bottom w:val="none" w:sz="0" w:space="0" w:color="auto"/>
        <w:right w:val="none" w:sz="0" w:space="0" w:color="auto"/>
      </w:divBdr>
    </w:div>
    <w:div w:id="175619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rasito@nationaltrust.org.fij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16A0C-D67D-4B09-A8E5-9F4F12946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6506</Words>
  <Characters>37089</Characters>
  <Application>Microsoft Office Word</Application>
  <DocSecurity>4</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Jamison Ervin</dc:creator>
  <cp:lastModifiedBy> </cp:lastModifiedBy>
  <cp:revision>2</cp:revision>
  <dcterms:created xsi:type="dcterms:W3CDTF">2011-10-07T03:36:00Z</dcterms:created>
  <dcterms:modified xsi:type="dcterms:W3CDTF">2011-10-07T03:36:00Z</dcterms:modified>
</cp:coreProperties>
</file>