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8AC" w:rsidRPr="00A93F25" w:rsidRDefault="005738AC" w:rsidP="005738AC">
      <w:pPr>
        <w:pStyle w:val="NoSpacing"/>
        <w:jc w:val="both"/>
        <w:rPr>
          <w:rFonts w:ascii="Arial" w:hAnsi="Arial" w:cs="Arial"/>
          <w:b/>
          <w:color w:val="000000" w:themeColor="text1"/>
        </w:rPr>
      </w:pPr>
      <w:r w:rsidRPr="00A93F25">
        <w:rPr>
          <w:rFonts w:ascii="Arial" w:hAnsi="Arial" w:cs="Arial"/>
          <w:b/>
          <w:color w:val="000000" w:themeColor="text1"/>
        </w:rPr>
        <w:t>India’s submission in response to CBD notification No. 2015-049 dated 5</w:t>
      </w:r>
      <w:r w:rsidRPr="00A93F25">
        <w:rPr>
          <w:rFonts w:ascii="Arial" w:hAnsi="Arial" w:cs="Arial"/>
          <w:b/>
          <w:color w:val="000000" w:themeColor="text1"/>
          <w:vertAlign w:val="superscript"/>
        </w:rPr>
        <w:t>th</w:t>
      </w:r>
      <w:r w:rsidRPr="00A93F25">
        <w:rPr>
          <w:rFonts w:ascii="Arial" w:hAnsi="Arial" w:cs="Arial"/>
          <w:b/>
          <w:color w:val="000000" w:themeColor="text1"/>
        </w:rPr>
        <w:t xml:space="preserve"> May 2015, on the need for and modalities of support to advise or assist Parties</w:t>
      </w:r>
      <w:r>
        <w:rPr>
          <w:rFonts w:ascii="Arial" w:hAnsi="Arial" w:cs="Arial"/>
          <w:b/>
          <w:color w:val="000000" w:themeColor="text1"/>
        </w:rPr>
        <w:t>,</w:t>
      </w:r>
      <w:r w:rsidRPr="00A93F25">
        <w:rPr>
          <w:rFonts w:ascii="Arial" w:hAnsi="Arial" w:cs="Arial"/>
          <w:b/>
          <w:color w:val="000000" w:themeColor="text1"/>
        </w:rPr>
        <w:t xml:space="preserve"> and where appropriate ILCs, to address challenges related to compliance with the provisions of the Nagoya Protocol, with a view to making effective use of the compliance mechanism</w:t>
      </w:r>
    </w:p>
    <w:p w:rsidR="005738AC" w:rsidRPr="00A93F25" w:rsidRDefault="005738AC" w:rsidP="005738AC">
      <w:pPr>
        <w:pStyle w:val="NoSpacing"/>
        <w:jc w:val="both"/>
        <w:rPr>
          <w:rFonts w:ascii="Arial" w:hAnsi="Arial" w:cs="Arial"/>
          <w:b/>
          <w:i/>
          <w:iCs/>
          <w:color w:val="000000" w:themeColor="text1"/>
        </w:rPr>
      </w:pPr>
    </w:p>
    <w:p w:rsidR="005738AC" w:rsidRPr="00A93F25" w:rsidRDefault="005738AC" w:rsidP="005738AC">
      <w:pPr>
        <w:pStyle w:val="NoSpacing"/>
        <w:jc w:val="both"/>
        <w:rPr>
          <w:rFonts w:ascii="Arial" w:hAnsi="Arial" w:cs="Arial"/>
          <w:b/>
          <w:i/>
          <w:iCs/>
          <w:color w:val="000000" w:themeColor="text1"/>
        </w:rPr>
      </w:pPr>
      <w:r w:rsidRPr="00A93F25">
        <w:rPr>
          <w:rFonts w:ascii="Arial" w:hAnsi="Arial" w:cs="Arial"/>
          <w:b/>
          <w:iCs/>
          <w:color w:val="000000" w:themeColor="text1"/>
        </w:rPr>
        <w:t>Background</w:t>
      </w:r>
    </w:p>
    <w:p w:rsidR="005738AC" w:rsidRPr="00A93F25" w:rsidRDefault="005738AC" w:rsidP="005738AC">
      <w:pPr>
        <w:autoSpaceDE w:val="0"/>
        <w:autoSpaceDN w:val="0"/>
        <w:adjustRightInd w:val="0"/>
        <w:spacing w:after="0" w:line="240" w:lineRule="auto"/>
        <w:rPr>
          <w:rFonts w:ascii="Arial" w:hAnsi="Arial" w:cs="Arial"/>
          <w:i/>
          <w:iCs/>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b/>
          <w:color w:val="000000" w:themeColor="text1"/>
        </w:rPr>
      </w:pPr>
      <w:r w:rsidRPr="00A93F25">
        <w:rPr>
          <w:rFonts w:ascii="Arial" w:hAnsi="Arial" w:cs="Arial"/>
          <w:color w:val="000000" w:themeColor="text1"/>
        </w:rPr>
        <w:t>The Conference of the Parties serving as the Meeting of the Parties (</w:t>
      </w:r>
      <w:proofErr w:type="spellStart"/>
      <w:r w:rsidRPr="00A93F25">
        <w:rPr>
          <w:rFonts w:ascii="Arial" w:hAnsi="Arial" w:cs="Arial"/>
          <w:color w:val="000000" w:themeColor="text1"/>
        </w:rPr>
        <w:t>CoP</w:t>
      </w:r>
      <w:proofErr w:type="spellEnd"/>
      <w:r w:rsidRPr="00A93F25">
        <w:rPr>
          <w:rFonts w:ascii="Arial" w:hAnsi="Arial" w:cs="Arial"/>
          <w:color w:val="000000" w:themeColor="text1"/>
        </w:rPr>
        <w:t>/</w:t>
      </w:r>
      <w:proofErr w:type="spellStart"/>
      <w:r w:rsidRPr="00A93F25">
        <w:rPr>
          <w:rFonts w:ascii="Arial" w:hAnsi="Arial" w:cs="Arial"/>
          <w:color w:val="000000" w:themeColor="text1"/>
        </w:rPr>
        <w:t>MoP</w:t>
      </w:r>
      <w:proofErr w:type="spellEnd"/>
      <w:r w:rsidRPr="00A93F25">
        <w:rPr>
          <w:rFonts w:ascii="Arial" w:hAnsi="Arial" w:cs="Arial"/>
          <w:color w:val="000000" w:themeColor="text1"/>
        </w:rPr>
        <w:t xml:space="preserve">) to the Nagoya Protocol, in its first meeting, pursuant to its obligations under Article 30 of the Protocol, adopted “Cooperative Procedures and Institutional Mechanisms to Promote Compliance with the Provisions of the Nagoya Protocol on Access to Genetic Resources and the Fair and Equitable Sharing of Benefits Arising from their Utilization and to Address Cases of Non-compliance” as set out in the annex to decision 1/4, and also established </w:t>
      </w:r>
      <w:r>
        <w:rPr>
          <w:rFonts w:ascii="Arial" w:hAnsi="Arial" w:cs="Arial"/>
          <w:color w:val="000000" w:themeColor="text1"/>
        </w:rPr>
        <w:t>a</w:t>
      </w:r>
      <w:r w:rsidRPr="00A93F25">
        <w:rPr>
          <w:rFonts w:ascii="Arial" w:hAnsi="Arial" w:cs="Arial"/>
          <w:color w:val="000000" w:themeColor="text1"/>
        </w:rPr>
        <w:t xml:space="preserve"> Compliance Committee referred to therein. The objective of the compliance procedures and mechanisms is to promote compliance with the provisions of the Protocol and to address cases of noncompliance.  The procedures and mechanisms offered therein include provisions to offer advice or assistance as appropriate. These compliance procedures are to be established separate from and without prejudice to the dispute settlement procedures and mechanisms under Article 27 of the CBD</w:t>
      </w:r>
      <w:r w:rsidRPr="00A93F25">
        <w:rPr>
          <w:rFonts w:ascii="Arial" w:hAnsi="Arial" w:cs="Arial"/>
          <w:b/>
          <w:color w:val="000000" w:themeColor="text1"/>
        </w:rPr>
        <w:t>.</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A93F25">
        <w:rPr>
          <w:rFonts w:ascii="Arial" w:hAnsi="Arial" w:cs="Arial"/>
          <w:color w:val="000000" w:themeColor="text1"/>
        </w:rPr>
        <w:t>The Compliance Committee as the institutional mechanism is to perform functions under the procedures established and any other functions assigned to it by the COP/MOP with a view to promote compliance with the provisions of the provisions of the Protocol and to address cases of non-compliance.  The procedures before the Compliance Committee could be triggered by filing of submissions in writing to the Compliance Committee through the Secretariat relating to issues of compliance and non-compliance by: (</w:t>
      </w:r>
      <w:proofErr w:type="spellStart"/>
      <w:r w:rsidRPr="00A93F25">
        <w:rPr>
          <w:rFonts w:ascii="Arial" w:hAnsi="Arial" w:cs="Arial"/>
          <w:color w:val="000000" w:themeColor="text1"/>
        </w:rPr>
        <w:t>i</w:t>
      </w:r>
      <w:proofErr w:type="spellEnd"/>
      <w:r w:rsidRPr="00A93F25">
        <w:rPr>
          <w:rFonts w:ascii="Arial" w:hAnsi="Arial" w:cs="Arial"/>
          <w:color w:val="000000" w:themeColor="text1"/>
        </w:rPr>
        <w:t>) any Party with respect to itself; (ii) any Party with respect to another Party; or (iii) by the COP/MOP. The Committee may also examine a situation where a Party fails to submit its national report pursuant to Article 29 of the Protocol or where information indicates that the Party concerned is faced with difficulties complying with its obligations under the Protocol. This information may be received through a national report or from the ABS Clearing House; or from the Secretariat based on</w:t>
      </w:r>
      <w:r>
        <w:rPr>
          <w:rFonts w:ascii="Arial" w:hAnsi="Arial" w:cs="Arial"/>
          <w:color w:val="000000" w:themeColor="text1"/>
        </w:rPr>
        <w:t>:</w:t>
      </w:r>
      <w:r w:rsidRPr="00A93F25">
        <w:rPr>
          <w:rFonts w:ascii="Arial" w:hAnsi="Arial" w:cs="Arial"/>
          <w:color w:val="000000" w:themeColor="text1"/>
        </w:rPr>
        <w:t xml:space="preserve"> (</w:t>
      </w:r>
      <w:proofErr w:type="spellStart"/>
      <w:r w:rsidRPr="00A93F25">
        <w:rPr>
          <w:rFonts w:ascii="Arial" w:hAnsi="Arial" w:cs="Arial"/>
          <w:color w:val="000000" w:themeColor="text1"/>
        </w:rPr>
        <w:t>i</w:t>
      </w:r>
      <w:proofErr w:type="spellEnd"/>
      <w:r w:rsidRPr="00A93F25">
        <w:rPr>
          <w:rFonts w:ascii="Arial" w:hAnsi="Arial" w:cs="Arial"/>
          <w:color w:val="000000" w:themeColor="text1"/>
        </w:rPr>
        <w:t>) information on the completeness or accuracy of a Party’s national report; (ii) information on the completeness or accuracy of the information submitted by a Party to ABS Clearing House; or (iii) other information related to compliance with Article 12(1) of the Protocol provided by a directly affected ILC, related to the provisions of the Protocol. The Committee may also examine systemic issues of general non-compliance that come to its attention.</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rPr>
          <w:rFonts w:ascii="Arial" w:hAnsi="Arial" w:cs="Arial"/>
          <w:color w:val="000000" w:themeColor="text1"/>
        </w:rPr>
      </w:pPr>
      <w:r w:rsidRPr="00A93F25">
        <w:rPr>
          <w:rFonts w:ascii="Arial" w:hAnsi="Arial" w:cs="Arial"/>
          <w:color w:val="000000" w:themeColor="text1"/>
        </w:rPr>
        <w:t>With respect to the measures to promote compliance and address cases of noncompliance,</w:t>
      </w:r>
    </w:p>
    <w:p w:rsidR="005738AC" w:rsidRPr="00A93F25" w:rsidRDefault="005738AC" w:rsidP="005738AC">
      <w:pPr>
        <w:autoSpaceDE w:val="0"/>
        <w:autoSpaceDN w:val="0"/>
        <w:adjustRightInd w:val="0"/>
        <w:spacing w:after="0" w:line="240" w:lineRule="auto"/>
        <w:jc w:val="both"/>
        <w:rPr>
          <w:rFonts w:ascii="Arial" w:hAnsi="Arial" w:cs="Arial"/>
          <w:color w:val="000000" w:themeColor="text1"/>
        </w:rPr>
      </w:pPr>
      <w:proofErr w:type="gramStart"/>
      <w:r w:rsidRPr="00A93F25">
        <w:rPr>
          <w:rFonts w:ascii="Arial" w:hAnsi="Arial" w:cs="Arial"/>
          <w:color w:val="000000" w:themeColor="text1"/>
        </w:rPr>
        <w:t>the</w:t>
      </w:r>
      <w:proofErr w:type="gramEnd"/>
      <w:r w:rsidRPr="00A93F25">
        <w:rPr>
          <w:rFonts w:ascii="Arial" w:hAnsi="Arial" w:cs="Arial"/>
          <w:color w:val="000000" w:themeColor="text1"/>
        </w:rPr>
        <w:t xml:space="preserve"> Compliance Committee shall take into account</w:t>
      </w:r>
      <w:r>
        <w:rPr>
          <w:rFonts w:ascii="Arial" w:hAnsi="Arial" w:cs="Arial"/>
          <w:color w:val="000000" w:themeColor="text1"/>
        </w:rPr>
        <w:t>:</w:t>
      </w:r>
      <w:r w:rsidRPr="00A93F25">
        <w:rPr>
          <w:rFonts w:ascii="Arial" w:hAnsi="Arial" w:cs="Arial"/>
          <w:color w:val="000000" w:themeColor="text1"/>
        </w:rPr>
        <w:t xml:space="preserve"> (</w:t>
      </w:r>
      <w:proofErr w:type="spellStart"/>
      <w:r w:rsidRPr="00A93F25">
        <w:rPr>
          <w:rFonts w:ascii="Arial" w:hAnsi="Arial" w:cs="Arial"/>
          <w:color w:val="000000" w:themeColor="text1"/>
        </w:rPr>
        <w:t>i</w:t>
      </w:r>
      <w:proofErr w:type="spellEnd"/>
      <w:r w:rsidRPr="00A93F25">
        <w:rPr>
          <w:rFonts w:ascii="Arial" w:hAnsi="Arial" w:cs="Arial"/>
          <w:color w:val="000000" w:themeColor="text1"/>
        </w:rPr>
        <w:t>) the capacity of the Party concerned to comply; (ii) the special needs of developing country Parties</w:t>
      </w:r>
      <w:r>
        <w:rPr>
          <w:rFonts w:ascii="Arial" w:hAnsi="Arial" w:cs="Arial"/>
          <w:color w:val="000000" w:themeColor="text1"/>
        </w:rPr>
        <w:t>;</w:t>
      </w:r>
      <w:r w:rsidRPr="00A93F25">
        <w:rPr>
          <w:rFonts w:ascii="Arial" w:hAnsi="Arial" w:cs="Arial"/>
          <w:color w:val="000000" w:themeColor="text1"/>
        </w:rPr>
        <w:t xml:space="preserve"> and (iii) other factors such as the cause, type, degree and frequency of non-compliance. The measures taken by the Compliance Committee may include: (</w:t>
      </w:r>
      <w:proofErr w:type="spellStart"/>
      <w:r w:rsidRPr="00A93F25">
        <w:rPr>
          <w:rFonts w:ascii="Arial" w:hAnsi="Arial" w:cs="Arial"/>
          <w:color w:val="000000" w:themeColor="text1"/>
        </w:rPr>
        <w:t>i</w:t>
      </w:r>
      <w:proofErr w:type="spellEnd"/>
      <w:r w:rsidRPr="00A93F25">
        <w:rPr>
          <w:rFonts w:ascii="Arial" w:hAnsi="Arial" w:cs="Arial"/>
          <w:color w:val="000000" w:themeColor="text1"/>
        </w:rPr>
        <w:t>) offering advice o</w:t>
      </w:r>
      <w:r>
        <w:rPr>
          <w:rFonts w:ascii="Arial" w:hAnsi="Arial" w:cs="Arial"/>
          <w:color w:val="000000" w:themeColor="text1"/>
        </w:rPr>
        <w:t>r</w:t>
      </w:r>
      <w:r w:rsidRPr="00A93F25">
        <w:rPr>
          <w:rFonts w:ascii="Arial" w:hAnsi="Arial" w:cs="Arial"/>
          <w:color w:val="000000" w:themeColor="text1"/>
        </w:rPr>
        <w:t xml:space="preserve"> facilitating assistance to the Party concerned, as appropriate; (ii) requesting or assisting the Party concerned to develop a compliance action plan to be submitted identifying appropriate steps, an agreed time frame and indicators to assess satisfactory implementation; and (iii) inviting the Party concerned to submit progress reports on its efforts to comply with its obligations under the Protocol. The COP/MOP may also, upon the recommendations of the Committee: (a) take any of the measures that are within the powers of the Compliance Committee; or (b) facilitate, as appropriate, access to financial and technical assistance, technology transfer, training and other capacity building measures; or (c) issue a written caution, statement of concern or a declaration of non-compliance to the Party </w:t>
      </w:r>
      <w:r w:rsidRPr="00A93F25">
        <w:rPr>
          <w:rFonts w:ascii="Arial" w:hAnsi="Arial" w:cs="Arial"/>
          <w:color w:val="000000" w:themeColor="text1"/>
        </w:rPr>
        <w:lastRenderedPageBreak/>
        <w:t>concerned; or (d) decide on any other measure as appropriate, in accordance with Article 26(4) of the Protocol and other applicable rules of international law, bearing in mind the need for serious measures in cases of grave or repeated non-compliance.</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A93F25">
        <w:rPr>
          <w:rFonts w:ascii="Arial" w:hAnsi="Arial" w:cs="Arial"/>
          <w:color w:val="000000" w:themeColor="text1"/>
        </w:rPr>
        <w:t>In this background, the COP/MOP has invited views from Parties and other stakeholders</w:t>
      </w:r>
      <w:r>
        <w:rPr>
          <w:rFonts w:ascii="Arial" w:hAnsi="Arial" w:cs="Arial"/>
          <w:color w:val="000000" w:themeColor="text1"/>
        </w:rPr>
        <w:t xml:space="preserve"> </w:t>
      </w:r>
      <w:r w:rsidRPr="00A93F25">
        <w:rPr>
          <w:rFonts w:ascii="Arial" w:hAnsi="Arial" w:cs="Arial"/>
          <w:color w:val="000000" w:themeColor="text1"/>
        </w:rPr>
        <w:t>related to identifying and considering the need for and modalities of support to provide advice or assistance to the Parties, in particular developing country Parties, and where appropriate and applicable, to ILCs, to address challenges related to compliance with the provisions of the Nagoya Protocol</w:t>
      </w:r>
      <w:r>
        <w:rPr>
          <w:rFonts w:ascii="Arial" w:hAnsi="Arial" w:cs="Arial"/>
          <w:color w:val="000000" w:themeColor="text1"/>
        </w:rPr>
        <w:t>,</w:t>
      </w:r>
      <w:r w:rsidRPr="00A93F25">
        <w:rPr>
          <w:rFonts w:ascii="Arial" w:hAnsi="Arial" w:cs="Arial"/>
          <w:color w:val="000000" w:themeColor="text1"/>
        </w:rPr>
        <w:t xml:space="preserve"> with a view to making effective use of compliance mechanism.</w:t>
      </w:r>
    </w:p>
    <w:p w:rsidR="005738AC" w:rsidRPr="00A93F25" w:rsidRDefault="005738AC" w:rsidP="005738AC">
      <w:pPr>
        <w:autoSpaceDE w:val="0"/>
        <w:autoSpaceDN w:val="0"/>
        <w:adjustRightInd w:val="0"/>
        <w:spacing w:after="0" w:line="240" w:lineRule="auto"/>
        <w:rPr>
          <w:rFonts w:ascii="Arial" w:hAnsi="Arial" w:cs="Arial"/>
          <w:i/>
          <w:iCs/>
          <w:color w:val="000000" w:themeColor="text1"/>
        </w:rPr>
      </w:pPr>
    </w:p>
    <w:p w:rsidR="005738AC" w:rsidRPr="00A93F25" w:rsidRDefault="005738AC" w:rsidP="005738AC">
      <w:pPr>
        <w:autoSpaceDE w:val="0"/>
        <w:autoSpaceDN w:val="0"/>
        <w:adjustRightInd w:val="0"/>
        <w:spacing w:after="0" w:line="240" w:lineRule="auto"/>
        <w:rPr>
          <w:rFonts w:ascii="Arial" w:hAnsi="Arial" w:cs="Arial"/>
          <w:b/>
          <w:iCs/>
          <w:color w:val="000000" w:themeColor="text1"/>
        </w:rPr>
      </w:pPr>
      <w:r w:rsidRPr="00A93F25">
        <w:rPr>
          <w:rFonts w:ascii="Arial" w:hAnsi="Arial" w:cs="Arial"/>
          <w:b/>
          <w:iCs/>
          <w:color w:val="000000" w:themeColor="text1"/>
        </w:rPr>
        <w:t>India’s views</w:t>
      </w:r>
    </w:p>
    <w:p w:rsidR="005738AC" w:rsidRPr="00A93F25" w:rsidRDefault="005738AC" w:rsidP="005738AC">
      <w:pPr>
        <w:autoSpaceDE w:val="0"/>
        <w:autoSpaceDN w:val="0"/>
        <w:adjustRightInd w:val="0"/>
        <w:spacing w:after="0" w:line="240" w:lineRule="auto"/>
        <w:rPr>
          <w:rFonts w:ascii="Arial" w:hAnsi="Arial" w:cs="Arial"/>
          <w:i/>
          <w:iCs/>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A93F25">
        <w:rPr>
          <w:rFonts w:ascii="Arial" w:hAnsi="Arial" w:cs="Arial"/>
          <w:color w:val="000000" w:themeColor="text1"/>
        </w:rPr>
        <w:t xml:space="preserve">Non-compliance with international obligations often </w:t>
      </w:r>
      <w:proofErr w:type="gramStart"/>
      <w:r w:rsidRPr="00A93F25">
        <w:rPr>
          <w:rFonts w:ascii="Arial" w:hAnsi="Arial" w:cs="Arial"/>
          <w:color w:val="000000" w:themeColor="text1"/>
        </w:rPr>
        <w:t>arise</w:t>
      </w:r>
      <w:proofErr w:type="gramEnd"/>
      <w:r w:rsidRPr="00A93F25">
        <w:rPr>
          <w:rFonts w:ascii="Arial" w:hAnsi="Arial" w:cs="Arial"/>
          <w:color w:val="000000" w:themeColor="text1"/>
        </w:rPr>
        <w:t xml:space="preserve"> due to lack of awareness, capacity as well as resources. Considering the fact that the compliance procedures and mechanisms established under Nagoya Protocol are separate from and without prejudice to the dispute settlement provisions of the CBD, the role of the </w:t>
      </w:r>
      <w:r>
        <w:rPr>
          <w:rFonts w:ascii="Arial" w:hAnsi="Arial" w:cs="Arial"/>
          <w:color w:val="000000" w:themeColor="text1"/>
        </w:rPr>
        <w:t>C</w:t>
      </w:r>
      <w:r w:rsidRPr="00A93F25">
        <w:rPr>
          <w:rFonts w:ascii="Arial" w:hAnsi="Arial" w:cs="Arial"/>
          <w:color w:val="000000" w:themeColor="text1"/>
        </w:rPr>
        <w:t xml:space="preserve">ompliance </w:t>
      </w:r>
      <w:r>
        <w:rPr>
          <w:rFonts w:ascii="Arial" w:hAnsi="Arial" w:cs="Arial"/>
          <w:color w:val="000000" w:themeColor="text1"/>
        </w:rPr>
        <w:t>C</w:t>
      </w:r>
      <w:r w:rsidRPr="00A93F25">
        <w:rPr>
          <w:rFonts w:ascii="Arial" w:hAnsi="Arial" w:cs="Arial"/>
          <w:color w:val="000000" w:themeColor="text1"/>
        </w:rPr>
        <w:t xml:space="preserve">ommittee is to address cases of non-compliance/issues of compliance, </w:t>
      </w:r>
      <w:r>
        <w:rPr>
          <w:rFonts w:ascii="Arial" w:hAnsi="Arial" w:cs="Arial"/>
          <w:color w:val="000000" w:themeColor="text1"/>
        </w:rPr>
        <w:t>resulting from</w:t>
      </w:r>
      <w:r w:rsidRPr="00A93F25">
        <w:rPr>
          <w:rFonts w:ascii="Arial" w:hAnsi="Arial" w:cs="Arial"/>
          <w:color w:val="000000" w:themeColor="text1"/>
        </w:rPr>
        <w:t xml:space="preserve"> lack of capacity, awareness or expertise.</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A93F25">
        <w:rPr>
          <w:rFonts w:ascii="Arial" w:hAnsi="Arial" w:cs="Arial"/>
          <w:color w:val="000000" w:themeColor="text1"/>
        </w:rPr>
        <w:t xml:space="preserve">With a view to address instances of lack of capacity, awareness and expertise, there is a need to create a support mechanism capable of providing advice and assistance to Parties to effectively address the challenges related to compliance with the provisions of the Protocol.  The Compliance Committee may offer advice or facilitate assistance to the Party concerned, with a view to promote compliance and address cases of non-compliance.  However, it is only the </w:t>
      </w:r>
      <w:proofErr w:type="spellStart"/>
      <w:r w:rsidRPr="00A93F25">
        <w:rPr>
          <w:rFonts w:ascii="Arial" w:hAnsi="Arial" w:cs="Arial"/>
          <w:color w:val="000000" w:themeColor="text1"/>
        </w:rPr>
        <w:t>CoP</w:t>
      </w:r>
      <w:proofErr w:type="spellEnd"/>
      <w:r w:rsidRPr="00A93F25">
        <w:rPr>
          <w:rFonts w:ascii="Arial" w:hAnsi="Arial" w:cs="Arial"/>
          <w:color w:val="000000" w:themeColor="text1"/>
        </w:rPr>
        <w:t>/</w:t>
      </w:r>
      <w:proofErr w:type="spellStart"/>
      <w:r w:rsidRPr="00A93F25">
        <w:rPr>
          <w:rFonts w:ascii="Arial" w:hAnsi="Arial" w:cs="Arial"/>
          <w:color w:val="000000" w:themeColor="text1"/>
        </w:rPr>
        <w:t>MoP</w:t>
      </w:r>
      <w:proofErr w:type="spellEnd"/>
      <w:r w:rsidRPr="00A93F25">
        <w:rPr>
          <w:rFonts w:ascii="Arial" w:hAnsi="Arial" w:cs="Arial"/>
          <w:color w:val="000000" w:themeColor="text1"/>
        </w:rPr>
        <w:t xml:space="preserve"> which upon recommendations of the Committee may facilitate access to financial and technical assistance, technology transfer, training and other capacity building measures.  These specific assistance measures do not fall within the purview of the Compliance Committee to offer to the Parties. Compliance Committee can only recommend such assistance measures to the COP/MOP.</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A93F25">
        <w:rPr>
          <w:rFonts w:ascii="Arial" w:hAnsi="Arial" w:cs="Arial"/>
          <w:color w:val="000000" w:themeColor="text1"/>
        </w:rPr>
        <w:t>The criteria under which the Compliance Committee may recommend COP/</w:t>
      </w:r>
      <w:proofErr w:type="spellStart"/>
      <w:r w:rsidRPr="00A93F25">
        <w:rPr>
          <w:rFonts w:ascii="Arial" w:hAnsi="Arial" w:cs="Arial"/>
          <w:color w:val="000000" w:themeColor="text1"/>
        </w:rPr>
        <w:t>MoP</w:t>
      </w:r>
      <w:proofErr w:type="spellEnd"/>
      <w:r w:rsidRPr="00A93F25">
        <w:rPr>
          <w:rFonts w:ascii="Arial" w:hAnsi="Arial" w:cs="Arial"/>
          <w:color w:val="000000" w:themeColor="text1"/>
        </w:rPr>
        <w:t xml:space="preserve"> to take appropriate measures to promote compliance and address cases of non-compliance may be decided by the Compliance Committee. The Compliance Committee may, in its subsequent meetings, also decide upon</w:t>
      </w:r>
      <w:r>
        <w:rPr>
          <w:rFonts w:ascii="Arial" w:hAnsi="Arial" w:cs="Arial"/>
          <w:color w:val="000000" w:themeColor="text1"/>
        </w:rPr>
        <w:t>: (</w:t>
      </w:r>
      <w:proofErr w:type="spellStart"/>
      <w:r>
        <w:rPr>
          <w:rFonts w:ascii="Arial" w:hAnsi="Arial" w:cs="Arial"/>
          <w:color w:val="000000" w:themeColor="text1"/>
        </w:rPr>
        <w:t>i</w:t>
      </w:r>
      <w:proofErr w:type="spellEnd"/>
      <w:r>
        <w:rPr>
          <w:rFonts w:ascii="Arial" w:hAnsi="Arial" w:cs="Arial"/>
          <w:color w:val="000000" w:themeColor="text1"/>
        </w:rPr>
        <w:t xml:space="preserve">) </w:t>
      </w:r>
      <w:r w:rsidRPr="00A93F25">
        <w:rPr>
          <w:rFonts w:ascii="Arial" w:hAnsi="Arial" w:cs="Arial"/>
          <w:color w:val="000000" w:themeColor="text1"/>
        </w:rPr>
        <w:t>Procedures to be followed on systemic issues of general non-compliance</w:t>
      </w:r>
      <w:r>
        <w:rPr>
          <w:rFonts w:ascii="Arial" w:hAnsi="Arial" w:cs="Arial"/>
          <w:color w:val="000000" w:themeColor="text1"/>
        </w:rPr>
        <w:t>; and (ii) M</w:t>
      </w:r>
      <w:r w:rsidRPr="00A93F25">
        <w:rPr>
          <w:rFonts w:ascii="Arial" w:hAnsi="Arial" w:cs="Arial"/>
          <w:color w:val="000000" w:themeColor="text1"/>
        </w:rPr>
        <w:t>easures to be taken in the context of grave or repeated non-compliance.</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260F53">
        <w:rPr>
          <w:rFonts w:ascii="Arial" w:hAnsi="Arial" w:cs="Arial"/>
          <w:iCs/>
          <w:color w:val="000000" w:themeColor="text1"/>
        </w:rPr>
        <w:t>The Compliance Committee</w:t>
      </w:r>
      <w:r w:rsidRPr="00A93F25">
        <w:rPr>
          <w:rFonts w:ascii="Arial" w:hAnsi="Arial" w:cs="Arial"/>
          <w:i/>
          <w:iCs/>
          <w:color w:val="000000" w:themeColor="text1"/>
        </w:rPr>
        <w:t xml:space="preserve"> </w:t>
      </w:r>
      <w:r w:rsidRPr="00A93F25">
        <w:rPr>
          <w:rFonts w:ascii="Arial" w:hAnsi="Arial" w:cs="Arial"/>
          <w:color w:val="000000" w:themeColor="text1"/>
        </w:rPr>
        <w:t xml:space="preserve">may facilitate assistance by identifying opportunities for bilateral/regional cooperation; </w:t>
      </w:r>
      <w:r>
        <w:rPr>
          <w:rFonts w:ascii="Arial" w:hAnsi="Arial" w:cs="Arial"/>
          <w:color w:val="000000" w:themeColor="text1"/>
        </w:rPr>
        <w:t>a</w:t>
      </w:r>
      <w:r w:rsidRPr="00A93F25">
        <w:rPr>
          <w:rFonts w:ascii="Arial" w:hAnsi="Arial" w:cs="Arial"/>
          <w:color w:val="000000" w:themeColor="text1"/>
        </w:rPr>
        <w:t xml:space="preserve">ssisting with the identification of organizations and projects that can help; sharing information on lessons learned and best practices in implementation; providing information on possible sources of funding for implementation; recommending to the </w:t>
      </w:r>
      <w:proofErr w:type="spellStart"/>
      <w:r w:rsidRPr="00A93F25">
        <w:rPr>
          <w:rFonts w:ascii="Arial" w:hAnsi="Arial" w:cs="Arial"/>
          <w:color w:val="000000" w:themeColor="text1"/>
        </w:rPr>
        <w:t>CoP</w:t>
      </w:r>
      <w:proofErr w:type="spellEnd"/>
      <w:r w:rsidRPr="00A93F25">
        <w:rPr>
          <w:rFonts w:ascii="Arial" w:hAnsi="Arial" w:cs="Arial"/>
          <w:color w:val="000000" w:themeColor="text1"/>
        </w:rPr>
        <w:t>/</w:t>
      </w:r>
      <w:proofErr w:type="spellStart"/>
      <w:r w:rsidRPr="00A93F25">
        <w:rPr>
          <w:rFonts w:ascii="Arial" w:hAnsi="Arial" w:cs="Arial"/>
          <w:color w:val="000000" w:themeColor="text1"/>
        </w:rPr>
        <w:t>MoP</w:t>
      </w:r>
      <w:proofErr w:type="spellEnd"/>
      <w:r w:rsidRPr="00A93F25">
        <w:rPr>
          <w:rFonts w:ascii="Arial" w:hAnsi="Arial" w:cs="Arial"/>
          <w:color w:val="000000" w:themeColor="text1"/>
        </w:rPr>
        <w:t xml:space="preserve"> to provide assistance to individual or groups of Parties; recommending priority areas for GEF funding; </w:t>
      </w:r>
      <w:r>
        <w:rPr>
          <w:rFonts w:ascii="Arial" w:hAnsi="Arial" w:cs="Arial"/>
          <w:color w:val="000000" w:themeColor="text1"/>
        </w:rPr>
        <w:t>a</w:t>
      </w:r>
      <w:r w:rsidRPr="00A93F25">
        <w:rPr>
          <w:rFonts w:ascii="Arial" w:hAnsi="Arial" w:cs="Arial"/>
          <w:color w:val="000000" w:themeColor="text1"/>
        </w:rPr>
        <w:t>dvising on the availability of the roster of experts and the possible use of experts from that roster; and clarifying use of terms and procedures. Assistance may also include education and extension services, technical consultancies and sharing of services.</w:t>
      </w:r>
    </w:p>
    <w:p w:rsidR="005738AC" w:rsidRPr="00A93F25" w:rsidRDefault="005738AC" w:rsidP="005738AC">
      <w:pPr>
        <w:autoSpaceDE w:val="0"/>
        <w:autoSpaceDN w:val="0"/>
        <w:adjustRightInd w:val="0"/>
        <w:spacing w:after="0" w:line="240" w:lineRule="auto"/>
        <w:rPr>
          <w:rFonts w:ascii="Arial" w:hAnsi="Arial" w:cs="Arial"/>
          <w:color w:val="000000" w:themeColor="text1"/>
        </w:rPr>
      </w:pPr>
    </w:p>
    <w:p w:rsidR="005738AC" w:rsidRPr="00A93F25" w:rsidRDefault="005738AC" w:rsidP="005738AC">
      <w:pPr>
        <w:autoSpaceDE w:val="0"/>
        <w:autoSpaceDN w:val="0"/>
        <w:adjustRightInd w:val="0"/>
        <w:spacing w:after="0" w:line="240" w:lineRule="auto"/>
        <w:ind w:firstLine="720"/>
        <w:jc w:val="both"/>
        <w:rPr>
          <w:rFonts w:ascii="Arial" w:hAnsi="Arial" w:cs="Arial"/>
          <w:color w:val="000000" w:themeColor="text1"/>
        </w:rPr>
      </w:pPr>
      <w:r w:rsidRPr="00A93F25">
        <w:rPr>
          <w:rFonts w:ascii="Arial" w:hAnsi="Arial" w:cs="Arial"/>
          <w:color w:val="000000" w:themeColor="text1"/>
        </w:rPr>
        <w:t>The services of the Compliance Committee may be availed only if there is a proven lack of capacity, expertise or awareness by the Party concerned. The financial resources/ assistance may be provided only to developing countries, least developed countries, small island states and countries with economies in transition.</w:t>
      </w:r>
    </w:p>
    <w:p w:rsidR="005738AC" w:rsidRPr="00A93F25" w:rsidRDefault="005738AC" w:rsidP="005738AC">
      <w:pPr>
        <w:autoSpaceDE w:val="0"/>
        <w:autoSpaceDN w:val="0"/>
        <w:adjustRightInd w:val="0"/>
        <w:spacing w:after="0" w:line="240" w:lineRule="auto"/>
        <w:ind w:firstLine="720"/>
        <w:jc w:val="center"/>
        <w:rPr>
          <w:rFonts w:ascii="Arial" w:hAnsi="Arial" w:cs="Arial"/>
          <w:color w:val="000000" w:themeColor="text1"/>
        </w:rPr>
      </w:pPr>
    </w:p>
    <w:p w:rsidR="00D61DCA" w:rsidRDefault="005738AC" w:rsidP="005738AC">
      <w:pPr>
        <w:autoSpaceDE w:val="0"/>
        <w:autoSpaceDN w:val="0"/>
        <w:adjustRightInd w:val="0"/>
        <w:spacing w:after="0" w:line="240" w:lineRule="auto"/>
        <w:ind w:firstLine="720"/>
        <w:jc w:val="center"/>
      </w:pPr>
      <w:r w:rsidRPr="00A93F25">
        <w:rPr>
          <w:rFonts w:ascii="Arial" w:hAnsi="Arial" w:cs="Arial"/>
          <w:color w:val="000000" w:themeColor="text1"/>
        </w:rPr>
        <w:t>*****</w:t>
      </w:r>
    </w:p>
    <w:sectPr w:rsidR="00D61DCA" w:rsidSect="00D61D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738AC"/>
    <w:rsid w:val="00076E18"/>
    <w:rsid w:val="00096C7D"/>
    <w:rsid w:val="00164EFA"/>
    <w:rsid w:val="00177E0B"/>
    <w:rsid w:val="00181BCB"/>
    <w:rsid w:val="0018474E"/>
    <w:rsid w:val="001A6A4E"/>
    <w:rsid w:val="001E6479"/>
    <w:rsid w:val="002006B2"/>
    <w:rsid w:val="00201E88"/>
    <w:rsid w:val="002D7E03"/>
    <w:rsid w:val="003751F7"/>
    <w:rsid w:val="003C588A"/>
    <w:rsid w:val="003E3BAB"/>
    <w:rsid w:val="004305D0"/>
    <w:rsid w:val="004B2027"/>
    <w:rsid w:val="004B72CD"/>
    <w:rsid w:val="005123E1"/>
    <w:rsid w:val="005738AC"/>
    <w:rsid w:val="005C3687"/>
    <w:rsid w:val="006B6806"/>
    <w:rsid w:val="00727E06"/>
    <w:rsid w:val="007D4156"/>
    <w:rsid w:val="0082734B"/>
    <w:rsid w:val="0087204B"/>
    <w:rsid w:val="008D38E2"/>
    <w:rsid w:val="008E3CA8"/>
    <w:rsid w:val="008F6773"/>
    <w:rsid w:val="00941CA1"/>
    <w:rsid w:val="00981B50"/>
    <w:rsid w:val="00A922CB"/>
    <w:rsid w:val="00A93448"/>
    <w:rsid w:val="00AE6D94"/>
    <w:rsid w:val="00BB1119"/>
    <w:rsid w:val="00C50C69"/>
    <w:rsid w:val="00C6444A"/>
    <w:rsid w:val="00D61DCA"/>
    <w:rsid w:val="00E035FD"/>
    <w:rsid w:val="00E20868"/>
    <w:rsid w:val="00EA13D2"/>
    <w:rsid w:val="00F72E24"/>
    <w:rsid w:val="00FB1460"/>
    <w:rsid w:val="00FC13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8A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738AC"/>
    <w:pPr>
      <w:spacing w:after="0" w:line="240" w:lineRule="auto"/>
    </w:pPr>
    <w:rPr>
      <w:rFonts w:eastAsiaTheme="minorEastAsia"/>
    </w:rPr>
  </w:style>
  <w:style w:type="character" w:customStyle="1" w:styleId="NoSpacingChar">
    <w:name w:val="No Spacing Char"/>
    <w:basedOn w:val="DefaultParagraphFont"/>
    <w:link w:val="NoSpacing"/>
    <w:uiPriority w:val="1"/>
    <w:rsid w:val="005738AC"/>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1128</Words>
  <Characters>6431</Characters>
  <Application>Microsoft Office Word</Application>
  <DocSecurity>0</DocSecurity>
  <Lines>53</Lines>
  <Paragraphs>15</Paragraphs>
  <ScaleCrop>false</ScaleCrop>
  <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1</cp:revision>
  <dcterms:created xsi:type="dcterms:W3CDTF">2015-11-27T09:01:00Z</dcterms:created>
  <dcterms:modified xsi:type="dcterms:W3CDTF">2015-11-27T09:02:00Z</dcterms:modified>
</cp:coreProperties>
</file>