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8F3" w:rsidRPr="007718F3" w:rsidRDefault="007718F3" w:rsidP="007718F3">
      <w:pPr>
        <w:spacing w:after="160" w:line="259" w:lineRule="auto"/>
        <w:jc w:val="right"/>
        <w:rPr>
          <w:rFonts w:ascii="Calibri" w:eastAsia="Calibri" w:hAnsi="Calibri" w:cs="Arial"/>
          <w:b/>
          <w:lang w:val="en-US"/>
        </w:rPr>
      </w:pPr>
      <w:proofErr w:type="gramStart"/>
      <w:r w:rsidRPr="007718F3">
        <w:rPr>
          <w:rFonts w:ascii="Calibri" w:eastAsia="Calibri" w:hAnsi="Calibri" w:cs="Arial"/>
          <w:b/>
          <w:lang w:val="en-US"/>
        </w:rPr>
        <w:t>Ref .</w:t>
      </w:r>
      <w:proofErr w:type="gramEnd"/>
      <w:r w:rsidRPr="007718F3">
        <w:rPr>
          <w:rFonts w:ascii="Calibri" w:eastAsia="Calibri" w:hAnsi="Calibri" w:cs="Arial"/>
          <w:b/>
          <w:lang w:val="en-US"/>
        </w:rPr>
        <w:t xml:space="preserve">: SCBD / ABS / VN / </w:t>
      </w:r>
      <w:proofErr w:type="spellStart"/>
      <w:r w:rsidRPr="007718F3">
        <w:rPr>
          <w:rFonts w:ascii="Calibri" w:eastAsia="Calibri" w:hAnsi="Calibri" w:cs="Arial"/>
          <w:b/>
          <w:lang w:val="en-US"/>
        </w:rPr>
        <w:t>jh</w:t>
      </w:r>
      <w:proofErr w:type="spellEnd"/>
      <w:r w:rsidRPr="007718F3">
        <w:rPr>
          <w:rFonts w:ascii="Calibri" w:eastAsia="Calibri" w:hAnsi="Calibri" w:cs="Arial"/>
          <w:b/>
          <w:lang w:val="en-US"/>
        </w:rPr>
        <w:t xml:space="preserve"> / 84620 </w:t>
      </w:r>
      <w:proofErr w:type="spellStart"/>
      <w:r>
        <w:rPr>
          <w:rFonts w:ascii="Calibri" w:eastAsia="Calibri" w:hAnsi="Calibri" w:cs="Arial"/>
          <w:b/>
          <w:lang w:val="en-US"/>
        </w:rPr>
        <w:t>inciso</w:t>
      </w:r>
      <w:proofErr w:type="spellEnd"/>
      <w:r>
        <w:rPr>
          <w:rFonts w:ascii="Calibri" w:eastAsia="Calibri" w:hAnsi="Calibri" w:cs="Arial"/>
          <w:b/>
          <w:lang w:val="en-US"/>
        </w:rPr>
        <w:t xml:space="preserve"> B</w:t>
      </w:r>
    </w:p>
    <w:p w:rsidR="007718F3" w:rsidRPr="007718F3" w:rsidRDefault="007718F3" w:rsidP="007718F3">
      <w:pPr>
        <w:spacing w:after="120" w:line="240" w:lineRule="auto"/>
        <w:jc w:val="center"/>
        <w:rPr>
          <w:rFonts w:ascii="Calibri" w:eastAsia="Calibri" w:hAnsi="Calibri" w:cs="Arial"/>
          <w:b/>
        </w:rPr>
      </w:pPr>
      <w:r w:rsidRPr="007718F3">
        <w:rPr>
          <w:rFonts w:ascii="Calibri" w:eastAsia="Calibri" w:hAnsi="Calibri" w:cs="Arial"/>
          <w:b/>
        </w:rPr>
        <w:t>NOTIFICACIÓN</w:t>
      </w:r>
    </w:p>
    <w:p w:rsidR="007718F3" w:rsidRPr="007718F3" w:rsidRDefault="007718F3" w:rsidP="007718F3">
      <w:pPr>
        <w:spacing w:after="120" w:line="240" w:lineRule="auto"/>
        <w:jc w:val="center"/>
        <w:rPr>
          <w:rFonts w:ascii="Calibri" w:eastAsia="Calibri" w:hAnsi="Calibri" w:cs="Arial"/>
          <w:b/>
        </w:rPr>
      </w:pPr>
      <w:r w:rsidRPr="007718F3">
        <w:rPr>
          <w:rFonts w:ascii="Calibri" w:eastAsia="Calibri" w:hAnsi="Calibri" w:cs="Arial"/>
          <w:b/>
        </w:rPr>
        <w:t xml:space="preserve">Presentación de México, en preparación de la </w:t>
      </w:r>
      <w:r>
        <w:rPr>
          <w:rFonts w:ascii="Calibri" w:eastAsia="Calibri" w:hAnsi="Calibri" w:cs="Arial"/>
          <w:b/>
        </w:rPr>
        <w:t>P</w:t>
      </w:r>
      <w:r w:rsidRPr="007718F3">
        <w:rPr>
          <w:rFonts w:ascii="Calibri" w:eastAsia="Calibri" w:hAnsi="Calibri" w:cs="Arial"/>
          <w:b/>
        </w:rPr>
        <w:t>rimera reunión del Comité de Cumplimiento del Protocolo de Nagoya.</w:t>
      </w:r>
    </w:p>
    <w:p w:rsidR="006B59C4" w:rsidRDefault="00E75661" w:rsidP="006B59C4">
      <w:pPr>
        <w:jc w:val="both"/>
      </w:pPr>
      <w:r>
        <w:t>L</w:t>
      </w:r>
      <w:r w:rsidR="006B59C4">
        <w:t>a decisión NP/1/4 sobre “</w:t>
      </w:r>
      <w:r w:rsidR="006B59C4" w:rsidRPr="006A52C7">
        <w:t>Procedimientos de cooperación y mecanismos institucionales para promover el cumplimiento de las disposiciones del Protocolo de Nagoya y para tratar los casos de incumplimiento</w:t>
      </w:r>
      <w:r w:rsidR="006B59C4">
        <w:t>”, adoptada en la pasada COPMOP1 dice:</w:t>
      </w:r>
    </w:p>
    <w:p w:rsidR="006B59C4" w:rsidRPr="00793C7A" w:rsidRDefault="006B59C4" w:rsidP="006B59C4">
      <w:pPr>
        <w:spacing w:before="120" w:after="120"/>
        <w:ind w:left="1276" w:firstLine="142"/>
        <w:jc w:val="both"/>
        <w:rPr>
          <w:rFonts w:ascii="Times New Roman" w:eastAsia="Times New Roman" w:hAnsi="Times New Roman" w:cs="Times New Roman"/>
          <w:sz w:val="18"/>
          <w:szCs w:val="18"/>
          <w:lang w:val="es-ES"/>
        </w:rPr>
      </w:pPr>
      <w:r>
        <w:t xml:space="preserve"> </w:t>
      </w:r>
      <w:r w:rsidRPr="00793C7A">
        <w:rPr>
          <w:rFonts w:ascii="Times New Roman" w:eastAsia="Times New Roman" w:hAnsi="Times New Roman" w:cs="Times New Roman"/>
          <w:sz w:val="18"/>
          <w:szCs w:val="18"/>
          <w:lang w:val="es-ES"/>
        </w:rPr>
        <w:t>1. </w:t>
      </w:r>
      <w:r w:rsidRPr="00793C7A">
        <w:rPr>
          <w:rFonts w:ascii="Times New Roman" w:eastAsia="Times New Roman" w:hAnsi="Times New Roman" w:cs="Times New Roman"/>
          <w:sz w:val="18"/>
          <w:szCs w:val="18"/>
          <w:lang w:val="es-ES"/>
        </w:rPr>
        <w:tab/>
      </w:r>
      <w:r w:rsidRPr="00793C7A">
        <w:rPr>
          <w:rFonts w:ascii="Times New Roman" w:eastAsia="Times New Roman" w:hAnsi="Times New Roman" w:cs="Times New Roman"/>
          <w:i/>
          <w:iCs/>
          <w:sz w:val="18"/>
          <w:szCs w:val="18"/>
          <w:lang w:val="es-ES"/>
        </w:rPr>
        <w:t>Decide</w:t>
      </w:r>
      <w:r w:rsidRPr="00793C7A">
        <w:rPr>
          <w:rFonts w:ascii="Times New Roman" w:eastAsia="Times New Roman" w:hAnsi="Times New Roman" w:cs="Times New Roman"/>
          <w:sz w:val="18"/>
          <w:szCs w:val="18"/>
          <w:lang w:val="es-ES"/>
        </w:rPr>
        <w:t xml:space="preserve"> adoptar los procedimientos de cooperación y los mecanismos institucionales para promover el cumplimiento de las disposiciones del Protocolo de </w:t>
      </w:r>
      <w:r w:rsidRPr="00793C7A">
        <w:rPr>
          <w:rFonts w:ascii="Times New Roman" w:eastAsia="Malgun Gothic" w:hAnsi="Times New Roman" w:cs="Times New Roman"/>
          <w:sz w:val="18"/>
          <w:szCs w:val="18"/>
          <w:lang w:val="es-ES" w:eastAsia="ko-KR"/>
        </w:rPr>
        <w:t>Nagoya</w:t>
      </w:r>
      <w:r w:rsidRPr="00793C7A">
        <w:rPr>
          <w:rFonts w:ascii="Times New Roman" w:eastAsia="Times New Roman" w:hAnsi="Times New Roman" w:cs="Times New Roman"/>
          <w:sz w:val="18"/>
          <w:szCs w:val="18"/>
          <w:lang w:val="es-ES"/>
        </w:rPr>
        <w:t xml:space="preserve"> </w:t>
      </w:r>
      <w:r w:rsidRPr="00793C7A">
        <w:rPr>
          <w:rFonts w:ascii="Times New Roman" w:eastAsia="Malgun Gothic" w:hAnsi="Times New Roman" w:cs="Times New Roman"/>
          <w:color w:val="000000"/>
          <w:sz w:val="18"/>
          <w:szCs w:val="18"/>
          <w:lang w:val="es-ES"/>
        </w:rPr>
        <w:t>sobre Acceso a los Recursos Genéticos y Participación Justa y Equitativa en los Beneficios que se Deriven de su Utilización</w:t>
      </w:r>
      <w:r w:rsidRPr="00793C7A">
        <w:rPr>
          <w:rFonts w:ascii="Times New Roman" w:eastAsia="Malgun Gothic" w:hAnsi="Times New Roman" w:cs="Times New Roman"/>
          <w:sz w:val="18"/>
          <w:szCs w:val="18"/>
          <w:lang w:val="es-ES" w:eastAsia="ko-KR"/>
        </w:rPr>
        <w:t xml:space="preserve"> y tratar los casos de incumplimiento tal y como se indica en el anexo a esta decisión y establecer el Comité de Cumplimiento </w:t>
      </w:r>
      <w:r w:rsidRPr="00793C7A">
        <w:rPr>
          <w:rFonts w:ascii="Times New Roman" w:eastAsia="Times New Roman" w:hAnsi="Times New Roman" w:cs="Times New Roman"/>
          <w:sz w:val="18"/>
          <w:szCs w:val="18"/>
          <w:lang w:val="es-ES"/>
        </w:rPr>
        <w:t>en él mencionado;</w:t>
      </w:r>
    </w:p>
    <w:p w:rsidR="006B59C4" w:rsidRPr="00793C7A" w:rsidRDefault="006B59C4" w:rsidP="006B59C4">
      <w:pPr>
        <w:spacing w:before="120" w:after="120" w:line="240" w:lineRule="auto"/>
        <w:ind w:left="1276" w:firstLine="142"/>
        <w:jc w:val="both"/>
        <w:rPr>
          <w:rFonts w:ascii="Times New Roman" w:eastAsia="Malgun Gothic" w:hAnsi="Times New Roman" w:cs="Times New Roman"/>
          <w:sz w:val="18"/>
          <w:szCs w:val="18"/>
          <w:lang w:val="es-ES" w:eastAsia="ko-KR"/>
        </w:rPr>
      </w:pPr>
      <w:r w:rsidRPr="00793C7A">
        <w:rPr>
          <w:rFonts w:ascii="Times New Roman" w:eastAsia="Times New Roman" w:hAnsi="Times New Roman" w:cs="Times New Roman"/>
          <w:sz w:val="18"/>
          <w:szCs w:val="18"/>
          <w:lang w:val="es-ES"/>
        </w:rPr>
        <w:t>2. </w:t>
      </w:r>
      <w:r w:rsidRPr="00793C7A">
        <w:rPr>
          <w:rFonts w:ascii="Times New Roman" w:eastAsia="Times New Roman" w:hAnsi="Times New Roman" w:cs="Times New Roman"/>
          <w:sz w:val="18"/>
          <w:szCs w:val="18"/>
          <w:lang w:val="es-ES"/>
        </w:rPr>
        <w:tab/>
      </w:r>
      <w:r w:rsidRPr="00793C7A">
        <w:rPr>
          <w:rFonts w:ascii="Times New Roman" w:eastAsia="Times New Roman" w:hAnsi="Times New Roman" w:cs="Times New Roman"/>
          <w:i/>
          <w:iCs/>
          <w:sz w:val="18"/>
          <w:szCs w:val="18"/>
          <w:lang w:val="es-ES"/>
        </w:rPr>
        <w:t>Pide</w:t>
      </w:r>
      <w:r w:rsidRPr="00793C7A">
        <w:rPr>
          <w:rFonts w:ascii="Times New Roman" w:eastAsia="Times New Roman" w:hAnsi="Times New Roman" w:cs="Times New Roman"/>
          <w:sz w:val="18"/>
          <w:szCs w:val="18"/>
          <w:lang w:val="es-ES"/>
        </w:rPr>
        <w:t xml:space="preserve"> al Secretario Ejecutivo que organice al menos una reunión del Comité de Cumplimiento para que se celebre con anterioridad a la segunda reunión de la Conferencia de las Partes que </w:t>
      </w:r>
      <w:r w:rsidRPr="00793C7A">
        <w:rPr>
          <w:rFonts w:ascii="Times New Roman" w:eastAsia="Malgun Gothic" w:hAnsi="Times New Roman" w:cs="Times New Roman"/>
          <w:sz w:val="18"/>
          <w:szCs w:val="18"/>
          <w:lang w:val="es-ES"/>
        </w:rPr>
        <w:t xml:space="preserve">actúa como reunión de las Partes en el Protocolo de </w:t>
      </w:r>
      <w:r w:rsidRPr="00793C7A">
        <w:rPr>
          <w:rFonts w:ascii="Times New Roman" w:eastAsia="Malgun Gothic" w:hAnsi="Times New Roman" w:cs="Times New Roman"/>
          <w:snapToGrid w:val="0"/>
          <w:sz w:val="18"/>
          <w:szCs w:val="18"/>
          <w:lang w:val="es-ES" w:eastAsia="ko-KR"/>
        </w:rPr>
        <w:t>Nagoya, incluido el objetivo de</w:t>
      </w:r>
      <w:r w:rsidRPr="00793C7A">
        <w:rPr>
          <w:rFonts w:ascii="Times New Roman" w:eastAsia="Malgun Gothic" w:hAnsi="Times New Roman" w:cs="Times New Roman"/>
          <w:sz w:val="18"/>
          <w:szCs w:val="18"/>
          <w:lang w:val="es-ES" w:eastAsia="ko-KR"/>
        </w:rPr>
        <w:t>:</w:t>
      </w:r>
      <w:r w:rsidRPr="00793C7A">
        <w:rPr>
          <w:rFonts w:ascii="Times New Roman" w:eastAsia="Times New Roman" w:hAnsi="Times New Roman" w:cs="Times New Roman"/>
          <w:sz w:val="18"/>
          <w:szCs w:val="18"/>
          <w:lang w:val="es-ES"/>
        </w:rPr>
        <w:t xml:space="preserve"> </w:t>
      </w:r>
    </w:p>
    <w:p w:rsidR="006B59C4" w:rsidRPr="00793C7A" w:rsidRDefault="006B59C4" w:rsidP="006B59C4">
      <w:pPr>
        <w:spacing w:before="120" w:after="120" w:line="240" w:lineRule="auto"/>
        <w:ind w:left="1276" w:firstLine="142"/>
        <w:jc w:val="both"/>
        <w:rPr>
          <w:rFonts w:ascii="Times New Roman" w:eastAsia="Malgun Gothic" w:hAnsi="Times New Roman" w:cs="Times New Roman"/>
          <w:sz w:val="18"/>
          <w:szCs w:val="18"/>
          <w:lang w:val="es-ES" w:eastAsia="ko-KR"/>
        </w:rPr>
      </w:pPr>
      <w:r w:rsidRPr="00793C7A">
        <w:rPr>
          <w:rFonts w:ascii="Times New Roman" w:eastAsia="Malgun Gothic" w:hAnsi="Times New Roman" w:cs="Times New Roman"/>
          <w:sz w:val="18"/>
          <w:szCs w:val="18"/>
          <w:lang w:val="es-ES" w:eastAsia="ko-KR"/>
        </w:rPr>
        <w:t xml:space="preserve">a) </w:t>
      </w:r>
      <w:r w:rsidRPr="00793C7A">
        <w:rPr>
          <w:rFonts w:ascii="Times New Roman" w:eastAsia="Malgun Gothic" w:hAnsi="Times New Roman" w:cs="Times New Roman"/>
          <w:sz w:val="18"/>
          <w:szCs w:val="18"/>
          <w:lang w:val="es-ES" w:eastAsia="ko-KR"/>
        </w:rPr>
        <w:tab/>
        <w:t xml:space="preserve">Elaborar el reglamento mencionado en el párrafo 8 de la sección B de los procedimientos y mecanismos sobre el cumplimiento de las disposiciones del Protocolo de </w:t>
      </w:r>
      <w:r w:rsidRPr="00793C7A">
        <w:rPr>
          <w:rFonts w:ascii="Times New Roman" w:eastAsia="Times New Roman" w:hAnsi="Times New Roman" w:cs="Times New Roman"/>
          <w:sz w:val="18"/>
          <w:szCs w:val="18"/>
          <w:lang w:val="es-ES"/>
        </w:rPr>
        <w:t>Nagoya</w:t>
      </w:r>
      <w:r w:rsidRPr="00793C7A">
        <w:rPr>
          <w:rFonts w:ascii="Times New Roman" w:eastAsia="Malgun Gothic" w:hAnsi="Times New Roman" w:cs="Times New Roman"/>
          <w:sz w:val="18"/>
          <w:szCs w:val="18"/>
          <w:lang w:val="es-ES" w:eastAsia="ko-KR"/>
        </w:rPr>
        <w:t>;</w:t>
      </w:r>
    </w:p>
    <w:p w:rsidR="006B59C4" w:rsidRPr="00793C7A" w:rsidRDefault="006B59C4" w:rsidP="006B59C4">
      <w:pPr>
        <w:spacing w:before="120" w:after="120" w:line="240" w:lineRule="auto"/>
        <w:ind w:left="1276" w:firstLine="142"/>
        <w:jc w:val="both"/>
        <w:rPr>
          <w:rFonts w:ascii="Times New Roman" w:eastAsia="Malgun Gothic" w:hAnsi="Times New Roman" w:cs="Times New Roman"/>
          <w:sz w:val="18"/>
          <w:szCs w:val="18"/>
          <w:lang w:val="es-ES" w:eastAsia="ko-KR"/>
        </w:rPr>
      </w:pPr>
      <w:r w:rsidRPr="00793C7A">
        <w:rPr>
          <w:rFonts w:ascii="Times New Roman" w:eastAsia="Malgun Gothic" w:hAnsi="Times New Roman" w:cs="Times New Roman"/>
          <w:sz w:val="18"/>
          <w:szCs w:val="18"/>
          <w:highlight w:val="lightGray"/>
          <w:lang w:val="es-ES" w:eastAsia="ko-KR"/>
        </w:rPr>
        <w:t xml:space="preserve">b) </w:t>
      </w:r>
      <w:r w:rsidRPr="00793C7A">
        <w:rPr>
          <w:rFonts w:ascii="Times New Roman" w:eastAsia="Malgun Gothic" w:hAnsi="Times New Roman" w:cs="Times New Roman"/>
          <w:sz w:val="18"/>
          <w:szCs w:val="18"/>
          <w:highlight w:val="lightGray"/>
          <w:lang w:val="es-ES" w:eastAsia="ko-KR"/>
        </w:rPr>
        <w:tab/>
        <w:t>Identificar y considerar la necesidad de apoyo y las modalidades del mismo, incluyendo la posibilidad de hacerlo mediante un mecanismo flexible para facilitar asesoría o asistencia a las Partes, en particular a las Partes que son países en desarrollo, y, donde proceda y corresponda, a las comunidades indígenas y locales para abordar los desafíos conexos al cumplimiento de las disposiciones del Protocolo de Nagoya, con miras a lograr el máximo beneficio del mecanismo de cumplimiento;</w:t>
      </w:r>
    </w:p>
    <w:p w:rsidR="006B59C4" w:rsidRPr="00793C7A" w:rsidRDefault="006B59C4" w:rsidP="006B59C4">
      <w:pPr>
        <w:spacing w:before="120" w:after="120" w:line="240" w:lineRule="auto"/>
        <w:ind w:left="1276" w:firstLine="142"/>
        <w:jc w:val="both"/>
        <w:rPr>
          <w:rFonts w:ascii="Times New Roman" w:eastAsia="Malgun Gothic" w:hAnsi="Times New Roman" w:cs="Times New Roman"/>
          <w:sz w:val="18"/>
          <w:szCs w:val="18"/>
          <w:lang w:val="es-ES" w:eastAsia="ko-KR"/>
        </w:rPr>
      </w:pPr>
      <w:r w:rsidRPr="00793C7A">
        <w:rPr>
          <w:rFonts w:ascii="Times New Roman" w:eastAsia="Malgun Gothic" w:hAnsi="Times New Roman" w:cs="Times New Roman"/>
          <w:sz w:val="18"/>
          <w:szCs w:val="18"/>
          <w:lang w:val="es-ES" w:eastAsia="ko-KR"/>
        </w:rPr>
        <w:t xml:space="preserve">c) </w:t>
      </w:r>
      <w:r w:rsidRPr="00793C7A">
        <w:rPr>
          <w:rFonts w:ascii="Times New Roman" w:eastAsia="Malgun Gothic" w:hAnsi="Times New Roman" w:cs="Times New Roman"/>
          <w:sz w:val="18"/>
          <w:szCs w:val="18"/>
          <w:lang w:val="es-ES" w:eastAsia="ko-KR"/>
        </w:rPr>
        <w:tab/>
        <w:t>Presentar recomendaciones a la segunda reunión de la Conferencia de las Partes que actúa como reunión de las Partes en el Protocolo de Nagoya sobre los resultados de sus deliberaciones en virtud del apartado b) anterior.</w:t>
      </w:r>
    </w:p>
    <w:p w:rsidR="006B59C4" w:rsidRPr="00793C7A" w:rsidRDefault="006B59C4" w:rsidP="006B59C4">
      <w:pPr>
        <w:spacing w:before="120" w:after="120" w:line="240" w:lineRule="auto"/>
        <w:ind w:left="1276" w:firstLine="142"/>
        <w:jc w:val="both"/>
        <w:rPr>
          <w:rFonts w:ascii="Times New Roman" w:eastAsia="Malgun Gothic" w:hAnsi="Times New Roman" w:cs="Times New Roman"/>
          <w:sz w:val="18"/>
          <w:szCs w:val="18"/>
          <w:lang w:val="es-ES" w:eastAsia="ko-KR"/>
        </w:rPr>
      </w:pPr>
      <w:r w:rsidRPr="00793C7A">
        <w:rPr>
          <w:rFonts w:ascii="Times New Roman" w:eastAsia="Malgun Gothic" w:hAnsi="Times New Roman" w:cs="Times New Roman"/>
          <w:sz w:val="18"/>
          <w:szCs w:val="18"/>
          <w:highlight w:val="lightGray"/>
          <w:lang w:val="es-ES" w:eastAsia="ko-KR"/>
        </w:rPr>
        <w:t>3.</w:t>
      </w:r>
      <w:r w:rsidRPr="00793C7A">
        <w:rPr>
          <w:rFonts w:ascii="Times New Roman" w:eastAsia="Malgun Gothic" w:hAnsi="Times New Roman" w:cs="Times New Roman"/>
          <w:sz w:val="18"/>
          <w:szCs w:val="18"/>
          <w:highlight w:val="lightGray"/>
          <w:lang w:val="es-ES" w:eastAsia="ko-KR"/>
        </w:rPr>
        <w:tab/>
      </w:r>
      <w:r w:rsidRPr="00793C7A">
        <w:rPr>
          <w:rFonts w:ascii="Times New Roman" w:eastAsia="Malgun Gothic" w:hAnsi="Times New Roman" w:cs="Times New Roman"/>
          <w:i/>
          <w:sz w:val="18"/>
          <w:szCs w:val="18"/>
          <w:highlight w:val="lightGray"/>
          <w:lang w:val="es-ES" w:eastAsia="ko-KR"/>
        </w:rPr>
        <w:t>I</w:t>
      </w:r>
      <w:r w:rsidRPr="00793C7A">
        <w:rPr>
          <w:rFonts w:ascii="Times New Roman" w:eastAsia="Malgun Gothic" w:hAnsi="Times New Roman" w:cs="Times New Roman"/>
          <w:i/>
          <w:sz w:val="18"/>
          <w:szCs w:val="18"/>
          <w:highlight w:val="lightGray"/>
          <w:lang w:val="es-ES"/>
        </w:rPr>
        <w:t>nvita</w:t>
      </w:r>
      <w:r w:rsidRPr="00793C7A">
        <w:rPr>
          <w:rFonts w:ascii="Times New Roman" w:eastAsia="Malgun Gothic" w:hAnsi="Times New Roman" w:cs="Times New Roman"/>
          <w:sz w:val="18"/>
          <w:szCs w:val="18"/>
          <w:highlight w:val="lightGray"/>
          <w:lang w:val="es-ES"/>
        </w:rPr>
        <w:t xml:space="preserve"> a las Partes, otros Gobiernos, organizaciones internacionales, comunidades indígenas y locales e interesados pertinentes a presentar ante el Secretario Ejecutivo opiniones sobre las cuestiones planteadas en el apartado </w:t>
      </w:r>
      <w:r w:rsidRPr="00793C7A">
        <w:rPr>
          <w:rFonts w:ascii="Times New Roman" w:eastAsia="Malgun Gothic" w:hAnsi="Times New Roman" w:cs="Times New Roman"/>
          <w:sz w:val="18"/>
          <w:szCs w:val="18"/>
          <w:highlight w:val="lightGray"/>
          <w:lang w:val="es-ES" w:eastAsia="ko-KR"/>
        </w:rPr>
        <w:t xml:space="preserve">2 b) </w:t>
      </w:r>
      <w:r w:rsidRPr="00793C7A">
        <w:rPr>
          <w:rFonts w:ascii="Times New Roman" w:eastAsia="Malgun Gothic" w:hAnsi="Times New Roman" w:cs="Times New Roman"/>
          <w:i/>
          <w:sz w:val="18"/>
          <w:szCs w:val="18"/>
          <w:highlight w:val="lightGray"/>
          <w:lang w:val="es-ES" w:eastAsia="ko-KR"/>
        </w:rPr>
        <w:t>supra</w:t>
      </w:r>
      <w:r w:rsidRPr="00793C7A">
        <w:rPr>
          <w:rFonts w:ascii="Times New Roman" w:eastAsia="Malgun Gothic" w:hAnsi="Times New Roman" w:cs="Times New Roman"/>
          <w:sz w:val="18"/>
          <w:szCs w:val="18"/>
          <w:highlight w:val="lightGray"/>
          <w:lang w:val="es-ES" w:eastAsia="ko-KR"/>
        </w:rPr>
        <w:t xml:space="preserve"> a fin de asistir en las tareas del Comité de Cumplimiento relativas a sus consideraciones de estas cuestiones.</w:t>
      </w:r>
    </w:p>
    <w:p w:rsidR="000D1250" w:rsidRPr="000D1250" w:rsidRDefault="000D1250" w:rsidP="006B59C4">
      <w:pPr>
        <w:jc w:val="both"/>
        <w:rPr>
          <w:b/>
          <w:lang w:val="es-ES"/>
        </w:rPr>
      </w:pPr>
      <w:r w:rsidRPr="000D1250">
        <w:rPr>
          <w:b/>
          <w:lang w:val="es-ES"/>
        </w:rPr>
        <w:t>Consideraciones:</w:t>
      </w:r>
    </w:p>
    <w:p w:rsidR="006B59C4" w:rsidRPr="008F0FD7" w:rsidRDefault="006B59C4" w:rsidP="006B59C4">
      <w:pPr>
        <w:jc w:val="both"/>
        <w:rPr>
          <w:lang w:val="es-ES"/>
        </w:rPr>
      </w:pPr>
      <w:r>
        <w:rPr>
          <w:lang w:val="es-ES"/>
        </w:rPr>
        <w:t xml:space="preserve">México considera que una parte fundamental para asegurar el cumplimiento del Protocolo de Nagoya por los países Parte, es la creación de capacidad de los actores principales: gobiernos, usuarios y proveedores. Para ello, es necesario en primera instancia, un entendimiento común sobre el Protocolo en lo general y la adecuada difusión de las disposiciones legales nacionales que implementan el Protocolo, haciendo énfasis en los dispositivos legales que instrumenten  los Artículos 15, 16, 17 y 18 del Protocolo, </w:t>
      </w:r>
      <w:r w:rsidRPr="008F0FD7">
        <w:rPr>
          <w:lang w:val="es-ES"/>
        </w:rPr>
        <w:t>fundamentales para poder asegurar que la cooperación institucional e intergubernamental sea efectiva para lograr el objetivo del Protocolo y del propio Convenio sobre Diversidad Biológica (CDB).</w:t>
      </w:r>
      <w:r>
        <w:rPr>
          <w:lang w:val="es-ES"/>
        </w:rPr>
        <w:t xml:space="preserve"> </w:t>
      </w:r>
      <w:r w:rsidR="0072796A">
        <w:rPr>
          <w:lang w:val="es-ES"/>
        </w:rPr>
        <w:t>Así</w:t>
      </w:r>
      <w:r>
        <w:rPr>
          <w:lang w:val="es-ES"/>
        </w:rPr>
        <w:t xml:space="preserve"> mismo se deberá concientizar a los actores de que cada Parte podrá tomar medidas de acuerdo al artículo 30 del Protocolo para abordar los posibles casos de incumplimiento. </w:t>
      </w:r>
    </w:p>
    <w:p w:rsidR="006B59C4" w:rsidRPr="008F0FD7" w:rsidRDefault="006B59C4" w:rsidP="006B59C4">
      <w:pPr>
        <w:jc w:val="both"/>
        <w:rPr>
          <w:lang w:val="es-ES"/>
        </w:rPr>
      </w:pPr>
      <w:r>
        <w:rPr>
          <w:lang w:val="es-ES"/>
        </w:rPr>
        <w:t xml:space="preserve">Se reconoce que el cumplimiento a nivel nacional sobre las condiciones en que se llevó a cabo el </w:t>
      </w:r>
      <w:r w:rsidRPr="008F0FD7">
        <w:rPr>
          <w:lang w:val="es-ES"/>
        </w:rPr>
        <w:t xml:space="preserve"> acceso a los recursos genéticos y el conocimiento tradicional asociado</w:t>
      </w:r>
      <w:r>
        <w:rPr>
          <w:lang w:val="es-ES"/>
        </w:rPr>
        <w:t>,</w:t>
      </w:r>
      <w:r w:rsidRPr="008F0FD7">
        <w:rPr>
          <w:lang w:val="es-ES"/>
        </w:rPr>
        <w:t xml:space="preserve"> </w:t>
      </w:r>
      <w:r>
        <w:rPr>
          <w:lang w:val="es-ES"/>
        </w:rPr>
        <w:t>debe incluir obligatoriamente las</w:t>
      </w:r>
      <w:r w:rsidRPr="008F0FD7">
        <w:rPr>
          <w:lang w:val="es-ES"/>
        </w:rPr>
        <w:t xml:space="preserve"> c</w:t>
      </w:r>
      <w:bookmarkStart w:id="0" w:name="_GoBack"/>
      <w:bookmarkEnd w:id="0"/>
      <w:r w:rsidRPr="008F0FD7">
        <w:rPr>
          <w:lang w:val="es-ES"/>
        </w:rPr>
        <w:t xml:space="preserve">ondiciones mutuamente acordadas y con consentimiento </w:t>
      </w:r>
      <w:r>
        <w:rPr>
          <w:lang w:val="es-ES"/>
        </w:rPr>
        <w:t>informado</w:t>
      </w:r>
      <w:r w:rsidRPr="008F0FD7">
        <w:rPr>
          <w:lang w:val="es-ES"/>
        </w:rPr>
        <w:t xml:space="preserve"> previo. </w:t>
      </w:r>
      <w:r w:rsidRPr="008F0FD7">
        <w:rPr>
          <w:lang w:val="es-ES"/>
        </w:rPr>
        <w:lastRenderedPageBreak/>
        <w:t>El Estado debe ser quien se</w:t>
      </w:r>
      <w:r w:rsidR="0072796A">
        <w:rPr>
          <w:lang w:val="es-ES"/>
        </w:rPr>
        <w:t xml:space="preserve"> encargue de la vigilancia y el</w:t>
      </w:r>
      <w:r w:rsidRPr="008F0FD7">
        <w:rPr>
          <w:lang w:val="es-ES"/>
        </w:rPr>
        <w:t xml:space="preserve"> seguimiento de la utilización de dichos recursos y de ser el caso, del reparto de beneficios que resulten. </w:t>
      </w:r>
      <w:r>
        <w:rPr>
          <w:lang w:val="es-ES"/>
        </w:rPr>
        <w:t>El vínculo para demostrar el cumplimento de cada Parte del Protocolo de Nagoya, debe ser mediante la información que las Partes suministren constantemente el Centro</w:t>
      </w:r>
      <w:r w:rsidR="0072796A">
        <w:rPr>
          <w:lang w:val="es-ES"/>
        </w:rPr>
        <w:t xml:space="preserve"> de Intercambio de Información.</w:t>
      </w:r>
      <w:r>
        <w:rPr>
          <w:lang w:val="es-ES"/>
        </w:rPr>
        <w:t xml:space="preserve"> </w:t>
      </w:r>
    </w:p>
    <w:p w:rsidR="006B59C4" w:rsidRPr="008F0FD7" w:rsidRDefault="006B59C4" w:rsidP="006B59C4">
      <w:pPr>
        <w:jc w:val="both"/>
        <w:rPr>
          <w:lang w:val="es-ES"/>
        </w:rPr>
      </w:pPr>
      <w:r w:rsidRPr="008F0FD7">
        <w:rPr>
          <w:lang w:val="es-ES"/>
        </w:rPr>
        <w:t xml:space="preserve">Con el fin de facilitar el cumplimiento del mandato del Protocolo, se </w:t>
      </w:r>
      <w:r w:rsidR="0072796A">
        <w:rPr>
          <w:lang w:val="es-ES"/>
        </w:rPr>
        <w:t xml:space="preserve">reconoce </w:t>
      </w:r>
      <w:r w:rsidRPr="008F0FD7">
        <w:rPr>
          <w:lang w:val="es-ES"/>
        </w:rPr>
        <w:t xml:space="preserve"> que </w:t>
      </w:r>
      <w:r w:rsidR="0072796A">
        <w:rPr>
          <w:lang w:val="es-ES"/>
        </w:rPr>
        <w:t>habrá</w:t>
      </w:r>
      <w:r w:rsidRPr="008F0FD7">
        <w:rPr>
          <w:lang w:val="es-ES"/>
        </w:rPr>
        <w:t xml:space="preserve"> mecanismos internacionales o puntos de monitoreo (</w:t>
      </w:r>
      <w:proofErr w:type="spellStart"/>
      <w:r w:rsidRPr="007718F3">
        <w:rPr>
          <w:i/>
          <w:lang w:val="es-ES"/>
        </w:rPr>
        <w:t>check</w:t>
      </w:r>
      <w:proofErr w:type="spellEnd"/>
      <w:r w:rsidRPr="007718F3">
        <w:rPr>
          <w:i/>
          <w:lang w:val="es-ES"/>
        </w:rPr>
        <w:t xml:space="preserve"> </w:t>
      </w:r>
      <w:proofErr w:type="spellStart"/>
      <w:r w:rsidRPr="007718F3">
        <w:rPr>
          <w:i/>
          <w:lang w:val="es-ES"/>
        </w:rPr>
        <w:t>points</w:t>
      </w:r>
      <w:proofErr w:type="spellEnd"/>
      <w:r w:rsidRPr="008F0FD7">
        <w:rPr>
          <w:lang w:val="es-ES"/>
        </w:rPr>
        <w:t xml:space="preserve">) que soliciten el certificado </w:t>
      </w:r>
      <w:r>
        <w:rPr>
          <w:lang w:val="es-ES"/>
        </w:rPr>
        <w:t>internacionalmente reconocido</w:t>
      </w:r>
      <w:r w:rsidRPr="008F0FD7">
        <w:rPr>
          <w:lang w:val="es-ES"/>
        </w:rPr>
        <w:t xml:space="preserve"> para, por un lado, poder comerciar con los productos obtenidos a partir de la </w:t>
      </w:r>
      <w:r w:rsidR="0072796A">
        <w:rPr>
          <w:lang w:val="es-ES"/>
        </w:rPr>
        <w:t>utiliza</w:t>
      </w:r>
      <w:r w:rsidRPr="008F0FD7">
        <w:rPr>
          <w:lang w:val="es-ES"/>
        </w:rPr>
        <w:t>ción de un recurso genético y que hayan sido accedidos bajo los términos referidos en el Protocolo y en cumplimiento de la legislación nacional. Así también, las revistas científicas que lo consideren pertinente (particularmente aquellas cuyo objetivo es de medicina, biotecnología y biología molecular) podrían pedir a los autores dicho certificado (solo en caso de que se amerite; i.e. resultados de patentes obtenidas bajo condiciones referentes al Protocolo) como un requisito para poder publicar.</w:t>
      </w:r>
    </w:p>
    <w:p w:rsidR="006B59C4" w:rsidRDefault="006B59C4" w:rsidP="006B59C4">
      <w:pPr>
        <w:jc w:val="both"/>
        <w:rPr>
          <w:lang w:val="es-ES"/>
        </w:rPr>
      </w:pPr>
      <w:r w:rsidRPr="008F0FD7">
        <w:rPr>
          <w:lang w:val="es-ES"/>
        </w:rPr>
        <w:t>La vigilancia y el seguimiento de la utilización de los recursos genéticos son fundamentales para asegurar el cumplimiento del Protocolo y en particular la obligación que tienen los países usuarios de acuerdo a los artículos 15 y 16.</w:t>
      </w:r>
    </w:p>
    <w:p w:rsidR="006B59C4" w:rsidRPr="008F0FD7" w:rsidRDefault="006B59C4" w:rsidP="006B59C4">
      <w:pPr>
        <w:jc w:val="both"/>
        <w:rPr>
          <w:lang w:val="es-ES"/>
        </w:rPr>
      </w:pPr>
      <w:r>
        <w:rPr>
          <w:lang w:val="es-ES"/>
        </w:rPr>
        <w:t>Los proyectos como el que tiene México con el GEF, para el fortalecimiento de capacidades ayudarán sin lugar a dudas a promover el cumplimiento del Protocolo. Sin embargo es necesario fomentar el intercambio de experiencias, ya sea por medio del CII PN o de reuniones que lo permitan y promuevan.</w:t>
      </w:r>
    </w:p>
    <w:p w:rsidR="006B59C4" w:rsidRDefault="006B59C4" w:rsidP="006B59C4">
      <w:pPr>
        <w:jc w:val="both"/>
        <w:rPr>
          <w:lang w:val="es-ES"/>
        </w:rPr>
      </w:pPr>
      <w:r>
        <w:rPr>
          <w:lang w:val="es-ES"/>
        </w:rPr>
        <w:t>Asimismo</w:t>
      </w:r>
      <w:r w:rsidRPr="008F0FD7">
        <w:rPr>
          <w:lang w:val="es-ES"/>
        </w:rPr>
        <w:t xml:space="preserve"> debe considerarse que existen asuntos referentes al acceso a los recursos genéticos que aún no están resueltos y que pueden afectar al cumplimiento del Protocolo de Nagoya</w:t>
      </w:r>
      <w:r>
        <w:rPr>
          <w:lang w:val="es-ES"/>
        </w:rPr>
        <w:t xml:space="preserve"> que entran en el ámbito del artículo 10, por lo que es necesario promover el trabajo y la discusión en este punto para poder tener certeza jurídica y garantizar el cumplimiento. </w:t>
      </w:r>
    </w:p>
    <w:p w:rsidR="006B59C4" w:rsidRPr="00FC027D" w:rsidRDefault="006B59C4" w:rsidP="006B59C4">
      <w:pPr>
        <w:jc w:val="both"/>
        <w:rPr>
          <w:b/>
          <w:lang w:val="es-ES"/>
        </w:rPr>
      </w:pPr>
      <w:r w:rsidRPr="00FC027D">
        <w:rPr>
          <w:b/>
          <w:lang w:val="es-ES"/>
        </w:rPr>
        <w:t>Para dar respuesta específica al punto b) sugerimos:</w:t>
      </w:r>
    </w:p>
    <w:p w:rsidR="006B59C4" w:rsidRPr="00691640" w:rsidRDefault="006B59C4" w:rsidP="007718F3">
      <w:pPr>
        <w:pStyle w:val="Prrafodelista"/>
        <w:numPr>
          <w:ilvl w:val="0"/>
          <w:numId w:val="2"/>
        </w:numPr>
        <w:ind w:left="426" w:hanging="426"/>
        <w:jc w:val="both"/>
        <w:rPr>
          <w:lang w:val="es-ES"/>
        </w:rPr>
      </w:pPr>
      <w:r w:rsidRPr="00691640">
        <w:rPr>
          <w:lang w:val="es-ES"/>
        </w:rPr>
        <w:t>Que las Partes y no partes del Protocolo pongan a disposición en el centro de intercambio de información un documento claro y conciso (no sólo la legislación) sobre las medidas de cumplimiento que están adoptando</w:t>
      </w:r>
      <w:r w:rsidR="00691640" w:rsidRPr="00691640">
        <w:rPr>
          <w:lang w:val="es-ES"/>
        </w:rPr>
        <w:t>, (voluntario y con independencia del Informe Nacional Provisional y los Informes Nacionales Sucesivos que se presenten como parte del cumplimiento del Artículo 29)</w:t>
      </w:r>
      <w:r w:rsidRPr="00691640">
        <w:rPr>
          <w:lang w:val="es-ES"/>
        </w:rPr>
        <w:t xml:space="preserve">. Se sugiere realizar </w:t>
      </w:r>
      <w:r w:rsidR="000D1250">
        <w:rPr>
          <w:lang w:val="es-ES"/>
        </w:rPr>
        <w:t xml:space="preserve">reuniones de </w:t>
      </w:r>
      <w:r w:rsidRPr="00691640">
        <w:rPr>
          <w:lang w:val="es-ES"/>
        </w:rPr>
        <w:t>intercambio de experiencias y buenas prácticas para favorecer la cooperación internacional</w:t>
      </w:r>
      <w:r w:rsidR="00691640" w:rsidRPr="00691640">
        <w:rPr>
          <w:lang w:val="es-ES"/>
        </w:rPr>
        <w:t>, estas experiencias podrían incluir:</w:t>
      </w:r>
    </w:p>
    <w:p w:rsidR="00691640" w:rsidRPr="00691640" w:rsidRDefault="00691640" w:rsidP="00691640">
      <w:pPr>
        <w:pStyle w:val="Prrafodelista"/>
        <w:jc w:val="both"/>
        <w:rPr>
          <w:lang w:val="es-ES"/>
        </w:rPr>
      </w:pPr>
      <w:r w:rsidRPr="00691640">
        <w:rPr>
          <w:lang w:val="es-ES"/>
        </w:rPr>
        <w:t>i)</w:t>
      </w:r>
      <w:r w:rsidRPr="00691640">
        <w:rPr>
          <w:lang w:val="es-ES"/>
        </w:rPr>
        <w:tab/>
        <w:t xml:space="preserve">Presentar casos de éxitos en cumplimiento del Protocolo de </w:t>
      </w:r>
      <w:r>
        <w:rPr>
          <w:lang w:val="es-ES"/>
        </w:rPr>
        <w:t>Nagoya</w:t>
      </w:r>
      <w:r w:rsidRPr="00691640">
        <w:rPr>
          <w:lang w:val="es-ES"/>
        </w:rPr>
        <w:t xml:space="preserve"> que puedan ser replicados por otros países Parte y no Parte del Protocolo y hacer recomendaciones a la COP-MOP para capitalizar experiencias positivas.</w:t>
      </w:r>
    </w:p>
    <w:p w:rsidR="00691640" w:rsidRPr="00691640" w:rsidRDefault="00691640" w:rsidP="00691640">
      <w:pPr>
        <w:pStyle w:val="Prrafodelista"/>
        <w:jc w:val="both"/>
        <w:rPr>
          <w:lang w:val="es-ES"/>
        </w:rPr>
      </w:pPr>
      <w:r w:rsidRPr="00691640">
        <w:rPr>
          <w:lang w:val="es-ES"/>
        </w:rPr>
        <w:t>ii)</w:t>
      </w:r>
      <w:r w:rsidRPr="00691640">
        <w:rPr>
          <w:lang w:val="es-ES"/>
        </w:rPr>
        <w:tab/>
        <w:t xml:space="preserve">Documentar las causas por las que no se ha logrado dar cumplimiento a la aplicación del Protocolo en casos prácticos tales como </w:t>
      </w:r>
      <w:r w:rsidR="0072796A">
        <w:rPr>
          <w:lang w:val="es-ES"/>
        </w:rPr>
        <w:t>los</w:t>
      </w:r>
      <w:r w:rsidRPr="00691640">
        <w:rPr>
          <w:lang w:val="es-ES"/>
        </w:rPr>
        <w:t xml:space="preserve"> artículo</w:t>
      </w:r>
      <w:r w:rsidR="0072796A">
        <w:rPr>
          <w:lang w:val="es-ES"/>
        </w:rPr>
        <w:t>s 10 y 11</w:t>
      </w:r>
      <w:r w:rsidRPr="00691640">
        <w:rPr>
          <w:lang w:val="es-ES"/>
        </w:rPr>
        <w:t xml:space="preserve">. </w:t>
      </w:r>
      <w:r w:rsidR="0072796A">
        <w:rPr>
          <w:lang w:val="es-ES"/>
        </w:rPr>
        <w:t>En su caso llevar a cab</w:t>
      </w:r>
      <w:r w:rsidR="005E3BDD">
        <w:rPr>
          <w:lang w:val="es-ES"/>
        </w:rPr>
        <w:t>o</w:t>
      </w:r>
      <w:r w:rsidR="0072796A" w:rsidRPr="0072796A">
        <w:rPr>
          <w:lang w:val="es-ES"/>
        </w:rPr>
        <w:t xml:space="preserve"> reuniones que permitan y promuevan.</w:t>
      </w:r>
    </w:p>
    <w:p w:rsidR="00691640" w:rsidRPr="0072796A" w:rsidRDefault="0072796A" w:rsidP="007718F3">
      <w:pPr>
        <w:ind w:left="426"/>
        <w:jc w:val="both"/>
        <w:rPr>
          <w:lang w:val="es-ES"/>
        </w:rPr>
      </w:pPr>
      <w:r>
        <w:rPr>
          <w:lang w:val="es-ES"/>
        </w:rPr>
        <w:lastRenderedPageBreak/>
        <w:t>Adicionalmente el Comité de Cumplimiento junto con el Secretariado podrían llevar a cabo</w:t>
      </w:r>
      <w:r w:rsidR="00691640" w:rsidRPr="0072796A">
        <w:rPr>
          <w:lang w:val="es-ES"/>
        </w:rPr>
        <w:t xml:space="preserve"> un análisis de cuál es la correlación que existe entre los reportes nacionales, con el nivel de cumplimiento del Protocolo</w:t>
      </w:r>
      <w:r>
        <w:rPr>
          <w:lang w:val="es-ES"/>
        </w:rPr>
        <w:t xml:space="preserve"> (a partir de  la información del Centro de Intercambio de Información </w:t>
      </w:r>
      <w:proofErr w:type="gramStart"/>
      <w:r>
        <w:rPr>
          <w:lang w:val="es-ES"/>
        </w:rPr>
        <w:t>publicada</w:t>
      </w:r>
      <w:proofErr w:type="gramEnd"/>
      <w:r>
        <w:rPr>
          <w:lang w:val="es-ES"/>
        </w:rPr>
        <w:t xml:space="preserve"> por cada Parte)</w:t>
      </w:r>
      <w:r w:rsidR="00691640" w:rsidRPr="0072796A">
        <w:rPr>
          <w:lang w:val="es-ES"/>
        </w:rPr>
        <w:t>, para identificar dónde se dan la mayoría de los casos de incumplimiento y desarrollar los mecanismos y procedimientos que apoyen estos casos.</w:t>
      </w:r>
    </w:p>
    <w:p w:rsidR="006B59C4" w:rsidRPr="00AE7D81" w:rsidRDefault="006B59C4" w:rsidP="007718F3">
      <w:pPr>
        <w:ind w:left="426" w:hanging="426"/>
        <w:jc w:val="both"/>
        <w:rPr>
          <w:lang w:val="es-ES"/>
        </w:rPr>
      </w:pPr>
      <w:r w:rsidRPr="00AE7D81">
        <w:rPr>
          <w:lang w:val="es-ES"/>
        </w:rPr>
        <w:t xml:space="preserve">2. </w:t>
      </w:r>
      <w:r w:rsidR="005E3BDD">
        <w:rPr>
          <w:lang w:val="es-ES"/>
        </w:rPr>
        <w:t>Podría ser útil que la</w:t>
      </w:r>
      <w:r w:rsidRPr="00AE7D81">
        <w:rPr>
          <w:lang w:val="es-ES"/>
        </w:rPr>
        <w:t xml:space="preserve"> </w:t>
      </w:r>
      <w:r>
        <w:rPr>
          <w:lang w:val="es-ES"/>
        </w:rPr>
        <w:t>Secretarí</w:t>
      </w:r>
      <w:r w:rsidRPr="00AE7D81">
        <w:rPr>
          <w:lang w:val="es-ES"/>
        </w:rPr>
        <w:t xml:space="preserve">a haga un cuestionario/encuesta a las partes sobre información relacionada con el </w:t>
      </w:r>
      <w:r>
        <w:rPr>
          <w:lang w:val="es-ES"/>
        </w:rPr>
        <w:t xml:space="preserve">cumplimiento como por ejemplo: </w:t>
      </w:r>
    </w:p>
    <w:p w:rsidR="006B59C4" w:rsidRPr="00AE7D81" w:rsidRDefault="006B59C4" w:rsidP="006B59C4">
      <w:pPr>
        <w:pStyle w:val="Prrafodelista"/>
        <w:numPr>
          <w:ilvl w:val="0"/>
          <w:numId w:val="1"/>
        </w:numPr>
        <w:jc w:val="both"/>
        <w:rPr>
          <w:lang w:val="es-ES"/>
        </w:rPr>
      </w:pPr>
      <w:r w:rsidRPr="00AE7D81">
        <w:rPr>
          <w:lang w:val="es-ES"/>
        </w:rPr>
        <w:t xml:space="preserve">ámbito que cubre la legislación nacional </w:t>
      </w:r>
    </w:p>
    <w:p w:rsidR="006B59C4" w:rsidRPr="00AE7D81" w:rsidRDefault="006B59C4" w:rsidP="006B59C4">
      <w:pPr>
        <w:pStyle w:val="Prrafodelista"/>
        <w:numPr>
          <w:ilvl w:val="0"/>
          <w:numId w:val="1"/>
        </w:numPr>
        <w:jc w:val="both"/>
        <w:rPr>
          <w:lang w:val="es-ES"/>
        </w:rPr>
      </w:pPr>
      <w:r w:rsidRPr="00AE7D81">
        <w:rPr>
          <w:lang w:val="es-ES"/>
        </w:rPr>
        <w:t xml:space="preserve">definición de acceso </w:t>
      </w:r>
    </w:p>
    <w:p w:rsidR="006B59C4" w:rsidRPr="00AE7D81" w:rsidRDefault="006B59C4" w:rsidP="006B59C4">
      <w:pPr>
        <w:pStyle w:val="Prrafodelista"/>
        <w:numPr>
          <w:ilvl w:val="0"/>
          <w:numId w:val="1"/>
        </w:numPr>
        <w:jc w:val="both"/>
        <w:rPr>
          <w:lang w:val="es-ES"/>
        </w:rPr>
      </w:pPr>
      <w:r w:rsidRPr="00AE7D81">
        <w:rPr>
          <w:lang w:val="es-ES"/>
        </w:rPr>
        <w:t xml:space="preserve">definición de investigación y desarrollo </w:t>
      </w:r>
    </w:p>
    <w:p w:rsidR="006B59C4" w:rsidRPr="00AE7D81" w:rsidRDefault="006B59C4" w:rsidP="006B59C4">
      <w:pPr>
        <w:pStyle w:val="Prrafodelista"/>
        <w:numPr>
          <w:ilvl w:val="0"/>
          <w:numId w:val="1"/>
        </w:numPr>
        <w:jc w:val="both"/>
        <w:rPr>
          <w:lang w:val="es-ES"/>
        </w:rPr>
      </w:pPr>
      <w:r w:rsidRPr="00AE7D81">
        <w:rPr>
          <w:lang w:val="es-ES"/>
        </w:rPr>
        <w:t xml:space="preserve">puntos de monitoreo establecidos </w:t>
      </w:r>
      <w:r>
        <w:rPr>
          <w:lang w:val="es-ES"/>
        </w:rPr>
        <w:t>y sugerencias de puntos de monitoreo por establecer</w:t>
      </w:r>
    </w:p>
    <w:p w:rsidR="006B59C4" w:rsidRPr="00AE7D81" w:rsidRDefault="006B59C4" w:rsidP="006B59C4">
      <w:pPr>
        <w:pStyle w:val="Prrafodelista"/>
        <w:numPr>
          <w:ilvl w:val="0"/>
          <w:numId w:val="1"/>
        </w:numPr>
        <w:jc w:val="both"/>
        <w:rPr>
          <w:lang w:val="es-ES"/>
        </w:rPr>
      </w:pPr>
      <w:r w:rsidRPr="00AE7D81">
        <w:rPr>
          <w:lang w:val="es-ES"/>
        </w:rPr>
        <w:t xml:space="preserve">medidas de creación de capacidad tomadas y hacia quien </w:t>
      </w:r>
    </w:p>
    <w:p w:rsidR="006B59C4" w:rsidRPr="00AE7D81" w:rsidRDefault="006B59C4" w:rsidP="006B59C4">
      <w:pPr>
        <w:pStyle w:val="Prrafodelista"/>
        <w:numPr>
          <w:ilvl w:val="0"/>
          <w:numId w:val="1"/>
        </w:numPr>
        <w:jc w:val="both"/>
        <w:rPr>
          <w:lang w:val="es-ES"/>
        </w:rPr>
      </w:pPr>
      <w:r w:rsidRPr="00AE7D81">
        <w:rPr>
          <w:lang w:val="es-ES"/>
        </w:rPr>
        <w:t>materiales sobre esa creación de capacidad</w:t>
      </w:r>
    </w:p>
    <w:p w:rsidR="006B59C4" w:rsidRPr="00AE7D81" w:rsidRDefault="006B59C4" w:rsidP="006B59C4">
      <w:pPr>
        <w:jc w:val="both"/>
        <w:rPr>
          <w:lang w:val="es-ES"/>
        </w:rPr>
      </w:pPr>
      <w:r w:rsidRPr="00AE7D81">
        <w:rPr>
          <w:lang w:val="es-ES"/>
        </w:rPr>
        <w:t xml:space="preserve">Esto independientemente de que se encuentre en la legislación nacional </w:t>
      </w:r>
      <w:r w:rsidR="007718F3">
        <w:rPr>
          <w:lang w:val="es-ES"/>
        </w:rPr>
        <w:t>(la cual, en ocasiones,</w:t>
      </w:r>
      <w:r w:rsidRPr="00AE7D81">
        <w:rPr>
          <w:lang w:val="es-ES"/>
        </w:rPr>
        <w:t xml:space="preserve"> puede </w:t>
      </w:r>
      <w:r>
        <w:rPr>
          <w:lang w:val="es-ES"/>
        </w:rPr>
        <w:t xml:space="preserve">ser complicada de </w:t>
      </w:r>
      <w:r w:rsidR="007718F3">
        <w:rPr>
          <w:lang w:val="es-ES"/>
        </w:rPr>
        <w:t>comprender)</w:t>
      </w:r>
      <w:r>
        <w:rPr>
          <w:lang w:val="es-ES"/>
        </w:rPr>
        <w:t>, a manera de tener información puntual disponible</w:t>
      </w:r>
      <w:r w:rsidR="000D1250">
        <w:rPr>
          <w:lang w:val="es-ES"/>
        </w:rPr>
        <w:t xml:space="preserve"> y con esto generar esquemas específicos de apoyo y fortalecimiento</w:t>
      </w:r>
      <w:r>
        <w:rPr>
          <w:lang w:val="es-ES"/>
        </w:rPr>
        <w:t>.</w:t>
      </w:r>
    </w:p>
    <w:p w:rsidR="006B59C4" w:rsidRPr="008F0FD7" w:rsidRDefault="006B59C4" w:rsidP="006B59C4">
      <w:pPr>
        <w:jc w:val="both"/>
        <w:rPr>
          <w:lang w:val="es-ES"/>
        </w:rPr>
      </w:pPr>
      <w:r w:rsidRPr="00AE7D81">
        <w:rPr>
          <w:lang w:val="es-ES"/>
        </w:rPr>
        <w:t xml:space="preserve">3.  Que la Secretaria a partir de </w:t>
      </w:r>
      <w:r>
        <w:rPr>
          <w:lang w:val="es-ES"/>
        </w:rPr>
        <w:t>la integración de esta</w:t>
      </w:r>
      <w:r w:rsidRPr="00AE7D81">
        <w:rPr>
          <w:lang w:val="es-ES"/>
        </w:rPr>
        <w:t xml:space="preserve"> información </w:t>
      </w:r>
      <w:r>
        <w:rPr>
          <w:lang w:val="es-ES"/>
        </w:rPr>
        <w:t>haga</w:t>
      </w:r>
      <w:r w:rsidRPr="00AE7D81">
        <w:rPr>
          <w:lang w:val="es-ES"/>
        </w:rPr>
        <w:t xml:space="preserve"> un análisis de las diferentes medidas </w:t>
      </w:r>
      <w:r>
        <w:rPr>
          <w:lang w:val="es-ES"/>
        </w:rPr>
        <w:t xml:space="preserve">de cumplimiento en los países Parte, tanto en vías de desarrollo como desarrollados, así como de los no Parte que están en vías de implementar el Protocolo, esto </w:t>
      </w:r>
      <w:r w:rsidRPr="00AE7D81">
        <w:rPr>
          <w:lang w:val="es-ES"/>
        </w:rPr>
        <w:t>si es que hay información</w:t>
      </w:r>
      <w:r>
        <w:rPr>
          <w:lang w:val="es-ES"/>
        </w:rPr>
        <w:t xml:space="preserve"> disponible</w:t>
      </w:r>
      <w:r w:rsidRPr="00AE7D81">
        <w:rPr>
          <w:lang w:val="es-ES"/>
        </w:rPr>
        <w:t xml:space="preserve"> y que esa información la transforme en un documento para </w:t>
      </w:r>
      <w:r>
        <w:rPr>
          <w:lang w:val="es-ES"/>
        </w:rPr>
        <w:t xml:space="preserve">consideración </w:t>
      </w:r>
      <w:r w:rsidRPr="00AE7D81">
        <w:rPr>
          <w:lang w:val="es-ES"/>
        </w:rPr>
        <w:t>de la</w:t>
      </w:r>
      <w:r>
        <w:rPr>
          <w:lang w:val="es-ES"/>
        </w:rPr>
        <w:t xml:space="preserve"> próxima</w:t>
      </w:r>
      <w:r w:rsidRPr="00AE7D81">
        <w:rPr>
          <w:lang w:val="es-ES"/>
        </w:rPr>
        <w:t xml:space="preserve"> COP-MOP</w:t>
      </w:r>
      <w:r>
        <w:rPr>
          <w:lang w:val="es-ES"/>
        </w:rPr>
        <w:t xml:space="preserve"> </w:t>
      </w:r>
      <w:r w:rsidRPr="00AE7D81">
        <w:rPr>
          <w:lang w:val="es-ES"/>
        </w:rPr>
        <w:t>a fin de identif</w:t>
      </w:r>
      <w:r>
        <w:rPr>
          <w:lang w:val="es-ES"/>
        </w:rPr>
        <w:t xml:space="preserve">icar los vacíos e inconsistencias para poder enfocar </w:t>
      </w:r>
      <w:r w:rsidRPr="00AE7D81">
        <w:rPr>
          <w:lang w:val="es-ES"/>
        </w:rPr>
        <w:t xml:space="preserve">los esfuerzos </w:t>
      </w:r>
      <w:r>
        <w:rPr>
          <w:lang w:val="es-ES"/>
        </w:rPr>
        <w:t>de</w:t>
      </w:r>
      <w:r w:rsidRPr="00AE7D81">
        <w:rPr>
          <w:lang w:val="es-ES"/>
        </w:rPr>
        <w:t xml:space="preserve"> cumplimiento</w:t>
      </w:r>
      <w:r>
        <w:rPr>
          <w:lang w:val="es-ES"/>
        </w:rPr>
        <w:t xml:space="preserve"> contemplando el mayor número de experiencias</w:t>
      </w:r>
      <w:r w:rsidRPr="00AE7D81">
        <w:rPr>
          <w:lang w:val="es-ES"/>
        </w:rPr>
        <w:t>.</w:t>
      </w:r>
    </w:p>
    <w:p w:rsidR="008766D4" w:rsidRDefault="007718F3" w:rsidP="007718F3">
      <w:pPr>
        <w:jc w:val="both"/>
        <w:rPr>
          <w:lang w:val="es-ES"/>
        </w:rPr>
      </w:pPr>
      <w:r>
        <w:rPr>
          <w:lang w:val="es-ES"/>
        </w:rPr>
        <w:t xml:space="preserve">4. </w:t>
      </w:r>
      <w:r w:rsidR="0042482D">
        <w:rPr>
          <w:lang w:val="es-ES"/>
        </w:rPr>
        <w:t xml:space="preserve">La </w:t>
      </w:r>
      <w:r w:rsidR="00C7574A">
        <w:rPr>
          <w:lang w:val="es-ES"/>
        </w:rPr>
        <w:t xml:space="preserve">función de apoyo debe concentrarse en </w:t>
      </w:r>
      <w:r>
        <w:rPr>
          <w:lang w:val="es-ES"/>
        </w:rPr>
        <w:t>foment</w:t>
      </w:r>
      <w:r w:rsidR="00C7574A">
        <w:rPr>
          <w:lang w:val="es-ES"/>
        </w:rPr>
        <w:t>ar la cooperación internacional, a fin de ayudar a los países a superar los obstáculos que enfrentan en la aplicación del Protocolo</w:t>
      </w:r>
    </w:p>
    <w:p w:rsidR="00E75661" w:rsidRDefault="007718F3" w:rsidP="007718F3">
      <w:pPr>
        <w:jc w:val="both"/>
        <w:rPr>
          <w:lang w:val="es-ES"/>
        </w:rPr>
      </w:pPr>
      <w:r>
        <w:rPr>
          <w:lang w:val="es-ES"/>
        </w:rPr>
        <w:t xml:space="preserve">5. </w:t>
      </w:r>
      <w:r w:rsidR="0042482D" w:rsidRPr="007718F3">
        <w:rPr>
          <w:lang w:val="es-ES"/>
        </w:rPr>
        <w:t xml:space="preserve">Se deberá </w:t>
      </w:r>
      <w:r w:rsidR="00C7574A" w:rsidRPr="007718F3">
        <w:rPr>
          <w:lang w:val="es-ES"/>
        </w:rPr>
        <w:t xml:space="preserve">proveer al Comité de herramientas más eficaces de apoyo, como, por ejemplo, mecanismos para la movilización de recursos financieros y tecnología o proyectos de creación de capacidad. </w:t>
      </w:r>
      <w:r w:rsidR="00E75661">
        <w:rPr>
          <w:lang w:val="es-ES"/>
        </w:rPr>
        <w:t xml:space="preserve"> </w:t>
      </w:r>
    </w:p>
    <w:p w:rsidR="00C7574A" w:rsidRPr="007718F3" w:rsidRDefault="00C7574A" w:rsidP="007718F3">
      <w:pPr>
        <w:jc w:val="both"/>
        <w:rPr>
          <w:lang w:val="es-ES"/>
        </w:rPr>
      </w:pPr>
      <w:r w:rsidRPr="007718F3">
        <w:rPr>
          <w:lang w:val="es-ES"/>
        </w:rPr>
        <w:t>Estas herramientas permitirían obtener evidencia concreta de la capacidad del Comité para apoyar a los países. Al mejorar la función de apoyo del Comité se estaría contribuyendo, entonces, a que las Partes tengan mayor confianza en el Comité</w:t>
      </w:r>
    </w:p>
    <w:p w:rsidR="000D1250" w:rsidRDefault="0042482D" w:rsidP="007718F3">
      <w:pPr>
        <w:jc w:val="both"/>
        <w:rPr>
          <w:lang w:val="es-ES"/>
        </w:rPr>
      </w:pPr>
      <w:r>
        <w:rPr>
          <w:lang w:val="es-ES"/>
        </w:rPr>
        <w:t xml:space="preserve">El </w:t>
      </w:r>
      <w:r w:rsidR="00C7574A">
        <w:rPr>
          <w:lang w:val="es-ES"/>
        </w:rPr>
        <w:t>proceso de generación de confianza depende, sin embargo, de que se logre comprender más claramente las consecuencias que conlleva el incumplimiento. Mejorar la función de apoyo del Comité requiere, por lo tanto, garantizar que no se adoptarán medidas punitivas como complemento a las herramientas de apoyo</w:t>
      </w:r>
      <w:r w:rsidR="000D1250" w:rsidRPr="000D1250">
        <w:rPr>
          <w:lang w:val="es-ES"/>
        </w:rPr>
        <w:t xml:space="preserve"> </w:t>
      </w:r>
    </w:p>
    <w:p w:rsidR="00C7574A" w:rsidRPr="006B59C4" w:rsidRDefault="00C7574A" w:rsidP="007718F3">
      <w:pPr>
        <w:jc w:val="both"/>
        <w:rPr>
          <w:lang w:val="es-ES"/>
        </w:rPr>
      </w:pPr>
    </w:p>
    <w:sectPr w:rsidR="00C7574A" w:rsidRPr="006B59C4">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3A3" w:rsidRDefault="007073A3" w:rsidP="007718F3">
      <w:pPr>
        <w:spacing w:after="0" w:line="240" w:lineRule="auto"/>
      </w:pPr>
      <w:r>
        <w:separator/>
      </w:r>
    </w:p>
  </w:endnote>
  <w:endnote w:type="continuationSeparator" w:id="0">
    <w:p w:rsidR="007073A3" w:rsidRDefault="007073A3" w:rsidP="00771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8F3" w:rsidRDefault="007718F3">
    <w:pPr>
      <w:pStyle w:val="Piedepgina"/>
    </w:pPr>
    <w:r w:rsidRPr="007718F3">
      <w:t>Punto Focal Nacional del Protocolo de Nagoya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3A3" w:rsidRDefault="007073A3" w:rsidP="007718F3">
      <w:pPr>
        <w:spacing w:after="0" w:line="240" w:lineRule="auto"/>
      </w:pPr>
      <w:r>
        <w:separator/>
      </w:r>
    </w:p>
  </w:footnote>
  <w:footnote w:type="continuationSeparator" w:id="0">
    <w:p w:rsidR="007073A3" w:rsidRDefault="007073A3" w:rsidP="007718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E3466"/>
    <w:multiLevelType w:val="hybridMultilevel"/>
    <w:tmpl w:val="C50CF5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762F4B59"/>
    <w:multiLevelType w:val="hybridMultilevel"/>
    <w:tmpl w:val="80AA6D5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9C4"/>
    <w:rsid w:val="000D1250"/>
    <w:rsid w:val="0042482D"/>
    <w:rsid w:val="005E3BDD"/>
    <w:rsid w:val="00691640"/>
    <w:rsid w:val="006B59C4"/>
    <w:rsid w:val="007073A3"/>
    <w:rsid w:val="0072796A"/>
    <w:rsid w:val="007718F3"/>
    <w:rsid w:val="009E50DD"/>
    <w:rsid w:val="00B16904"/>
    <w:rsid w:val="00C7574A"/>
    <w:rsid w:val="00E7566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9C4"/>
  </w:style>
  <w:style w:type="paragraph" w:styleId="Ttulo1">
    <w:name w:val="heading 1"/>
    <w:basedOn w:val="Normal"/>
    <w:next w:val="Normal"/>
    <w:link w:val="Ttulo1Car"/>
    <w:uiPriority w:val="9"/>
    <w:qFormat/>
    <w:rsid w:val="006B59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59C4"/>
    <w:rPr>
      <w:rFonts w:asciiTheme="majorHAnsi" w:eastAsiaTheme="majorEastAsia" w:hAnsiTheme="majorHAnsi" w:cstheme="majorBidi"/>
      <w:b/>
      <w:bCs/>
      <w:color w:val="365F91" w:themeColor="accent1" w:themeShade="BF"/>
      <w:sz w:val="28"/>
      <w:szCs w:val="28"/>
    </w:rPr>
  </w:style>
  <w:style w:type="character" w:styleId="Textoennegrita">
    <w:name w:val="Strong"/>
    <w:basedOn w:val="Fuentedeprrafopredeter"/>
    <w:uiPriority w:val="22"/>
    <w:qFormat/>
    <w:rsid w:val="006B59C4"/>
    <w:rPr>
      <w:b/>
      <w:bCs/>
    </w:rPr>
  </w:style>
  <w:style w:type="paragraph" w:styleId="Prrafodelista">
    <w:name w:val="List Paragraph"/>
    <w:basedOn w:val="Normal"/>
    <w:uiPriority w:val="34"/>
    <w:qFormat/>
    <w:rsid w:val="006B59C4"/>
    <w:pPr>
      <w:ind w:left="720"/>
      <w:contextualSpacing/>
    </w:pPr>
  </w:style>
  <w:style w:type="paragraph" w:styleId="Encabezado">
    <w:name w:val="header"/>
    <w:basedOn w:val="Normal"/>
    <w:link w:val="EncabezadoCar"/>
    <w:uiPriority w:val="99"/>
    <w:unhideWhenUsed/>
    <w:rsid w:val="007718F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718F3"/>
  </w:style>
  <w:style w:type="paragraph" w:styleId="Piedepgina">
    <w:name w:val="footer"/>
    <w:basedOn w:val="Normal"/>
    <w:link w:val="PiedepginaCar"/>
    <w:uiPriority w:val="99"/>
    <w:unhideWhenUsed/>
    <w:rsid w:val="007718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718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9C4"/>
  </w:style>
  <w:style w:type="paragraph" w:styleId="Ttulo1">
    <w:name w:val="heading 1"/>
    <w:basedOn w:val="Normal"/>
    <w:next w:val="Normal"/>
    <w:link w:val="Ttulo1Car"/>
    <w:uiPriority w:val="9"/>
    <w:qFormat/>
    <w:rsid w:val="006B59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59C4"/>
    <w:rPr>
      <w:rFonts w:asciiTheme="majorHAnsi" w:eastAsiaTheme="majorEastAsia" w:hAnsiTheme="majorHAnsi" w:cstheme="majorBidi"/>
      <w:b/>
      <w:bCs/>
      <w:color w:val="365F91" w:themeColor="accent1" w:themeShade="BF"/>
      <w:sz w:val="28"/>
      <w:szCs w:val="28"/>
    </w:rPr>
  </w:style>
  <w:style w:type="character" w:styleId="Textoennegrita">
    <w:name w:val="Strong"/>
    <w:basedOn w:val="Fuentedeprrafopredeter"/>
    <w:uiPriority w:val="22"/>
    <w:qFormat/>
    <w:rsid w:val="006B59C4"/>
    <w:rPr>
      <w:b/>
      <w:bCs/>
    </w:rPr>
  </w:style>
  <w:style w:type="paragraph" w:styleId="Prrafodelista">
    <w:name w:val="List Paragraph"/>
    <w:basedOn w:val="Normal"/>
    <w:uiPriority w:val="34"/>
    <w:qFormat/>
    <w:rsid w:val="006B59C4"/>
    <w:pPr>
      <w:ind w:left="720"/>
      <w:contextualSpacing/>
    </w:pPr>
  </w:style>
  <w:style w:type="paragraph" w:styleId="Encabezado">
    <w:name w:val="header"/>
    <w:basedOn w:val="Normal"/>
    <w:link w:val="EncabezadoCar"/>
    <w:uiPriority w:val="99"/>
    <w:unhideWhenUsed/>
    <w:rsid w:val="007718F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718F3"/>
  </w:style>
  <w:style w:type="paragraph" w:styleId="Piedepgina">
    <w:name w:val="footer"/>
    <w:basedOn w:val="Normal"/>
    <w:link w:val="PiedepginaCar"/>
    <w:uiPriority w:val="99"/>
    <w:unhideWhenUsed/>
    <w:rsid w:val="007718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71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3</Pages>
  <Words>1421</Words>
  <Characters>7816</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dc:creator>
  <cp:lastModifiedBy>XX</cp:lastModifiedBy>
  <cp:revision>3</cp:revision>
  <dcterms:created xsi:type="dcterms:W3CDTF">2015-12-02T16:59:00Z</dcterms:created>
  <dcterms:modified xsi:type="dcterms:W3CDTF">2015-12-04T02:32:00Z</dcterms:modified>
</cp:coreProperties>
</file>