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ki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ki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ki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uettelokappale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ki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Luettelokappale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ki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Luettelokappale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Luettelokappale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Luettelokappale"/>
        <w:jc w:val="both"/>
        <w:rPr>
          <w:i/>
        </w:rPr>
      </w:pPr>
    </w:p>
    <w:p w14:paraId="22E65D04" w14:textId="77777777" w:rsidR="006D0214" w:rsidRDefault="006D0214" w:rsidP="006D0214">
      <w:pPr>
        <w:pStyle w:val="Luettelokappale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ulukkoRuudukko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gram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proofErr w:type="gramEnd"/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6C98AEBA" w:rsidR="00FC6E3F" w:rsidRPr="00E92CC6" w:rsidRDefault="0064566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2CC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GA5. Maintain Genetic 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1006768" w14:textId="77777777" w:rsidR="0064566F" w:rsidRPr="00E92CC6" w:rsidRDefault="0064566F" w:rsidP="006456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2C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Trends in the diversity of wild species </w:t>
            </w:r>
          </w:p>
          <w:p w14:paraId="2F345535" w14:textId="1EA46EC9" w:rsidR="00FC6E3F" w:rsidRPr="00E92CC6" w:rsidRDefault="00FC6E3F" w:rsidP="00E92CC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C688149" w14:textId="77777777" w:rsidR="00E92CC6" w:rsidRPr="00E92CC6" w:rsidRDefault="00E92CC6" w:rsidP="00E92CC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2C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Comprehensiveness of conservation of socioeconomic ally as well as culturally valuable species. </w:t>
            </w:r>
          </w:p>
          <w:p w14:paraId="05B5A68D" w14:textId="616D6188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F13C7CE" w14:textId="24D770D7" w:rsidR="00FC6E3F" w:rsidRPr="00292092" w:rsidRDefault="00E92CC6" w:rsidP="006456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CIAT, Crop Trust</w:t>
            </w:r>
          </w:p>
        </w:tc>
        <w:tc>
          <w:tcPr>
            <w:tcW w:w="1194" w:type="dxa"/>
            <w:shd w:val="clear" w:color="auto" w:fill="auto"/>
          </w:tcPr>
          <w:p w14:paraId="64E52910" w14:textId="78109DD3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46653523" w14:textId="3C438BE1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50758369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2018</w:t>
            </w:r>
          </w:p>
        </w:tc>
        <w:tc>
          <w:tcPr>
            <w:tcW w:w="1193" w:type="dxa"/>
            <w:shd w:val="clear" w:color="auto" w:fill="auto"/>
          </w:tcPr>
          <w:p w14:paraId="27699EF1" w14:textId="5677189D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2018; every 3-5 year</w:t>
            </w:r>
          </w:p>
        </w:tc>
        <w:tc>
          <w:tcPr>
            <w:tcW w:w="1340" w:type="dxa"/>
            <w:shd w:val="clear" w:color="auto" w:fill="auto"/>
          </w:tcPr>
          <w:p w14:paraId="1A035779" w14:textId="31F82144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17210C91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69EBC880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E136E8A" w14:textId="2976E1F5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17834F9" w14:textId="1577CEB0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B951AD0" w14:textId="3040F6E7" w:rsidR="00FC6E3F" w:rsidRPr="00292092" w:rsidRDefault="00E92CC6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794" w:type="dxa"/>
          </w:tcPr>
          <w:p w14:paraId="4B46E01D" w14:textId="425BA61A" w:rsidR="00FC6E3F" w:rsidRPr="00CA270C" w:rsidRDefault="00E92CC6" w:rsidP="00CA270C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A270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This indicator </w:t>
            </w:r>
            <w:r w:rsidR="0011164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</w:t>
            </w:r>
            <w:r w:rsidRPr="00CA270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ould be added to A5 of </w:t>
            </w:r>
            <w:r w:rsidR="005758A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CA270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GBF</w:t>
            </w:r>
            <w:r w:rsidR="005758A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</w:t>
            </w:r>
          </w:p>
          <w:p w14:paraId="123255D6" w14:textId="022E0585" w:rsidR="00CA270C" w:rsidRPr="00111641" w:rsidRDefault="00CA270C" w:rsidP="00CA270C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A270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Also, this should include other </w:t>
            </w:r>
            <w:r w:rsidR="0011164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indicators.</w:t>
            </w: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61CBB3C4" w:rsidR="00FC6E3F" w:rsidRPr="00E92CC6" w:rsidRDefault="00CA270C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70C">
              <w:rPr>
                <w:rFonts w:ascii="Arial" w:hAnsi="Arial" w:cs="Arial"/>
                <w:i/>
                <w:iCs/>
                <w:sz w:val="18"/>
                <w:szCs w:val="18"/>
              </w:rPr>
              <w:t>GC1. Access to Genetic resources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370BBCD3" w:rsidR="00FC6E3F" w:rsidRPr="00E92CC6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1D10D46" w14:textId="54348EB7" w:rsidR="00FC6E3F" w:rsidRPr="00292092" w:rsidRDefault="005758A2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5758A2"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4203E40C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A50728F" w14:textId="0282CD5B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6F0CD0CE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D881FD" w14:textId="52FFC395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0FFA792" w14:textId="38FF1D05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ACC4BA7" w14:textId="2E092641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A7F27AD" w14:textId="300D527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21E1CE" w14:textId="0A22A589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DE05A07" w14:textId="14C402AE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2EA8F3E" w14:textId="102C7653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86090D" w14:textId="2DC16767" w:rsidR="00FC6E3F" w:rsidRPr="00CA270C" w:rsidRDefault="00111641" w:rsidP="001D764F">
            <w:pPr>
              <w:jc w:val="center"/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See the monitoring framework page 7, rows 72</w:t>
            </w:r>
            <w:r w:rsidR="00894966"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73. Add the same indicato</w:t>
            </w:r>
            <w:r w:rsidR="005758A2"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rs here.</w:t>
            </w:r>
            <w:r w:rsidR="00CA270C"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 </w:t>
            </w: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03F15B53" w:rsidR="00FC6E3F" w:rsidRPr="00E92CC6" w:rsidRDefault="00CA270C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>GC2. Sharing of the benefits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4B7E14B" w14:textId="77777777" w:rsidR="00CA270C" w:rsidRPr="00CA270C" w:rsidRDefault="00CA270C" w:rsidP="00CA27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 xml:space="preserve">Trends in the benefits from the access to genetic resources shared </w:t>
            </w:r>
          </w:p>
          <w:p w14:paraId="39C381D7" w14:textId="58FBBF8E" w:rsidR="00FC6E3F" w:rsidRPr="00E92CC6" w:rsidRDefault="00FC6E3F" w:rsidP="00CA27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5100092A" w:rsidR="00FC6E3F" w:rsidRDefault="00CA270C" w:rsidP="005758A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 xml:space="preserve">Number of countries that have adopted legislative, administrative and policy frameworks to ensure fair and equitable sharing of benefits  </w:t>
            </w:r>
          </w:p>
        </w:tc>
        <w:tc>
          <w:tcPr>
            <w:tcW w:w="1489" w:type="dxa"/>
            <w:shd w:val="clear" w:color="auto" w:fill="auto"/>
          </w:tcPr>
          <w:p w14:paraId="181ECAC2" w14:textId="4E9C8258" w:rsidR="00FC6E3F" w:rsidRDefault="00CA270C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>Secretariat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 CBD</w:t>
            </w:r>
          </w:p>
        </w:tc>
        <w:tc>
          <w:tcPr>
            <w:tcW w:w="1194" w:type="dxa"/>
            <w:shd w:val="clear" w:color="auto" w:fill="auto"/>
          </w:tcPr>
          <w:p w14:paraId="7055233B" w14:textId="65414528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0D357577" w14:textId="72FC2D79" w:rsidR="00FC6E3F" w:rsidRPr="004F7374" w:rsidRDefault="00CA270C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Not available</w:t>
            </w:r>
          </w:p>
        </w:tc>
        <w:tc>
          <w:tcPr>
            <w:tcW w:w="1042" w:type="dxa"/>
            <w:shd w:val="clear" w:color="auto" w:fill="auto"/>
          </w:tcPr>
          <w:p w14:paraId="56E8006A" w14:textId="7E463A8F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1193" w:type="dxa"/>
            <w:shd w:val="clear" w:color="auto" w:fill="auto"/>
          </w:tcPr>
          <w:p w14:paraId="1D64C677" w14:textId="0C42E6BB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1340" w:type="dxa"/>
            <w:shd w:val="clear" w:color="auto" w:fill="auto"/>
          </w:tcPr>
          <w:p w14:paraId="3E1E828C" w14:textId="7D9A4CCD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382FAFE" w14:textId="23814F82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2E3BCB6" w14:textId="32D3EB98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A8E0B5C" w14:textId="77777777" w:rsidR="00CA270C" w:rsidRPr="00CA270C" w:rsidRDefault="00CA270C" w:rsidP="00CA27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  <w:p w14:paraId="595AF7C4" w14:textId="7656984B" w:rsidR="00FC6E3F" w:rsidRDefault="00CA270C" w:rsidP="00CA27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270C">
              <w:rPr>
                <w:rFonts w:ascii="Arial" w:eastAsia="Arial" w:hAnsi="Arial" w:cs="Arial"/>
                <w:sz w:val="18"/>
                <w:szCs w:val="18"/>
              </w:rPr>
              <w:t>SDG indicator 15.6.1</w:t>
            </w:r>
          </w:p>
        </w:tc>
        <w:tc>
          <w:tcPr>
            <w:tcW w:w="1794" w:type="dxa"/>
            <w:shd w:val="clear" w:color="auto" w:fill="auto"/>
          </w:tcPr>
          <w:p w14:paraId="11E011CB" w14:textId="731D6736" w:rsidR="00FC6E3F" w:rsidRDefault="00CA270C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94" w:type="dxa"/>
          </w:tcPr>
          <w:p w14:paraId="5C174853" w14:textId="519BAE9A" w:rsidR="00FC6E3F" w:rsidRPr="004F7374" w:rsidRDefault="00111641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This indicator could be added to </w:t>
            </w:r>
            <w:r w:rsidR="005758A2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Goal C of the GBF page 7, row 74.</w:t>
            </w: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Pr="00E92CC6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Pr="00E92CC6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1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ulukkoRuudukko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5EB9D21" w14:textId="77777777" w:rsidR="00B27314" w:rsidRPr="00B27314" w:rsidRDefault="00B27314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 xml:space="preserve">T12.1. Access to genetic resources </w:t>
            </w:r>
          </w:p>
          <w:p w14:paraId="63A8EC62" w14:textId="298F0FF7" w:rsidR="00B346BD" w:rsidRDefault="00B346BD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064385D" w:rsidR="00B346BD" w:rsidRDefault="00B27314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>Trends in access to genetic resources</w:t>
            </w:r>
          </w:p>
        </w:tc>
        <w:tc>
          <w:tcPr>
            <w:tcW w:w="1787" w:type="dxa"/>
            <w:shd w:val="clear" w:color="auto" w:fill="auto"/>
          </w:tcPr>
          <w:p w14:paraId="15296807" w14:textId="259D84EA" w:rsidR="00B346BD" w:rsidRPr="004B79AC" w:rsidRDefault="005758A2" w:rsidP="00B346BD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14BF8F3D" w:rsidR="00B346BD" w:rsidRPr="004F7374" w:rsidRDefault="00A034A1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See the monitoring framework page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 22-23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, rows 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140-145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 Add the same indicators here.</w:t>
            </w: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B3B81BF" w14:textId="77777777" w:rsidR="00B27314" w:rsidRPr="00B27314" w:rsidRDefault="00B27314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 xml:space="preserve">T12.2. Benefit shared from the use of genetic resources </w:t>
            </w:r>
          </w:p>
          <w:p w14:paraId="59F22660" w14:textId="404B6EB7" w:rsidR="00B346BD" w:rsidRDefault="00B346BD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28E34862" w:rsidR="00B346BD" w:rsidRDefault="00B27314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>Trends in the benefits from the access to genetic resources shared</w:t>
            </w:r>
          </w:p>
        </w:tc>
        <w:tc>
          <w:tcPr>
            <w:tcW w:w="1787" w:type="dxa"/>
            <w:shd w:val="clear" w:color="auto" w:fill="auto"/>
          </w:tcPr>
          <w:p w14:paraId="415EBAE8" w14:textId="6B0F8E5B" w:rsidR="00B346BD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countries that have adopted legislative, administrative and policy frameworks to ensure fair and equitable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27314">
              <w:rPr>
                <w:rFonts w:ascii="Arial" w:eastAsia="Arial" w:hAnsi="Arial" w:cs="Arial"/>
                <w:color w:val="000000"/>
                <w:sz w:val="18"/>
                <w:szCs w:val="18"/>
              </w:rPr>
              <w:t>sharing of benefits</w:t>
            </w:r>
          </w:p>
        </w:tc>
        <w:tc>
          <w:tcPr>
            <w:tcW w:w="1489" w:type="dxa"/>
            <w:shd w:val="clear" w:color="auto" w:fill="auto"/>
          </w:tcPr>
          <w:p w14:paraId="6A353211" w14:textId="4D1EEB98" w:rsidR="00B346BD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Secretariat of the CBD</w:t>
            </w:r>
          </w:p>
        </w:tc>
        <w:tc>
          <w:tcPr>
            <w:tcW w:w="1194" w:type="dxa"/>
            <w:shd w:val="clear" w:color="auto" w:fill="auto"/>
          </w:tcPr>
          <w:p w14:paraId="15CEA393" w14:textId="36411184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365F95F" w14:textId="6E4FF349" w:rsidR="00B346BD" w:rsidRPr="004F7374" w:rsidRDefault="00B2731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N/A</w:t>
            </w:r>
          </w:p>
        </w:tc>
        <w:tc>
          <w:tcPr>
            <w:tcW w:w="1042" w:type="dxa"/>
            <w:shd w:val="clear" w:color="auto" w:fill="auto"/>
          </w:tcPr>
          <w:p w14:paraId="6A1C897A" w14:textId="05DCB564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1193" w:type="dxa"/>
            <w:shd w:val="clear" w:color="auto" w:fill="auto"/>
          </w:tcPr>
          <w:p w14:paraId="63D2F099" w14:textId="1073CFD1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1340" w:type="dxa"/>
            <w:shd w:val="clear" w:color="auto" w:fill="auto"/>
          </w:tcPr>
          <w:p w14:paraId="2E651146" w14:textId="45F84BCF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76546F49" w14:textId="61811798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3073026E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988A2D8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5296BFEA" w14:textId="541089F0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>SDG indicator 15.6.1</w:t>
            </w:r>
          </w:p>
        </w:tc>
        <w:tc>
          <w:tcPr>
            <w:tcW w:w="1794" w:type="dxa"/>
            <w:shd w:val="clear" w:color="auto" w:fill="auto"/>
          </w:tcPr>
          <w:p w14:paraId="7C4D527D" w14:textId="29DBE61A" w:rsidR="00B346BD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3D62877C" w14:textId="5F6444A3" w:rsidR="00B346BD" w:rsidRPr="00A034A1" w:rsidRDefault="00A034A1" w:rsidP="00B346BD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See our comment above</w:t>
            </w:r>
            <w:r w:rsidR="00894966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on GC2.</w:t>
            </w:r>
          </w:p>
        </w:tc>
      </w:tr>
      <w:tr w:rsidR="00B27314" w:rsidRPr="004F7374" w14:paraId="5DA960AF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C31B2AA" w14:textId="473E7905" w:rsidR="00B27314" w:rsidRPr="00B27314" w:rsidRDefault="00B27314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>T12.3. Benefits resulting from use of traditional knowledge associated with genetic resources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99FDF1B" w14:textId="6E6A055A" w:rsidR="00B27314" w:rsidRPr="00B27314" w:rsidRDefault="00B27314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>Trends in use of traditional knowledge associated with genetic resources</w:t>
            </w:r>
          </w:p>
        </w:tc>
        <w:tc>
          <w:tcPr>
            <w:tcW w:w="1787" w:type="dxa"/>
            <w:shd w:val="clear" w:color="auto" w:fill="auto"/>
          </w:tcPr>
          <w:p w14:paraId="553EBCE3" w14:textId="4E727D99" w:rsidR="00B27314" w:rsidRPr="00B27314" w:rsidRDefault="005758A2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62E14580" w14:textId="77777777" w:rsidR="00B27314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734350F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8E4806E" w14:textId="77777777" w:rsidR="00B27314" w:rsidRDefault="00B2731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11FB8BA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8FE9D53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AE64640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F2201EE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6B0EAE5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C30082A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9B61D34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A8B4DF4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D3A38FF" w14:textId="3CC76037" w:rsidR="00B27314" w:rsidRPr="004F7374" w:rsidRDefault="0089496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See the monitoring framework page 2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, row 1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0. Add the same indicator here</w:t>
            </w:r>
          </w:p>
        </w:tc>
      </w:tr>
      <w:tr w:rsidR="00B27314" w:rsidRPr="004F7374" w14:paraId="20363FB4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07EED1B" w14:textId="77777777" w:rsidR="00B27314" w:rsidRPr="00B27314" w:rsidRDefault="00B27314" w:rsidP="00B273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005B1B46" w14:textId="0C77383F" w:rsidR="00B27314" w:rsidRPr="00B27314" w:rsidRDefault="00B27314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7314">
              <w:rPr>
                <w:rFonts w:ascii="Arial" w:eastAsia="Arial" w:hAnsi="Arial" w:cs="Arial"/>
                <w:sz w:val="18"/>
                <w:szCs w:val="18"/>
              </w:rPr>
              <w:t xml:space="preserve">Trends in benefits generated and </w:t>
            </w:r>
            <w:r w:rsidRPr="00B27314">
              <w:rPr>
                <w:rFonts w:ascii="Arial" w:eastAsia="Arial" w:hAnsi="Arial" w:cs="Arial"/>
                <w:sz w:val="18"/>
                <w:szCs w:val="18"/>
              </w:rPr>
              <w:lastRenderedPageBreak/>
              <w:t>shared from the use of traditional knowledge associated with genetic resources</w:t>
            </w:r>
          </w:p>
        </w:tc>
        <w:tc>
          <w:tcPr>
            <w:tcW w:w="1787" w:type="dxa"/>
            <w:shd w:val="clear" w:color="auto" w:fill="auto"/>
          </w:tcPr>
          <w:p w14:paraId="42320693" w14:textId="7A371ECE" w:rsidR="00B27314" w:rsidRPr="004B79AC" w:rsidRDefault="005758A2" w:rsidP="00B346BD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lastRenderedPageBreak/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14330D73" w14:textId="77777777" w:rsidR="00B27314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0597A0B0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4FC4459" w14:textId="77777777" w:rsidR="00B27314" w:rsidRDefault="00B2731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CD6DDF3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A0DA864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901DA92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72AEF80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532E0E3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EA20B6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FF59B18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BAB4D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DF7A307" w14:textId="496201B3" w:rsidR="00B27314" w:rsidRPr="004F7374" w:rsidRDefault="0089496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See the monitoring framework page 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, row 1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51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 Add the same indicator here</w:t>
            </w:r>
          </w:p>
        </w:tc>
      </w:tr>
      <w:tr w:rsidR="00B27314" w:rsidRPr="004F7374" w14:paraId="7BC278CE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F6CD563" w14:textId="77777777" w:rsidR="004B79AC" w:rsidRPr="004B79AC" w:rsidRDefault="004B79AC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T16.1. Measures to prevent potential adverse impacts of biotechnology on biodiversity and human health </w:t>
            </w:r>
          </w:p>
          <w:p w14:paraId="052FF661" w14:textId="2CEF31D6" w:rsidR="00B27314" w:rsidRPr="00B27314" w:rsidRDefault="00B27314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C0BA236" w14:textId="13AFD989" w:rsidR="00B27314" w:rsidRPr="00B27314" w:rsidRDefault="004B79AC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t>Trends in measures to prevent potential adverse impacts of biotechnology</w:t>
            </w:r>
          </w:p>
        </w:tc>
        <w:tc>
          <w:tcPr>
            <w:tcW w:w="1787" w:type="dxa"/>
            <w:shd w:val="clear" w:color="auto" w:fill="auto"/>
          </w:tcPr>
          <w:p w14:paraId="055AA339" w14:textId="39739192" w:rsidR="00B27314" w:rsidRPr="00B27314" w:rsidRDefault="005758A2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01347EA1" w14:textId="77777777" w:rsidR="00B27314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55EA8D73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2416001" w14:textId="77777777" w:rsidR="00B27314" w:rsidRDefault="00B2731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10CC288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18FAFC7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572D00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B662C52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9BF1F08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4163632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0329F02A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AEF201F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2B02D31" w14:textId="7AB6BD88" w:rsidR="00B27314" w:rsidRPr="004F7374" w:rsidRDefault="00B62400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See the monitoring framework page 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31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, row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 195-197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 Add the same indicator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 here</w:t>
            </w:r>
          </w:p>
        </w:tc>
      </w:tr>
      <w:tr w:rsidR="00B27314" w:rsidRPr="004F7374" w14:paraId="32E67B3E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E0330F" w14:textId="77777777" w:rsidR="004B79AC" w:rsidRPr="004B79AC" w:rsidRDefault="004B79AC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t xml:space="preserve">T16.2. Measures to manage adverse impacts of biotechnology on biodiversity and human health </w:t>
            </w:r>
          </w:p>
          <w:p w14:paraId="1A4C4126" w14:textId="10931E28" w:rsidR="00B27314" w:rsidRPr="00B27314" w:rsidRDefault="00B27314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7A6C1E27" w14:textId="76F89F32" w:rsidR="00B27314" w:rsidRPr="00B27314" w:rsidRDefault="004B79AC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t>Trends in measures to manage adverse impacts of biotechnology</w:t>
            </w:r>
          </w:p>
        </w:tc>
        <w:tc>
          <w:tcPr>
            <w:tcW w:w="1787" w:type="dxa"/>
            <w:shd w:val="clear" w:color="auto" w:fill="auto"/>
          </w:tcPr>
          <w:p w14:paraId="20CDA5B9" w14:textId="11278FBA" w:rsidR="00B27314" w:rsidRPr="00B27314" w:rsidRDefault="005758A2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0C5B5EE3" w14:textId="77777777" w:rsidR="00B27314" w:rsidRDefault="00B27314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853D22E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2B2EC87" w14:textId="77777777" w:rsidR="00B27314" w:rsidRDefault="00B27314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528CB44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90AA979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9146286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E1460CE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ED2AC89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331B440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4DCC2BB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542764B6" w14:textId="77777777" w:rsidR="00B27314" w:rsidRDefault="00B27314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4F7FCC" w14:textId="1CD3071E" w:rsidR="00B27314" w:rsidRPr="004F7374" w:rsidRDefault="00B62400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See the monitoring framework page 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31-32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, row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97-202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 Add the same indicator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 here</w:t>
            </w:r>
          </w:p>
        </w:tc>
      </w:tr>
      <w:tr w:rsidR="004B79AC" w:rsidRPr="004F7374" w14:paraId="10B5977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E161E66" w14:textId="452AF3CC" w:rsidR="004B79AC" w:rsidRPr="004B79AC" w:rsidRDefault="004B79AC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t>T16.3. Measures to control adverse impacts of biotechnology 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B79AC">
              <w:rPr>
                <w:rFonts w:ascii="Arial" w:eastAsia="Arial" w:hAnsi="Arial" w:cs="Arial"/>
                <w:sz w:val="18"/>
                <w:szCs w:val="18"/>
              </w:rPr>
              <w:t>biodiversity and human health</w:t>
            </w:r>
          </w:p>
          <w:p w14:paraId="26975901" w14:textId="18E322A8" w:rsidR="004B79AC" w:rsidRPr="004B79AC" w:rsidRDefault="004B79AC" w:rsidP="004B79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73E3523" w14:textId="429AA618" w:rsidR="004B79AC" w:rsidRPr="004B79AC" w:rsidRDefault="004B79AC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79AC">
              <w:rPr>
                <w:rFonts w:ascii="Arial" w:eastAsia="Arial" w:hAnsi="Arial" w:cs="Arial"/>
                <w:sz w:val="18"/>
                <w:szCs w:val="18"/>
              </w:rPr>
              <w:t>Trends in measures to control adverse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B79AC">
              <w:rPr>
                <w:rFonts w:ascii="Arial" w:eastAsia="Arial" w:hAnsi="Arial" w:cs="Arial"/>
                <w:sz w:val="18"/>
                <w:szCs w:val="18"/>
              </w:rPr>
              <w:t>impacts of biotechnology</w:t>
            </w:r>
          </w:p>
        </w:tc>
        <w:tc>
          <w:tcPr>
            <w:tcW w:w="1787" w:type="dxa"/>
            <w:shd w:val="clear" w:color="auto" w:fill="auto"/>
          </w:tcPr>
          <w:p w14:paraId="488934EA" w14:textId="35BBDB0D" w:rsidR="004B79AC" w:rsidRPr="00B27314" w:rsidRDefault="005758A2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See our comment</w:t>
            </w:r>
          </w:p>
        </w:tc>
        <w:tc>
          <w:tcPr>
            <w:tcW w:w="1489" w:type="dxa"/>
            <w:shd w:val="clear" w:color="auto" w:fill="auto"/>
          </w:tcPr>
          <w:p w14:paraId="52BFCD7F" w14:textId="77777777" w:rsidR="004B79AC" w:rsidRDefault="004B79AC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B6ED5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A17B839" w14:textId="77777777" w:rsidR="004B79AC" w:rsidRDefault="004B79AC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B032A30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03765838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E231B95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53E608A8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AE6F3AB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91EAA68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87C35F8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02F2AF0" w14:textId="77777777" w:rsidR="004B79AC" w:rsidRDefault="004B79AC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8EE35E" w14:textId="375AC522" w:rsidR="004B79AC" w:rsidRPr="004F7374" w:rsidRDefault="00B62400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See the monitoring framework page 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32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, row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 203-204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 Add the same indicator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 xml:space="preserve"> here</w:t>
            </w:r>
            <w:r>
              <w:rPr>
                <w:rFonts w:ascii="Arial" w:hAnsi="Arial" w:cs="Arial"/>
                <w:i/>
                <w:iCs/>
                <w:color w:val="FF0000"/>
                <w:kern w:val="22"/>
                <w:sz w:val="18"/>
                <w:szCs w:val="18"/>
              </w:rPr>
              <w:t>.</w:t>
            </w: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25B9" w14:textId="77777777" w:rsidR="005203F7" w:rsidRDefault="005203F7" w:rsidP="00371075">
      <w:pPr>
        <w:spacing w:after="0" w:line="240" w:lineRule="auto"/>
      </w:pPr>
      <w:r>
        <w:separator/>
      </w:r>
    </w:p>
  </w:endnote>
  <w:endnote w:type="continuationSeparator" w:id="0">
    <w:p w14:paraId="0CC2A51E" w14:textId="77777777" w:rsidR="005203F7" w:rsidRDefault="005203F7" w:rsidP="00371075">
      <w:pPr>
        <w:spacing w:after="0" w:line="240" w:lineRule="auto"/>
      </w:pPr>
      <w:r>
        <w:continuationSeparator/>
      </w:r>
    </w:p>
  </w:endnote>
  <w:endnote w:type="continuationNotice" w:id="1">
    <w:p w14:paraId="53D4EFBE" w14:textId="77777777" w:rsidR="005203F7" w:rsidRDefault="00520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8E13" w14:textId="77777777" w:rsidR="005203F7" w:rsidRDefault="005203F7" w:rsidP="00371075">
      <w:pPr>
        <w:spacing w:after="0" w:line="240" w:lineRule="auto"/>
      </w:pPr>
      <w:r>
        <w:separator/>
      </w:r>
    </w:p>
  </w:footnote>
  <w:footnote w:type="continuationSeparator" w:id="0">
    <w:p w14:paraId="7C56CFFA" w14:textId="77777777" w:rsidR="005203F7" w:rsidRDefault="005203F7" w:rsidP="00371075">
      <w:pPr>
        <w:spacing w:after="0" w:line="240" w:lineRule="auto"/>
      </w:pPr>
      <w:r>
        <w:continuationSeparator/>
      </w:r>
    </w:p>
  </w:footnote>
  <w:footnote w:type="continuationNotice" w:id="1">
    <w:p w14:paraId="207EABB9" w14:textId="77777777" w:rsidR="005203F7" w:rsidRDefault="00520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Yltunniste"/>
    </w:pPr>
  </w:p>
  <w:p w14:paraId="3736A995" w14:textId="792AD04A" w:rsidR="00371075" w:rsidRDefault="0037107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62F54"/>
    <w:multiLevelType w:val="hybridMultilevel"/>
    <w:tmpl w:val="3D185066"/>
    <w:lvl w:ilvl="0" w:tplc="DCC27F62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7771E"/>
    <w:rsid w:val="00080098"/>
    <w:rsid w:val="00081812"/>
    <w:rsid w:val="000835E3"/>
    <w:rsid w:val="00084B25"/>
    <w:rsid w:val="00085413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1641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08CB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B79AC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03F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58A2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372CF"/>
    <w:rsid w:val="00642604"/>
    <w:rsid w:val="006437FF"/>
    <w:rsid w:val="00644045"/>
    <w:rsid w:val="0064566F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4966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034A1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27314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2400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270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017A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2CC6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6DA5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704C9"/>
  </w:style>
  <w:style w:type="paragraph" w:styleId="Otsikko2">
    <w:name w:val="heading 2"/>
    <w:basedOn w:val="Normaali"/>
    <w:next w:val="Normaali"/>
    <w:link w:val="Otsikko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704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4C9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704C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7C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7C62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Kappaleenoletusfontti"/>
    <w:rsid w:val="00BF25DC"/>
  </w:style>
  <w:style w:type="character" w:customStyle="1" w:styleId="eop">
    <w:name w:val="eop"/>
    <w:basedOn w:val="Kappaleenoletusfontti"/>
    <w:rsid w:val="00BF25DC"/>
  </w:style>
  <w:style w:type="paragraph" w:styleId="Yltunniste">
    <w:name w:val="header"/>
    <w:basedOn w:val="Normaali"/>
    <w:link w:val="Yl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1075"/>
  </w:style>
  <w:style w:type="paragraph" w:styleId="Alatunniste">
    <w:name w:val="footer"/>
    <w:basedOn w:val="Normaali"/>
    <w:link w:val="Ala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1075"/>
  </w:style>
  <w:style w:type="character" w:styleId="Hyperlinkki">
    <w:name w:val="Hyperlink"/>
    <w:uiPriority w:val="99"/>
    <w:rsid w:val="006D0214"/>
    <w:rPr>
      <w:rFonts w:cs="Times New Roman"/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Default">
    <w:name w:val="Default"/>
    <w:rsid w:val="00A03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39FB2-3C19-43E8-A523-9C4975BC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Ruohonen-Lehto Marja</cp:lastModifiedBy>
  <cp:revision>2</cp:revision>
  <dcterms:created xsi:type="dcterms:W3CDTF">2020-07-23T12:34:00Z</dcterms:created>
  <dcterms:modified xsi:type="dcterms:W3CDTF">2020-07-23T12:34:00Z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