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129A9398" w:rsidR="00236608" w:rsidRPr="000C0B6C" w:rsidRDefault="0044114A" w:rsidP="009251C2">
            <w:r>
              <w:t xml:space="preserve">Zepeda </w:t>
            </w:r>
            <w:proofErr w:type="spellStart"/>
            <w:r>
              <w:t>Lizama</w:t>
            </w:r>
            <w:proofErr w:type="spellEnd"/>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2EF19B7B" w:rsidR="00236608" w:rsidRPr="000C0B6C" w:rsidRDefault="0044114A" w:rsidP="009251C2">
            <w:r>
              <w:t>Camila</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321B45E7" w:rsidR="00236608" w:rsidRPr="000C0B6C" w:rsidRDefault="00DC67C8" w:rsidP="009251C2">
            <w:r>
              <w:t>Mexico</w:t>
            </w:r>
          </w:p>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5E3936B7" w:rsidR="00236608" w:rsidRPr="000C0B6C" w:rsidRDefault="00DC67C8" w:rsidP="009251C2">
            <w:r>
              <w:t>Ministry of Foreign Affairs</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2627B99F" w:rsidR="00236608" w:rsidRPr="000C0B6C" w:rsidRDefault="0044114A" w:rsidP="009251C2">
            <w:r>
              <w:t xml:space="preserve">Juárez 20 </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5CA90D4D" w:rsidR="00236608" w:rsidRPr="000C0B6C" w:rsidRDefault="0044114A" w:rsidP="009251C2">
            <w:r>
              <w:t>Mexico City</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57108693" w:rsidR="00236608" w:rsidRPr="000C0B6C" w:rsidRDefault="0044114A" w:rsidP="009251C2">
            <w:r>
              <w:t>Mexico</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Asuntodelcomentario"/>
              <w:rPr>
                <w:sz w:val="22"/>
                <w:szCs w:val="22"/>
              </w:rPr>
            </w:pPr>
            <w:r w:rsidRPr="000C0B6C">
              <w:rPr>
                <w:sz w:val="22"/>
                <w:szCs w:val="22"/>
              </w:rPr>
              <w:t>E-mail:</w:t>
            </w:r>
          </w:p>
        </w:tc>
        <w:tc>
          <w:tcPr>
            <w:tcW w:w="6102" w:type="dxa"/>
          </w:tcPr>
          <w:p w14:paraId="118A29DB" w14:textId="1D627B18" w:rsidR="00236608" w:rsidRPr="000C0B6C" w:rsidRDefault="0044114A" w:rsidP="009251C2">
            <w:r>
              <w:t>dgtglobales@sre.gob.mx</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7429EBD8" w14:textId="30D0BEF4" w:rsidR="008C7855" w:rsidRPr="000C0B6C" w:rsidRDefault="004056FD" w:rsidP="009251C2">
            <w:pPr>
              <w:rPr>
                <w:b/>
                <w:sz w:val="22"/>
                <w:szCs w:val="22"/>
              </w:rPr>
            </w:pPr>
            <w:r w:rsidRPr="004056FD">
              <w:rPr>
                <w:sz w:val="22"/>
                <w:szCs w:val="22"/>
              </w:rPr>
              <w:t>This is an example of a general comment</w:t>
            </w:r>
          </w:p>
        </w:tc>
      </w:tr>
      <w:tr w:rsidR="008C7855" w:rsidRPr="000C0B6C" w14:paraId="7ABFA388" w14:textId="77777777" w:rsidTr="002C0D5B">
        <w:trPr>
          <w:trHeight w:val="224"/>
        </w:trPr>
        <w:tc>
          <w:tcPr>
            <w:tcW w:w="10188" w:type="dxa"/>
            <w:gridSpan w:val="4"/>
          </w:tcPr>
          <w:p w14:paraId="560E3978" w14:textId="77777777" w:rsidR="008C7855" w:rsidRPr="000C0B6C" w:rsidRDefault="008C7855" w:rsidP="009251C2">
            <w:pPr>
              <w:rPr>
                <w:b/>
                <w:sz w:val="22"/>
                <w:szCs w:val="22"/>
              </w:rPr>
            </w:pPr>
          </w:p>
        </w:tc>
      </w:tr>
      <w:tr w:rsidR="008C7855" w:rsidRPr="000C0B6C" w14:paraId="245B7828" w14:textId="77777777" w:rsidTr="002C0D5B">
        <w:trPr>
          <w:trHeight w:val="224"/>
        </w:trPr>
        <w:tc>
          <w:tcPr>
            <w:tcW w:w="10188" w:type="dxa"/>
            <w:gridSpan w:val="4"/>
          </w:tcPr>
          <w:p w14:paraId="2C64714E" w14:textId="77777777" w:rsidR="008C7855" w:rsidRPr="000C0B6C" w:rsidRDefault="008C7855" w:rsidP="009251C2">
            <w:pPr>
              <w:rPr>
                <w:b/>
                <w:sz w:val="22"/>
                <w:szCs w:val="22"/>
              </w:rPr>
            </w:pPr>
          </w:p>
        </w:tc>
      </w:tr>
      <w:tr w:rsidR="008C7855" w:rsidRPr="000C0B6C" w14:paraId="190C415F" w14:textId="77777777" w:rsidTr="002C0D5B">
        <w:trPr>
          <w:trHeight w:val="224"/>
        </w:trPr>
        <w:tc>
          <w:tcPr>
            <w:tcW w:w="10188" w:type="dxa"/>
            <w:gridSpan w:val="4"/>
          </w:tcPr>
          <w:p w14:paraId="75CEC945" w14:textId="77777777" w:rsidR="008C7855" w:rsidRPr="000C0B6C" w:rsidRDefault="008C7855" w:rsidP="009251C2">
            <w:pPr>
              <w:rPr>
                <w:b/>
                <w:sz w:val="22"/>
                <w:szCs w:val="22"/>
              </w:rPr>
            </w:pPr>
          </w:p>
        </w:tc>
      </w:tr>
      <w:tr w:rsidR="008C7855" w:rsidRPr="000C0B6C" w14:paraId="49FBD9FE" w14:textId="77777777" w:rsidTr="002C0D5B">
        <w:trPr>
          <w:trHeight w:val="224"/>
        </w:trPr>
        <w:tc>
          <w:tcPr>
            <w:tcW w:w="10188" w:type="dxa"/>
            <w:gridSpan w:val="4"/>
          </w:tcPr>
          <w:p w14:paraId="2F722B82" w14:textId="77777777" w:rsidR="008C7855" w:rsidRPr="000C0B6C" w:rsidRDefault="008C7855" w:rsidP="009251C2">
            <w:pPr>
              <w:rPr>
                <w:b/>
                <w:sz w:val="22"/>
                <w:szCs w:val="22"/>
              </w:rPr>
            </w:pPr>
          </w:p>
        </w:tc>
      </w:tr>
      <w:tr w:rsidR="008C7855" w:rsidRPr="000C0B6C" w14:paraId="5123AC6E" w14:textId="77777777" w:rsidTr="002C0D5B">
        <w:trPr>
          <w:trHeight w:val="224"/>
        </w:trPr>
        <w:tc>
          <w:tcPr>
            <w:tcW w:w="10188" w:type="dxa"/>
            <w:gridSpan w:val="4"/>
          </w:tcPr>
          <w:p w14:paraId="58F52F47" w14:textId="77777777" w:rsidR="008C7855" w:rsidRPr="000C0B6C" w:rsidRDefault="008C7855" w:rsidP="009251C2">
            <w:pPr>
              <w:rPr>
                <w:b/>
                <w:sz w:val="22"/>
                <w:szCs w:val="22"/>
              </w:rPr>
            </w:pPr>
          </w:p>
        </w:tc>
      </w:tr>
      <w:tr w:rsidR="008C7855" w:rsidRPr="000C0B6C" w14:paraId="3C265F9F" w14:textId="77777777" w:rsidTr="002C0D5B">
        <w:trPr>
          <w:trHeight w:val="224"/>
        </w:trPr>
        <w:tc>
          <w:tcPr>
            <w:tcW w:w="10188" w:type="dxa"/>
            <w:gridSpan w:val="4"/>
          </w:tcPr>
          <w:p w14:paraId="569563E6" w14:textId="77777777" w:rsidR="008C7855" w:rsidRPr="000C0B6C" w:rsidRDefault="008C7855" w:rsidP="009251C2">
            <w:pPr>
              <w:rPr>
                <w:b/>
                <w:sz w:val="22"/>
                <w:szCs w:val="22"/>
              </w:rPr>
            </w:pPr>
          </w:p>
        </w:tc>
      </w:tr>
      <w:tr w:rsidR="008C7855" w:rsidRPr="000C0B6C" w14:paraId="566B9023" w14:textId="77777777" w:rsidTr="002C0D5B">
        <w:trPr>
          <w:trHeight w:val="224"/>
        </w:trPr>
        <w:tc>
          <w:tcPr>
            <w:tcW w:w="10188" w:type="dxa"/>
            <w:gridSpan w:val="4"/>
          </w:tcPr>
          <w:p w14:paraId="18DC4C65" w14:textId="77777777" w:rsidR="008C7855" w:rsidRPr="000C0B6C" w:rsidRDefault="008C7855" w:rsidP="009251C2">
            <w:pPr>
              <w:rPr>
                <w:b/>
                <w:sz w:val="22"/>
                <w:szCs w:val="22"/>
              </w:rPr>
            </w:pP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6153AF8D" w14:textId="77777777" w:rsidTr="009251C2">
        <w:trPr>
          <w:trHeight w:val="233"/>
        </w:trPr>
        <w:tc>
          <w:tcPr>
            <w:tcW w:w="818" w:type="dxa"/>
          </w:tcPr>
          <w:p w14:paraId="66AF3500" w14:textId="69EE1010" w:rsidR="00236608" w:rsidRPr="000C0B6C" w:rsidRDefault="001346F1" w:rsidP="009251C2">
            <w:r>
              <w:t>2</w:t>
            </w:r>
          </w:p>
        </w:tc>
        <w:tc>
          <w:tcPr>
            <w:tcW w:w="1231" w:type="dxa"/>
          </w:tcPr>
          <w:p w14:paraId="6A91318A" w14:textId="72FED20F" w:rsidR="00236608" w:rsidRPr="000C0B6C" w:rsidRDefault="001346F1" w:rsidP="009251C2">
            <w:r>
              <w:t>Goal B</w:t>
            </w:r>
          </w:p>
        </w:tc>
        <w:tc>
          <w:tcPr>
            <w:tcW w:w="8139" w:type="dxa"/>
            <w:gridSpan w:val="2"/>
          </w:tcPr>
          <w:p w14:paraId="5F267497" w14:textId="6D05D6E6" w:rsidR="00236608" w:rsidRPr="000C0B6C" w:rsidRDefault="000047AF" w:rsidP="009251C2">
            <w:r>
              <w:t xml:space="preserve">We do </w:t>
            </w:r>
            <w:r w:rsidR="001346F1">
              <w:t xml:space="preserve">not </w:t>
            </w:r>
            <w:r>
              <w:t xml:space="preserve">necessarily see a </w:t>
            </w:r>
            <w:r w:rsidR="001346F1">
              <w:t xml:space="preserve">relation between SDG1 and Goal </w:t>
            </w:r>
            <w:r>
              <w:t>B. I</w:t>
            </w:r>
            <w:r w:rsidR="001346F1">
              <w:t xml:space="preserve">n many occasions </w:t>
            </w:r>
            <w:r>
              <w:t>measures to end</w:t>
            </w:r>
            <w:r w:rsidR="001346F1">
              <w:t xml:space="preserve"> poverty </w:t>
            </w:r>
            <w:r>
              <w:t xml:space="preserve">cause biodiversity degradation if they are not sustainably managed. </w:t>
            </w:r>
          </w:p>
        </w:tc>
      </w:tr>
      <w:tr w:rsidR="001346F1" w:rsidRPr="000C0B6C" w14:paraId="1F3C7C10" w14:textId="77777777" w:rsidTr="009251C2">
        <w:trPr>
          <w:trHeight w:val="233"/>
        </w:trPr>
        <w:tc>
          <w:tcPr>
            <w:tcW w:w="818" w:type="dxa"/>
          </w:tcPr>
          <w:p w14:paraId="469018AD" w14:textId="18A782C3" w:rsidR="001346F1" w:rsidRDefault="001346F1" w:rsidP="001346F1">
            <w:r>
              <w:t>3</w:t>
            </w:r>
          </w:p>
        </w:tc>
        <w:tc>
          <w:tcPr>
            <w:tcW w:w="1231" w:type="dxa"/>
          </w:tcPr>
          <w:p w14:paraId="210F79E5" w14:textId="6D50232B" w:rsidR="001346F1" w:rsidRDefault="001346F1" w:rsidP="001346F1">
            <w:r>
              <w:t>Goal C</w:t>
            </w:r>
          </w:p>
        </w:tc>
        <w:tc>
          <w:tcPr>
            <w:tcW w:w="8139" w:type="dxa"/>
            <w:gridSpan w:val="2"/>
          </w:tcPr>
          <w:p w14:paraId="69C3FFE2" w14:textId="33C9E211" w:rsidR="001346F1" w:rsidRDefault="001346F1" w:rsidP="001346F1">
            <w:r>
              <w:t>We do not see a relation between SDG</w:t>
            </w:r>
            <w:r w:rsidR="00DC67C8">
              <w:t>s</w:t>
            </w:r>
            <w:r>
              <w:t xml:space="preserve"> 6</w:t>
            </w:r>
            <w:r w:rsidR="00DC67C8">
              <w:t>-</w:t>
            </w:r>
            <w:r>
              <w:t xml:space="preserve">7 </w:t>
            </w:r>
            <w:r w:rsidR="00DC67C8">
              <w:t>and</w:t>
            </w:r>
            <w:r>
              <w:t xml:space="preserve"> Goal C, we suggest clarifying the link.</w:t>
            </w:r>
          </w:p>
        </w:tc>
      </w:tr>
      <w:tr w:rsidR="001346F1" w:rsidRPr="000C0B6C" w14:paraId="6D0FC60A" w14:textId="77777777" w:rsidTr="009251C2">
        <w:trPr>
          <w:trHeight w:val="224"/>
        </w:trPr>
        <w:tc>
          <w:tcPr>
            <w:tcW w:w="818" w:type="dxa"/>
          </w:tcPr>
          <w:p w14:paraId="6282A73C" w14:textId="5915A3FD" w:rsidR="001346F1" w:rsidRPr="000C0B6C" w:rsidRDefault="001346F1" w:rsidP="001346F1">
            <w:r>
              <w:t>5</w:t>
            </w:r>
          </w:p>
        </w:tc>
        <w:tc>
          <w:tcPr>
            <w:tcW w:w="1231" w:type="dxa"/>
          </w:tcPr>
          <w:p w14:paraId="4956A208" w14:textId="7D419C49" w:rsidR="001346F1" w:rsidRPr="000C0B6C" w:rsidRDefault="001346F1" w:rsidP="001346F1">
            <w:r>
              <w:t>T3</w:t>
            </w:r>
          </w:p>
        </w:tc>
        <w:tc>
          <w:tcPr>
            <w:tcW w:w="8139" w:type="dxa"/>
            <w:gridSpan w:val="2"/>
          </w:tcPr>
          <w:p w14:paraId="1B92E2B4" w14:textId="5F4D0BE6" w:rsidR="001346F1" w:rsidRPr="000C0B6C" w:rsidRDefault="001346F1" w:rsidP="001346F1">
            <w:r>
              <w:t>Indicators for T3 will need to have a strong social component to assess well-being of the population as well as species conservation</w:t>
            </w:r>
          </w:p>
        </w:tc>
      </w:tr>
      <w:tr w:rsidR="001346F1" w:rsidRPr="000C0B6C" w14:paraId="30930566" w14:textId="77777777" w:rsidTr="009251C2">
        <w:trPr>
          <w:trHeight w:val="224"/>
        </w:trPr>
        <w:tc>
          <w:tcPr>
            <w:tcW w:w="818" w:type="dxa"/>
          </w:tcPr>
          <w:p w14:paraId="7E88CD75" w14:textId="2585417E" w:rsidR="001346F1" w:rsidRPr="000C0B6C" w:rsidRDefault="001346F1" w:rsidP="001346F1">
            <w:r>
              <w:t>6</w:t>
            </w:r>
          </w:p>
        </w:tc>
        <w:tc>
          <w:tcPr>
            <w:tcW w:w="1231" w:type="dxa"/>
          </w:tcPr>
          <w:p w14:paraId="613F0F0B" w14:textId="6422C8FB" w:rsidR="001346F1" w:rsidRPr="000C0B6C" w:rsidRDefault="001346F1" w:rsidP="001346F1">
            <w:r>
              <w:t>T6</w:t>
            </w:r>
          </w:p>
        </w:tc>
        <w:tc>
          <w:tcPr>
            <w:tcW w:w="8139" w:type="dxa"/>
            <w:gridSpan w:val="2"/>
          </w:tcPr>
          <w:p w14:paraId="4B30F77B" w14:textId="3B2DFF62" w:rsidR="001346F1" w:rsidRPr="000C0B6C" w:rsidRDefault="001346F1" w:rsidP="001346F1">
            <w:r>
              <w:t xml:space="preserve">We believe </w:t>
            </w:r>
            <w:r w:rsidRPr="009E75BC">
              <w:t>Indicator 6.3.2</w:t>
            </w:r>
            <w:r>
              <w:t xml:space="preserve"> may be useful for the Target related to pollution</w:t>
            </w:r>
          </w:p>
        </w:tc>
      </w:tr>
      <w:tr w:rsidR="001346F1" w:rsidRPr="000C0B6C" w14:paraId="419DB47A" w14:textId="77777777" w:rsidTr="009251C2">
        <w:trPr>
          <w:trHeight w:val="224"/>
        </w:trPr>
        <w:tc>
          <w:tcPr>
            <w:tcW w:w="818" w:type="dxa"/>
          </w:tcPr>
          <w:p w14:paraId="583A2152" w14:textId="63CB7578" w:rsidR="001346F1" w:rsidRPr="000C0B6C" w:rsidRDefault="001346F1" w:rsidP="001346F1">
            <w:r>
              <w:t>8</w:t>
            </w:r>
          </w:p>
        </w:tc>
        <w:tc>
          <w:tcPr>
            <w:tcW w:w="1231" w:type="dxa"/>
          </w:tcPr>
          <w:p w14:paraId="491D28B8" w14:textId="3700064B" w:rsidR="001346F1" w:rsidRPr="000C0B6C" w:rsidRDefault="001346F1" w:rsidP="001346F1">
            <w:r>
              <w:t>T8</w:t>
            </w:r>
          </w:p>
        </w:tc>
        <w:tc>
          <w:tcPr>
            <w:tcW w:w="8139" w:type="dxa"/>
            <w:gridSpan w:val="2"/>
          </w:tcPr>
          <w:p w14:paraId="7EB00430" w14:textId="0049E378" w:rsidR="001346F1" w:rsidRPr="000C0B6C" w:rsidRDefault="001346F1" w:rsidP="001346F1">
            <w:r>
              <w:t>We believe indicators in italics for this target would provide relevant information for the sustainable use section of the monitoring framework. However, Target 8 should be reformulated to address the issue under the CBD scope.</w:t>
            </w:r>
          </w:p>
        </w:tc>
      </w:tr>
      <w:tr w:rsidR="001346F1" w:rsidRPr="000C0B6C" w14:paraId="5DBDB291" w14:textId="77777777" w:rsidTr="009251C2">
        <w:trPr>
          <w:trHeight w:val="224"/>
        </w:trPr>
        <w:tc>
          <w:tcPr>
            <w:tcW w:w="818" w:type="dxa"/>
          </w:tcPr>
          <w:p w14:paraId="29E068DB" w14:textId="53043754" w:rsidR="001346F1" w:rsidRPr="000C0B6C" w:rsidRDefault="001346F1" w:rsidP="001346F1">
            <w:r>
              <w:t>13</w:t>
            </w:r>
          </w:p>
        </w:tc>
        <w:tc>
          <w:tcPr>
            <w:tcW w:w="1231" w:type="dxa"/>
          </w:tcPr>
          <w:p w14:paraId="212354D4" w14:textId="50E8C177" w:rsidR="001346F1" w:rsidRPr="000C0B6C" w:rsidRDefault="001346F1" w:rsidP="001346F1">
            <w:r>
              <w:t>T13</w:t>
            </w:r>
          </w:p>
        </w:tc>
        <w:tc>
          <w:tcPr>
            <w:tcW w:w="8139" w:type="dxa"/>
            <w:gridSpan w:val="2"/>
          </w:tcPr>
          <w:p w14:paraId="637A167D" w14:textId="628AC30D" w:rsidR="001346F1" w:rsidRPr="000C0B6C" w:rsidRDefault="001346F1" w:rsidP="001346F1">
            <w:r>
              <w:t>A similar indicator to 13.2.1 may be further developed for biodiversity mainstreaming, in which the number of policies and programs that consider biodiversity in their action plans be quantified by country, as well as other monitoring elements that might be developed for this target in the GBF</w:t>
            </w:r>
          </w:p>
        </w:tc>
      </w:tr>
      <w:tr w:rsidR="001346F1" w:rsidRPr="000C0B6C" w14:paraId="7A865B83" w14:textId="77777777" w:rsidTr="009251C2">
        <w:trPr>
          <w:trHeight w:val="224"/>
        </w:trPr>
        <w:tc>
          <w:tcPr>
            <w:tcW w:w="818" w:type="dxa"/>
          </w:tcPr>
          <w:p w14:paraId="48F7EE30" w14:textId="72E4DEE6" w:rsidR="001346F1" w:rsidRPr="000C0B6C" w:rsidRDefault="001346F1" w:rsidP="001346F1">
            <w:r>
              <w:t>15</w:t>
            </w:r>
          </w:p>
        </w:tc>
        <w:tc>
          <w:tcPr>
            <w:tcW w:w="1231" w:type="dxa"/>
          </w:tcPr>
          <w:p w14:paraId="6A798625" w14:textId="6C19A477" w:rsidR="001346F1" w:rsidRPr="000C0B6C" w:rsidRDefault="001346F1" w:rsidP="001346F1">
            <w:r>
              <w:t>T14</w:t>
            </w:r>
          </w:p>
        </w:tc>
        <w:tc>
          <w:tcPr>
            <w:tcW w:w="8139" w:type="dxa"/>
            <w:gridSpan w:val="2"/>
          </w:tcPr>
          <w:p w14:paraId="531C2A0F" w14:textId="5D16D044" w:rsidR="001346F1" w:rsidRPr="000C0B6C" w:rsidRDefault="001346F1" w:rsidP="001346F1">
            <w:r>
              <w:t xml:space="preserve">For indicator 12.1.1 it is important to consider that sustainable consumption and production plans may be targeted to the social and economic dimension of sustainable development. The presence of biodiversity in these sustainable </w:t>
            </w:r>
            <w:r>
              <w:lastRenderedPageBreak/>
              <w:t xml:space="preserve">practices </w:t>
            </w:r>
            <w:r w:rsidRPr="001346F1">
              <w:rPr>
                <w:u w:val="single"/>
              </w:rPr>
              <w:t>must be ensured</w:t>
            </w:r>
            <w:r>
              <w:t>. For indicator 12.2.2, domestic material consumption is not necessarily related to biodiversity issues. This is the same case for T15.</w:t>
            </w:r>
          </w:p>
        </w:tc>
      </w:tr>
      <w:tr w:rsidR="001346F1" w:rsidRPr="000C0B6C" w14:paraId="73FD340A" w14:textId="77777777" w:rsidTr="009251C2">
        <w:trPr>
          <w:trHeight w:val="224"/>
        </w:trPr>
        <w:tc>
          <w:tcPr>
            <w:tcW w:w="818" w:type="dxa"/>
          </w:tcPr>
          <w:p w14:paraId="37288C1C" w14:textId="5BEF48CA" w:rsidR="001346F1" w:rsidRPr="000C0B6C" w:rsidRDefault="001346F1" w:rsidP="001346F1">
            <w:r>
              <w:lastRenderedPageBreak/>
              <w:t>20</w:t>
            </w:r>
          </w:p>
        </w:tc>
        <w:tc>
          <w:tcPr>
            <w:tcW w:w="1231" w:type="dxa"/>
          </w:tcPr>
          <w:p w14:paraId="2993E983" w14:textId="5AA9C361" w:rsidR="001346F1" w:rsidRPr="000C0B6C" w:rsidRDefault="001346F1" w:rsidP="001346F1">
            <w:r>
              <w:t>T19</w:t>
            </w:r>
          </w:p>
        </w:tc>
        <w:tc>
          <w:tcPr>
            <w:tcW w:w="8139" w:type="dxa"/>
            <w:gridSpan w:val="2"/>
          </w:tcPr>
          <w:p w14:paraId="1ACD9C44" w14:textId="5D050B89" w:rsidR="001346F1" w:rsidRDefault="001346F1" w:rsidP="001346F1">
            <w:r>
              <w:t xml:space="preserve">Indicator </w:t>
            </w:r>
            <w:r w:rsidRPr="008A3AF3">
              <w:t>12.6.1</w:t>
            </w:r>
            <w:r>
              <w:t xml:space="preserve"> might apply to this case. However, it should be considered in more depth. Number of companies publishing sustainability reports is not enough to measure impact, if the reports do not present effective actions with important results. Additionally, some sustainability reports are more focused on other natural resources such as water and lack the biodiversity component.</w:t>
            </w:r>
          </w:p>
          <w:p w14:paraId="2A720A2D" w14:textId="08431139" w:rsidR="001346F1" w:rsidRPr="000C0B6C" w:rsidRDefault="001346F1" w:rsidP="001346F1"/>
        </w:tc>
      </w:tr>
      <w:tr w:rsidR="001346F1" w:rsidRPr="000C0B6C" w14:paraId="435624C6" w14:textId="77777777" w:rsidTr="009251C2">
        <w:trPr>
          <w:trHeight w:val="224"/>
        </w:trPr>
        <w:tc>
          <w:tcPr>
            <w:tcW w:w="818" w:type="dxa"/>
          </w:tcPr>
          <w:p w14:paraId="112D65BF" w14:textId="77777777" w:rsidR="001346F1" w:rsidRPr="000C0B6C" w:rsidRDefault="001346F1" w:rsidP="001346F1"/>
        </w:tc>
        <w:tc>
          <w:tcPr>
            <w:tcW w:w="1231" w:type="dxa"/>
          </w:tcPr>
          <w:p w14:paraId="15A50A76" w14:textId="77777777" w:rsidR="001346F1" w:rsidRPr="000C0B6C" w:rsidRDefault="001346F1" w:rsidP="001346F1"/>
        </w:tc>
        <w:tc>
          <w:tcPr>
            <w:tcW w:w="8139" w:type="dxa"/>
            <w:gridSpan w:val="2"/>
          </w:tcPr>
          <w:p w14:paraId="778EFB93" w14:textId="77777777" w:rsidR="001346F1" w:rsidRPr="000C0B6C" w:rsidRDefault="001346F1" w:rsidP="001346F1"/>
        </w:tc>
      </w:tr>
      <w:tr w:rsidR="001346F1" w:rsidRPr="000C0B6C" w14:paraId="1FCC3F88" w14:textId="77777777" w:rsidTr="009251C2">
        <w:trPr>
          <w:trHeight w:val="224"/>
        </w:trPr>
        <w:tc>
          <w:tcPr>
            <w:tcW w:w="818" w:type="dxa"/>
          </w:tcPr>
          <w:p w14:paraId="7F4E8176" w14:textId="77777777" w:rsidR="001346F1" w:rsidRPr="000C0B6C" w:rsidRDefault="001346F1" w:rsidP="001346F1"/>
        </w:tc>
        <w:tc>
          <w:tcPr>
            <w:tcW w:w="1231" w:type="dxa"/>
          </w:tcPr>
          <w:p w14:paraId="01C993F1" w14:textId="77777777" w:rsidR="001346F1" w:rsidRPr="000C0B6C" w:rsidRDefault="001346F1" w:rsidP="001346F1"/>
        </w:tc>
        <w:tc>
          <w:tcPr>
            <w:tcW w:w="8139" w:type="dxa"/>
            <w:gridSpan w:val="2"/>
          </w:tcPr>
          <w:p w14:paraId="2D3D32A2" w14:textId="77777777" w:rsidR="001346F1" w:rsidRPr="000C0B6C" w:rsidRDefault="001346F1" w:rsidP="001346F1"/>
        </w:tc>
      </w:tr>
      <w:tr w:rsidR="001346F1" w:rsidRPr="000C0B6C" w14:paraId="00DA4A24" w14:textId="77777777" w:rsidTr="009251C2">
        <w:trPr>
          <w:trHeight w:val="224"/>
        </w:trPr>
        <w:tc>
          <w:tcPr>
            <w:tcW w:w="818" w:type="dxa"/>
          </w:tcPr>
          <w:p w14:paraId="0BF9A4EA" w14:textId="77777777" w:rsidR="001346F1" w:rsidRPr="000C0B6C" w:rsidRDefault="001346F1" w:rsidP="001346F1"/>
        </w:tc>
        <w:tc>
          <w:tcPr>
            <w:tcW w:w="1231" w:type="dxa"/>
          </w:tcPr>
          <w:p w14:paraId="03384ADA" w14:textId="77777777" w:rsidR="001346F1" w:rsidRPr="000C0B6C" w:rsidRDefault="001346F1" w:rsidP="001346F1"/>
        </w:tc>
        <w:tc>
          <w:tcPr>
            <w:tcW w:w="8139" w:type="dxa"/>
            <w:gridSpan w:val="2"/>
          </w:tcPr>
          <w:p w14:paraId="219C3642" w14:textId="77777777" w:rsidR="001346F1" w:rsidRPr="000C0B6C" w:rsidRDefault="001346F1" w:rsidP="001346F1"/>
        </w:tc>
      </w:tr>
      <w:tr w:rsidR="001346F1" w:rsidRPr="000C0B6C" w14:paraId="0D3F0894" w14:textId="77777777" w:rsidTr="009251C2">
        <w:trPr>
          <w:trHeight w:val="224"/>
        </w:trPr>
        <w:tc>
          <w:tcPr>
            <w:tcW w:w="818" w:type="dxa"/>
          </w:tcPr>
          <w:p w14:paraId="021FCAB6" w14:textId="77777777" w:rsidR="001346F1" w:rsidRPr="000C0B6C" w:rsidRDefault="001346F1" w:rsidP="001346F1"/>
        </w:tc>
        <w:tc>
          <w:tcPr>
            <w:tcW w:w="1231" w:type="dxa"/>
          </w:tcPr>
          <w:p w14:paraId="18B05321" w14:textId="77777777" w:rsidR="001346F1" w:rsidRPr="000C0B6C" w:rsidRDefault="001346F1" w:rsidP="001346F1"/>
        </w:tc>
        <w:tc>
          <w:tcPr>
            <w:tcW w:w="8139" w:type="dxa"/>
            <w:gridSpan w:val="2"/>
          </w:tcPr>
          <w:p w14:paraId="3F71D682" w14:textId="77777777" w:rsidR="001346F1" w:rsidRPr="000C0B6C" w:rsidRDefault="001346F1" w:rsidP="001346F1"/>
        </w:tc>
      </w:tr>
      <w:tr w:rsidR="001346F1" w:rsidRPr="000C0B6C" w14:paraId="1BEC6B92" w14:textId="77777777" w:rsidTr="009251C2">
        <w:trPr>
          <w:trHeight w:val="224"/>
        </w:trPr>
        <w:tc>
          <w:tcPr>
            <w:tcW w:w="818" w:type="dxa"/>
          </w:tcPr>
          <w:p w14:paraId="3428EEEB" w14:textId="77777777" w:rsidR="001346F1" w:rsidRPr="000C0B6C" w:rsidRDefault="001346F1" w:rsidP="001346F1"/>
        </w:tc>
        <w:tc>
          <w:tcPr>
            <w:tcW w:w="1231" w:type="dxa"/>
          </w:tcPr>
          <w:p w14:paraId="216280D8" w14:textId="77777777" w:rsidR="001346F1" w:rsidRPr="000C0B6C" w:rsidRDefault="001346F1" w:rsidP="001346F1"/>
        </w:tc>
        <w:tc>
          <w:tcPr>
            <w:tcW w:w="8139" w:type="dxa"/>
            <w:gridSpan w:val="2"/>
          </w:tcPr>
          <w:p w14:paraId="5AF59F48" w14:textId="77777777" w:rsidR="001346F1" w:rsidRPr="000C0B6C" w:rsidRDefault="001346F1" w:rsidP="001346F1"/>
        </w:tc>
      </w:tr>
      <w:tr w:rsidR="001346F1" w:rsidRPr="000C0B6C" w14:paraId="4C53569F" w14:textId="77777777" w:rsidTr="009251C2">
        <w:trPr>
          <w:trHeight w:val="224"/>
        </w:trPr>
        <w:tc>
          <w:tcPr>
            <w:tcW w:w="818" w:type="dxa"/>
          </w:tcPr>
          <w:p w14:paraId="5ACD88D5" w14:textId="77777777" w:rsidR="001346F1" w:rsidRPr="000C0B6C" w:rsidRDefault="001346F1" w:rsidP="001346F1"/>
        </w:tc>
        <w:tc>
          <w:tcPr>
            <w:tcW w:w="1231" w:type="dxa"/>
          </w:tcPr>
          <w:p w14:paraId="1A074978" w14:textId="77777777" w:rsidR="001346F1" w:rsidRPr="000C0B6C" w:rsidRDefault="001346F1" w:rsidP="001346F1"/>
        </w:tc>
        <w:tc>
          <w:tcPr>
            <w:tcW w:w="8139" w:type="dxa"/>
            <w:gridSpan w:val="2"/>
          </w:tcPr>
          <w:p w14:paraId="249A3E43" w14:textId="77777777" w:rsidR="001346F1" w:rsidRPr="000C0B6C" w:rsidRDefault="001346F1" w:rsidP="001346F1">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7" w:history="1">
        <w:r w:rsidRPr="00624FAA">
          <w:rPr>
            <w:rStyle w:val="Hipervnculo"/>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047AF"/>
    <w:rsid w:val="001346F1"/>
    <w:rsid w:val="00236608"/>
    <w:rsid w:val="002B0FFE"/>
    <w:rsid w:val="00334544"/>
    <w:rsid w:val="003B08FB"/>
    <w:rsid w:val="004056FD"/>
    <w:rsid w:val="0044114A"/>
    <w:rsid w:val="00504926"/>
    <w:rsid w:val="005166C2"/>
    <w:rsid w:val="0053118E"/>
    <w:rsid w:val="005324AB"/>
    <w:rsid w:val="006060BF"/>
    <w:rsid w:val="006125AA"/>
    <w:rsid w:val="006D6F86"/>
    <w:rsid w:val="00790F3D"/>
    <w:rsid w:val="00863B07"/>
    <w:rsid w:val="008A3AF3"/>
    <w:rsid w:val="008C7855"/>
    <w:rsid w:val="008E7015"/>
    <w:rsid w:val="009E75BC"/>
    <w:rsid w:val="00A51FA4"/>
    <w:rsid w:val="00AC6B69"/>
    <w:rsid w:val="00AF4AD0"/>
    <w:rsid w:val="00B319A0"/>
    <w:rsid w:val="00B51493"/>
    <w:rsid w:val="00BD481F"/>
    <w:rsid w:val="00D93CCA"/>
    <w:rsid w:val="00DB20C0"/>
    <w:rsid w:val="00DC67C8"/>
    <w:rsid w:val="00F90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45387">
      <w:bodyDiv w:val="1"/>
      <w:marLeft w:val="0"/>
      <w:marRight w:val="0"/>
      <w:marTop w:val="0"/>
      <w:marBottom w:val="0"/>
      <w:divBdr>
        <w:top w:val="none" w:sz="0" w:space="0" w:color="auto"/>
        <w:left w:val="none" w:sz="0" w:space="0" w:color="auto"/>
        <w:bottom w:val="none" w:sz="0" w:space="0" w:color="auto"/>
        <w:right w:val="none" w:sz="0" w:space="0" w:color="auto"/>
      </w:divBdr>
    </w:div>
    <w:div w:id="937372447">
      <w:bodyDiv w:val="1"/>
      <w:marLeft w:val="0"/>
      <w:marRight w:val="0"/>
      <w:marTop w:val="0"/>
      <w:marBottom w:val="0"/>
      <w:divBdr>
        <w:top w:val="none" w:sz="0" w:space="0" w:color="auto"/>
        <w:left w:val="none" w:sz="0" w:space="0" w:color="auto"/>
        <w:bottom w:val="none" w:sz="0" w:space="0" w:color="auto"/>
        <w:right w:val="none" w:sz="0" w:space="0" w:color="auto"/>
      </w:divBdr>
    </w:div>
    <w:div w:id="1701934151">
      <w:bodyDiv w:val="1"/>
      <w:marLeft w:val="0"/>
      <w:marRight w:val="0"/>
      <w:marTop w:val="0"/>
      <w:marBottom w:val="0"/>
      <w:divBdr>
        <w:top w:val="none" w:sz="0" w:space="0" w:color="auto"/>
        <w:left w:val="none" w:sz="0" w:space="0" w:color="auto"/>
        <w:bottom w:val="none" w:sz="0" w:space="0" w:color="auto"/>
        <w:right w:val="none" w:sz="0" w:space="0" w:color="auto"/>
      </w:divBdr>
    </w:div>
    <w:div w:id="17975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2205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SRE - DGTG</cp:lastModifiedBy>
  <cp:revision>2</cp:revision>
  <dcterms:created xsi:type="dcterms:W3CDTF">2020-08-14T23:25:00Z</dcterms:created>
  <dcterms:modified xsi:type="dcterms:W3CDTF">2020-08-14T23:25:00Z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