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70B78" w14:textId="77777777"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2030agenda for sustainable development</w:t>
      </w:r>
    </w:p>
    <w:p w14:paraId="659FDEFF" w14:textId="77777777" w:rsidR="00236608" w:rsidRDefault="00236608" w:rsidP="00236608">
      <w:pPr>
        <w:pStyle w:val="Default"/>
        <w:jc w:val="center"/>
        <w:rPr>
          <w:b/>
          <w:sz w:val="22"/>
          <w:szCs w:val="22"/>
          <w:u w:val="single"/>
        </w:rPr>
      </w:pPr>
    </w:p>
    <w:p w14:paraId="413AC5C3" w14:textId="77777777" w:rsidR="00236608" w:rsidRDefault="00236608" w:rsidP="00236608">
      <w:pPr>
        <w:pStyle w:val="Default"/>
        <w:jc w:val="center"/>
        <w:rPr>
          <w:b/>
          <w:sz w:val="22"/>
          <w:szCs w:val="22"/>
          <w:u w:val="single"/>
        </w:rPr>
      </w:pPr>
      <w:r>
        <w:rPr>
          <w:b/>
          <w:sz w:val="22"/>
          <w:szCs w:val="22"/>
          <w:u w:val="single"/>
        </w:rPr>
        <w:t>TEMPLATE FOR COMMENTS</w:t>
      </w:r>
    </w:p>
    <w:p w14:paraId="06C19D9D"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3A400559" w14:textId="77777777" w:rsidTr="009251C2">
        <w:trPr>
          <w:trHeight w:val="233"/>
        </w:trPr>
        <w:tc>
          <w:tcPr>
            <w:tcW w:w="10188" w:type="dxa"/>
            <w:gridSpan w:val="4"/>
            <w:shd w:val="clear" w:color="auto" w:fill="C0C0C0"/>
          </w:tcPr>
          <w:p w14:paraId="4CC8465C" w14:textId="77777777" w:rsidR="00236608" w:rsidRPr="000C0B6C" w:rsidRDefault="00236608" w:rsidP="009251C2">
            <w:pPr>
              <w:jc w:val="center"/>
              <w:rPr>
                <w:i/>
              </w:rPr>
            </w:pPr>
            <w:r w:rsidRPr="000C0B6C">
              <w:rPr>
                <w:i/>
              </w:rPr>
              <w:t>Contact information</w:t>
            </w:r>
          </w:p>
        </w:tc>
      </w:tr>
      <w:tr w:rsidR="00D12A5D" w:rsidRPr="000C0B6C" w14:paraId="58BD19AB" w14:textId="77777777" w:rsidTr="009251C2">
        <w:trPr>
          <w:trHeight w:val="270"/>
        </w:trPr>
        <w:tc>
          <w:tcPr>
            <w:tcW w:w="4086" w:type="dxa"/>
            <w:gridSpan w:val="3"/>
          </w:tcPr>
          <w:p w14:paraId="4519FD93" w14:textId="77777777" w:rsidR="00D12A5D" w:rsidRPr="000C0B6C" w:rsidRDefault="00D12A5D" w:rsidP="00D12A5D">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1121CCDE" w14:textId="77777777" w:rsidR="00D12A5D" w:rsidRPr="000C0B6C" w:rsidRDefault="00D12A5D" w:rsidP="00D12A5D">
            <w:r>
              <w:t>Bajpayee</w:t>
            </w:r>
          </w:p>
        </w:tc>
      </w:tr>
      <w:tr w:rsidR="00D12A5D" w:rsidRPr="000C0B6C" w14:paraId="5406CF3B" w14:textId="77777777" w:rsidTr="009251C2">
        <w:trPr>
          <w:trHeight w:val="270"/>
        </w:trPr>
        <w:tc>
          <w:tcPr>
            <w:tcW w:w="4086" w:type="dxa"/>
            <w:gridSpan w:val="3"/>
          </w:tcPr>
          <w:p w14:paraId="698E97B9" w14:textId="77777777" w:rsidR="00D12A5D" w:rsidRPr="000C0B6C" w:rsidRDefault="00D12A5D" w:rsidP="00D12A5D">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1E5F95E9" w14:textId="77777777" w:rsidR="00D12A5D" w:rsidRPr="000C0B6C" w:rsidRDefault="00D12A5D" w:rsidP="00D12A5D">
            <w:r>
              <w:t xml:space="preserve">Dr. Sujit Kumar </w:t>
            </w:r>
          </w:p>
        </w:tc>
      </w:tr>
      <w:tr w:rsidR="00D12A5D" w:rsidRPr="000C0B6C" w14:paraId="7F438ACC" w14:textId="77777777" w:rsidTr="009251C2">
        <w:trPr>
          <w:trHeight w:val="280"/>
        </w:trPr>
        <w:tc>
          <w:tcPr>
            <w:tcW w:w="4086" w:type="dxa"/>
            <w:gridSpan w:val="3"/>
          </w:tcPr>
          <w:p w14:paraId="2448DE21" w14:textId="77777777" w:rsidR="00D12A5D" w:rsidRPr="000C0B6C" w:rsidRDefault="00D12A5D" w:rsidP="00D12A5D">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1A7E6DB5" w14:textId="77777777" w:rsidR="00D12A5D" w:rsidRPr="000C0B6C" w:rsidRDefault="00D12A5D" w:rsidP="00D12A5D">
            <w:r>
              <w:t>Government (National Focal Point)</w:t>
            </w:r>
          </w:p>
        </w:tc>
      </w:tr>
      <w:tr w:rsidR="00D12A5D" w:rsidRPr="000C0B6C" w14:paraId="39530339" w14:textId="77777777" w:rsidTr="009251C2">
        <w:trPr>
          <w:trHeight w:val="270"/>
        </w:trPr>
        <w:tc>
          <w:tcPr>
            <w:tcW w:w="4086" w:type="dxa"/>
            <w:gridSpan w:val="3"/>
          </w:tcPr>
          <w:p w14:paraId="5D30B057" w14:textId="77777777" w:rsidR="00D12A5D" w:rsidRPr="000C0B6C" w:rsidRDefault="00D12A5D" w:rsidP="00D12A5D">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2FE9D9BD" w14:textId="77777777" w:rsidR="00D12A5D" w:rsidRPr="000C0B6C" w:rsidRDefault="00D12A5D" w:rsidP="00D12A5D">
            <w:r>
              <w:t xml:space="preserve">Ministry of Environment, Forest and </w:t>
            </w:r>
            <w:proofErr w:type="spellStart"/>
            <w:r>
              <w:t>and</w:t>
            </w:r>
            <w:proofErr w:type="spellEnd"/>
            <w:r>
              <w:t xml:space="preserve"> Climate Change</w:t>
            </w:r>
          </w:p>
        </w:tc>
      </w:tr>
      <w:tr w:rsidR="00D12A5D" w:rsidRPr="000C0B6C" w14:paraId="565377C3" w14:textId="77777777" w:rsidTr="009251C2">
        <w:trPr>
          <w:trHeight w:val="280"/>
        </w:trPr>
        <w:tc>
          <w:tcPr>
            <w:tcW w:w="4086" w:type="dxa"/>
            <w:gridSpan w:val="3"/>
          </w:tcPr>
          <w:p w14:paraId="40AF7A33" w14:textId="77777777" w:rsidR="00D12A5D" w:rsidRPr="000C0B6C" w:rsidRDefault="00D12A5D" w:rsidP="00D12A5D">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26EFBDDC" w14:textId="761E773B" w:rsidR="00D12A5D" w:rsidRPr="000C0B6C" w:rsidRDefault="009A2D84" w:rsidP="00D12A5D">
            <w:r>
              <w:t>1</w:t>
            </w:r>
            <w:r w:rsidRPr="009A2D84">
              <w:rPr>
                <w:vertAlign w:val="superscript"/>
              </w:rPr>
              <w:t>st</w:t>
            </w:r>
            <w:r>
              <w:t xml:space="preserve"> </w:t>
            </w:r>
            <w:r w:rsidR="00D12A5D">
              <w:t xml:space="preserve">Floor, Prithvi Block, Indira </w:t>
            </w:r>
            <w:proofErr w:type="spellStart"/>
            <w:r w:rsidR="00D12A5D">
              <w:t>Paryavaran</w:t>
            </w:r>
            <w:proofErr w:type="spellEnd"/>
            <w:r w:rsidR="00D12A5D">
              <w:t xml:space="preserve"> Bhawan, </w:t>
            </w:r>
            <w:proofErr w:type="spellStart"/>
            <w:r w:rsidR="00D12A5D">
              <w:t>Jor</w:t>
            </w:r>
            <w:proofErr w:type="spellEnd"/>
            <w:r w:rsidR="00D12A5D">
              <w:t xml:space="preserve"> Bagh Road,</w:t>
            </w:r>
          </w:p>
        </w:tc>
      </w:tr>
      <w:tr w:rsidR="00D12A5D" w:rsidRPr="000C0B6C" w14:paraId="0C83714D" w14:textId="77777777" w:rsidTr="009251C2">
        <w:trPr>
          <w:trHeight w:val="270"/>
        </w:trPr>
        <w:tc>
          <w:tcPr>
            <w:tcW w:w="4086" w:type="dxa"/>
            <w:gridSpan w:val="3"/>
          </w:tcPr>
          <w:p w14:paraId="5B2661AF" w14:textId="77777777" w:rsidR="00D12A5D" w:rsidRPr="000C0B6C" w:rsidRDefault="00D12A5D" w:rsidP="00D12A5D">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6A7E5B5A" w14:textId="77777777" w:rsidR="00D12A5D" w:rsidRPr="000C0B6C" w:rsidRDefault="00D12A5D" w:rsidP="00D12A5D">
            <w:r>
              <w:t>New Delhi 110003</w:t>
            </w:r>
          </w:p>
        </w:tc>
      </w:tr>
      <w:tr w:rsidR="00D12A5D" w:rsidRPr="000C0B6C" w14:paraId="5DC96F1C" w14:textId="77777777" w:rsidTr="009251C2">
        <w:trPr>
          <w:trHeight w:val="280"/>
        </w:trPr>
        <w:tc>
          <w:tcPr>
            <w:tcW w:w="4086" w:type="dxa"/>
            <w:gridSpan w:val="3"/>
          </w:tcPr>
          <w:p w14:paraId="299E5624" w14:textId="77777777" w:rsidR="00D12A5D" w:rsidRPr="000C0B6C" w:rsidRDefault="00D12A5D" w:rsidP="00D12A5D">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3A5B5B46" w14:textId="77777777" w:rsidR="00D12A5D" w:rsidRPr="000C0B6C" w:rsidRDefault="00D12A5D" w:rsidP="00D12A5D">
            <w:r>
              <w:t>India</w:t>
            </w:r>
          </w:p>
        </w:tc>
      </w:tr>
      <w:tr w:rsidR="00D12A5D" w:rsidRPr="000C0B6C" w14:paraId="0F0E1AE1" w14:textId="77777777" w:rsidTr="009251C2">
        <w:trPr>
          <w:trHeight w:val="233"/>
        </w:trPr>
        <w:tc>
          <w:tcPr>
            <w:tcW w:w="4086" w:type="dxa"/>
            <w:gridSpan w:val="3"/>
          </w:tcPr>
          <w:p w14:paraId="13B8677B" w14:textId="77777777" w:rsidR="00D12A5D" w:rsidRPr="000C0B6C" w:rsidRDefault="00D12A5D" w:rsidP="00D12A5D">
            <w:pPr>
              <w:pStyle w:val="CommentSubject"/>
              <w:rPr>
                <w:sz w:val="22"/>
                <w:szCs w:val="22"/>
              </w:rPr>
            </w:pPr>
            <w:r w:rsidRPr="000C0B6C">
              <w:rPr>
                <w:sz w:val="22"/>
                <w:szCs w:val="22"/>
              </w:rPr>
              <w:t>E-mail:</w:t>
            </w:r>
          </w:p>
        </w:tc>
        <w:tc>
          <w:tcPr>
            <w:tcW w:w="6102" w:type="dxa"/>
          </w:tcPr>
          <w:p w14:paraId="24669926" w14:textId="1A0EBE6A" w:rsidR="00D12A5D" w:rsidRPr="000C0B6C" w:rsidRDefault="009A2D84" w:rsidP="00D12A5D">
            <w:hyperlink r:id="rId10" w:history="1">
              <w:r w:rsidRPr="00D030FE">
                <w:rPr>
                  <w:rStyle w:val="Hyperlink"/>
                </w:rPr>
                <w:t>sujit.baju@gov.in</w:t>
              </w:r>
            </w:hyperlink>
          </w:p>
        </w:tc>
      </w:tr>
      <w:tr w:rsidR="00236608" w:rsidRPr="000C0B6C" w14:paraId="7EF325D7" w14:textId="77777777" w:rsidTr="009251C2">
        <w:trPr>
          <w:trHeight w:val="224"/>
        </w:trPr>
        <w:tc>
          <w:tcPr>
            <w:tcW w:w="10188" w:type="dxa"/>
            <w:gridSpan w:val="4"/>
            <w:shd w:val="clear" w:color="auto" w:fill="C0C0C0"/>
          </w:tcPr>
          <w:p w14:paraId="2B29D593" w14:textId="77777777" w:rsidR="00236608" w:rsidRPr="000C0B6C" w:rsidRDefault="00236608" w:rsidP="009251C2">
            <w:pPr>
              <w:jc w:val="center"/>
              <w:rPr>
                <w:b/>
                <w:i/>
              </w:rPr>
            </w:pPr>
            <w:r w:rsidRPr="000C0B6C">
              <w:rPr>
                <w:b/>
                <w:i/>
                <w:highlight w:val="lightGray"/>
              </w:rPr>
              <w:t>Comments</w:t>
            </w:r>
          </w:p>
        </w:tc>
      </w:tr>
      <w:tr w:rsidR="00236608" w:rsidRPr="000C0B6C" w14:paraId="797BE681" w14:textId="77777777" w:rsidTr="009251C2">
        <w:trPr>
          <w:trHeight w:val="224"/>
        </w:trPr>
        <w:tc>
          <w:tcPr>
            <w:tcW w:w="818" w:type="dxa"/>
          </w:tcPr>
          <w:p w14:paraId="50FFA736" w14:textId="77777777" w:rsidR="00236608" w:rsidRPr="000C0B6C" w:rsidRDefault="00236608" w:rsidP="009251C2">
            <w:pPr>
              <w:rPr>
                <w:b/>
              </w:rPr>
            </w:pPr>
            <w:r w:rsidRPr="000C0B6C">
              <w:rPr>
                <w:b/>
                <w:sz w:val="22"/>
                <w:szCs w:val="22"/>
              </w:rPr>
              <w:t xml:space="preserve">Page </w:t>
            </w:r>
          </w:p>
        </w:tc>
        <w:tc>
          <w:tcPr>
            <w:tcW w:w="1231" w:type="dxa"/>
          </w:tcPr>
          <w:p w14:paraId="7ABE9110" w14:textId="77777777" w:rsidR="00236608" w:rsidRPr="000C0B6C" w:rsidRDefault="00236608" w:rsidP="009251C2">
            <w:pPr>
              <w:rPr>
                <w:b/>
              </w:rPr>
            </w:pPr>
            <w:r>
              <w:rPr>
                <w:b/>
                <w:sz w:val="22"/>
                <w:szCs w:val="22"/>
              </w:rPr>
              <w:t>Paragraph</w:t>
            </w:r>
          </w:p>
        </w:tc>
        <w:tc>
          <w:tcPr>
            <w:tcW w:w="8139" w:type="dxa"/>
            <w:gridSpan w:val="2"/>
          </w:tcPr>
          <w:p w14:paraId="7BD019D4" w14:textId="77777777" w:rsidR="00236608" w:rsidRPr="000C0B6C" w:rsidRDefault="00236608" w:rsidP="009251C2">
            <w:pPr>
              <w:rPr>
                <w:b/>
              </w:rPr>
            </w:pPr>
            <w:r w:rsidRPr="000C0B6C">
              <w:rPr>
                <w:b/>
                <w:sz w:val="22"/>
                <w:szCs w:val="22"/>
              </w:rPr>
              <w:t>Comment</w:t>
            </w:r>
          </w:p>
        </w:tc>
      </w:tr>
      <w:tr w:rsidR="00236608" w:rsidRPr="000C0B6C" w14:paraId="51A5EB44" w14:textId="77777777" w:rsidTr="009251C2">
        <w:trPr>
          <w:trHeight w:val="233"/>
        </w:trPr>
        <w:tc>
          <w:tcPr>
            <w:tcW w:w="818" w:type="dxa"/>
          </w:tcPr>
          <w:p w14:paraId="2146D2E2" w14:textId="77777777" w:rsidR="00236608" w:rsidRPr="00255EA4" w:rsidRDefault="00CB450C" w:rsidP="00255EA4">
            <w:r w:rsidRPr="00255EA4">
              <w:rPr>
                <w:sz w:val="22"/>
                <w:szCs w:val="22"/>
              </w:rPr>
              <w:t>0</w:t>
            </w:r>
          </w:p>
        </w:tc>
        <w:tc>
          <w:tcPr>
            <w:tcW w:w="1231" w:type="dxa"/>
          </w:tcPr>
          <w:p w14:paraId="3514F0DC" w14:textId="77777777" w:rsidR="00236608" w:rsidRPr="00255EA4" w:rsidRDefault="00F1613E" w:rsidP="00255EA4">
            <w:r w:rsidRPr="00255EA4">
              <w:rPr>
                <w:sz w:val="22"/>
                <w:szCs w:val="22"/>
              </w:rPr>
              <w:t>Goal A</w:t>
            </w:r>
          </w:p>
        </w:tc>
        <w:tc>
          <w:tcPr>
            <w:tcW w:w="8139" w:type="dxa"/>
            <w:gridSpan w:val="2"/>
          </w:tcPr>
          <w:p w14:paraId="7F68E9B5" w14:textId="77777777" w:rsidR="00CB450C" w:rsidRPr="00255EA4" w:rsidRDefault="00CB450C" w:rsidP="00255EA4">
            <w:pPr>
              <w:pStyle w:val="TableParagraph"/>
              <w:ind w:left="0"/>
              <w:jc w:val="both"/>
            </w:pPr>
            <w:r w:rsidRPr="00255EA4">
              <w:t>Goal 2 of SDG</w:t>
            </w:r>
            <w:r w:rsidR="00C96412" w:rsidRPr="00255EA4">
              <w:t xml:space="preserve"> (Zero hunger</w:t>
            </w:r>
            <w:r w:rsidR="00F9518E" w:rsidRPr="00255EA4">
              <w:t>)</w:t>
            </w:r>
            <w:r w:rsidRPr="00255EA4">
              <w:t xml:space="preserve"> may be included as relevant goal with Goal A, as the SDG Target 2.5 provides for </w:t>
            </w:r>
            <w:r w:rsidR="00F1613E" w:rsidRPr="00255EA4">
              <w:t>‘</w:t>
            </w:r>
            <w:r w:rsidRPr="00255EA4">
              <w:t>maintaining genetic diversity of wild species along with other species</w:t>
            </w:r>
            <w:r w:rsidR="00F1613E" w:rsidRPr="00255EA4">
              <w:t>’</w:t>
            </w:r>
            <w:r w:rsidRPr="00255EA4">
              <w:t>.</w:t>
            </w:r>
          </w:p>
          <w:p w14:paraId="76DAB106" w14:textId="77777777" w:rsidR="00C016D5" w:rsidRPr="00255EA4" w:rsidRDefault="00C016D5" w:rsidP="00255EA4">
            <w:pPr>
              <w:jc w:val="both"/>
              <w:rPr>
                <w:b/>
                <w:color w:val="00B0F0"/>
              </w:rPr>
            </w:pPr>
          </w:p>
          <w:p w14:paraId="3EC61F27" w14:textId="77777777" w:rsidR="00236608" w:rsidRPr="00255EA4" w:rsidRDefault="00C016D5" w:rsidP="00255EA4">
            <w:pPr>
              <w:jc w:val="both"/>
            </w:pPr>
            <w:r w:rsidRPr="00255EA4">
              <w:rPr>
                <w:bCs/>
                <w:sz w:val="22"/>
                <w:szCs w:val="22"/>
              </w:rPr>
              <w:t>M</w:t>
            </w:r>
            <w:r w:rsidR="00CB450C" w:rsidRPr="00255EA4">
              <w:rPr>
                <w:bCs/>
                <w:sz w:val="22"/>
                <w:szCs w:val="22"/>
              </w:rPr>
              <w:t>apping of GBF</w:t>
            </w:r>
            <w:r w:rsidR="00CB7041" w:rsidRPr="00255EA4">
              <w:rPr>
                <w:bCs/>
                <w:sz w:val="22"/>
                <w:szCs w:val="22"/>
              </w:rPr>
              <w:t xml:space="preserve"> Goal-A with SDG Goals –6,</w:t>
            </w:r>
            <w:r w:rsidR="00E65F04" w:rsidRPr="00255EA4">
              <w:rPr>
                <w:bCs/>
                <w:sz w:val="22"/>
                <w:szCs w:val="22"/>
              </w:rPr>
              <w:t>13,</w:t>
            </w:r>
            <w:r w:rsidR="00CB450C" w:rsidRPr="00255EA4">
              <w:rPr>
                <w:bCs/>
                <w:sz w:val="22"/>
                <w:szCs w:val="22"/>
              </w:rPr>
              <w:t>14, 15 has been done showing linkages</w:t>
            </w:r>
            <w:r w:rsidR="00335489" w:rsidRPr="00255EA4">
              <w:rPr>
                <w:bCs/>
                <w:sz w:val="22"/>
                <w:szCs w:val="22"/>
              </w:rPr>
              <w:t>.</w:t>
            </w:r>
            <w:r w:rsidR="00CB450C" w:rsidRPr="00255EA4">
              <w:rPr>
                <w:bCs/>
                <w:sz w:val="22"/>
                <w:szCs w:val="22"/>
              </w:rPr>
              <w:t xml:space="preserve"> </w:t>
            </w:r>
            <w:r w:rsidR="00E65F04" w:rsidRPr="00255EA4">
              <w:rPr>
                <w:bCs/>
                <w:sz w:val="22"/>
                <w:szCs w:val="22"/>
              </w:rPr>
              <w:t xml:space="preserve">Linkages between </w:t>
            </w:r>
            <w:r w:rsidR="00CB450C" w:rsidRPr="00255EA4">
              <w:rPr>
                <w:bCs/>
                <w:sz w:val="22"/>
                <w:szCs w:val="22"/>
              </w:rPr>
              <w:t>SDG-13 against Goal-A of biodiversity framework appears to be weak. In other words, there is a weak link between Goal-A, the global biodiversity framework and SDG-13 i.e.</w:t>
            </w:r>
            <w:r w:rsidR="0021244F" w:rsidRPr="00255EA4">
              <w:rPr>
                <w:bCs/>
                <w:sz w:val="22"/>
                <w:szCs w:val="22"/>
              </w:rPr>
              <w:t>, take</w:t>
            </w:r>
            <w:r w:rsidR="00CB450C" w:rsidRPr="00255EA4">
              <w:rPr>
                <w:bCs/>
                <w:sz w:val="22"/>
                <w:szCs w:val="22"/>
              </w:rPr>
              <w:t xml:space="preserve"> urgent action to combat climate change. Therefore, it may not be juxtaposed with GBF Goal-A. </w:t>
            </w:r>
          </w:p>
        </w:tc>
      </w:tr>
      <w:tr w:rsidR="00236608" w:rsidRPr="000C0B6C" w14:paraId="01F7C55E" w14:textId="77777777" w:rsidTr="009251C2">
        <w:trPr>
          <w:trHeight w:val="224"/>
        </w:trPr>
        <w:tc>
          <w:tcPr>
            <w:tcW w:w="818" w:type="dxa"/>
          </w:tcPr>
          <w:p w14:paraId="653F7035" w14:textId="77777777" w:rsidR="00236608" w:rsidRPr="00255EA4" w:rsidRDefault="00CB450C" w:rsidP="00255EA4">
            <w:r w:rsidRPr="00255EA4">
              <w:rPr>
                <w:sz w:val="22"/>
                <w:szCs w:val="22"/>
              </w:rPr>
              <w:t>0</w:t>
            </w:r>
          </w:p>
        </w:tc>
        <w:tc>
          <w:tcPr>
            <w:tcW w:w="1231" w:type="dxa"/>
          </w:tcPr>
          <w:p w14:paraId="4DC09FA8" w14:textId="77777777" w:rsidR="00236608" w:rsidRPr="00255EA4" w:rsidRDefault="009967EC" w:rsidP="00255EA4">
            <w:r w:rsidRPr="00255EA4">
              <w:rPr>
                <w:sz w:val="22"/>
                <w:szCs w:val="22"/>
              </w:rPr>
              <w:t>Goal B</w:t>
            </w:r>
          </w:p>
        </w:tc>
        <w:tc>
          <w:tcPr>
            <w:tcW w:w="8139" w:type="dxa"/>
            <w:gridSpan w:val="2"/>
          </w:tcPr>
          <w:p w14:paraId="71B9DA47" w14:textId="77777777" w:rsidR="00236608" w:rsidRPr="00255EA4" w:rsidRDefault="00FC3E33" w:rsidP="00255EA4">
            <w:pPr>
              <w:pStyle w:val="TableParagraph"/>
              <w:ind w:left="0"/>
              <w:jc w:val="both"/>
            </w:pPr>
            <w:r w:rsidRPr="00255EA4">
              <w:rPr>
                <w:bCs/>
              </w:rPr>
              <w:t>Linking of SDG-4 (Quality educa</w:t>
            </w:r>
            <w:r w:rsidR="007E5A22" w:rsidRPr="00255EA4">
              <w:rPr>
                <w:bCs/>
              </w:rPr>
              <w:t xml:space="preserve">tion) and SDG-9 (Industry, Innovation and Infrastructure) </w:t>
            </w:r>
            <w:r w:rsidR="00CB450C" w:rsidRPr="00255EA4">
              <w:rPr>
                <w:bCs/>
              </w:rPr>
              <w:t>with Goal-B- of GBF appears to be weak</w:t>
            </w:r>
            <w:r w:rsidRPr="00255EA4">
              <w:rPr>
                <w:bCs/>
              </w:rPr>
              <w:t xml:space="preserve"> therefore, it is also proposed for removal. </w:t>
            </w:r>
            <w:r w:rsidR="00CB450C" w:rsidRPr="00255EA4">
              <w:rPr>
                <w:bCs/>
              </w:rPr>
              <w:t xml:space="preserve"> </w:t>
            </w:r>
          </w:p>
        </w:tc>
      </w:tr>
      <w:tr w:rsidR="00236608" w:rsidRPr="000C0B6C" w14:paraId="5D0A3DDC" w14:textId="77777777" w:rsidTr="009251C2">
        <w:trPr>
          <w:trHeight w:val="233"/>
        </w:trPr>
        <w:tc>
          <w:tcPr>
            <w:tcW w:w="818" w:type="dxa"/>
          </w:tcPr>
          <w:p w14:paraId="195B4619" w14:textId="77777777" w:rsidR="00236608" w:rsidRPr="00255EA4" w:rsidRDefault="00E74E8D" w:rsidP="00255EA4">
            <w:r w:rsidRPr="00255EA4">
              <w:rPr>
                <w:sz w:val="22"/>
                <w:szCs w:val="22"/>
              </w:rPr>
              <w:t>0</w:t>
            </w:r>
          </w:p>
        </w:tc>
        <w:tc>
          <w:tcPr>
            <w:tcW w:w="1231" w:type="dxa"/>
          </w:tcPr>
          <w:p w14:paraId="5D9CE13C" w14:textId="77777777" w:rsidR="00236608" w:rsidRPr="00255EA4" w:rsidRDefault="00CB7041" w:rsidP="00255EA4">
            <w:r w:rsidRPr="00255EA4">
              <w:rPr>
                <w:sz w:val="22"/>
                <w:szCs w:val="22"/>
              </w:rPr>
              <w:t>Goal C</w:t>
            </w:r>
          </w:p>
        </w:tc>
        <w:tc>
          <w:tcPr>
            <w:tcW w:w="8139" w:type="dxa"/>
            <w:gridSpan w:val="2"/>
          </w:tcPr>
          <w:p w14:paraId="66799575" w14:textId="77777777" w:rsidR="00236608" w:rsidRPr="00255EA4" w:rsidRDefault="00E74E8D" w:rsidP="00255EA4">
            <w:pPr>
              <w:pStyle w:val="TableParagraph"/>
              <w:ind w:left="0" w:right="226"/>
              <w:jc w:val="both"/>
            </w:pPr>
            <w:r w:rsidRPr="00255EA4">
              <w:t xml:space="preserve">SDG Goal </w:t>
            </w:r>
            <w:r w:rsidR="00CB7041" w:rsidRPr="00255EA4">
              <w:t>8 (</w:t>
            </w:r>
            <w:r w:rsidR="0021244F" w:rsidRPr="00255EA4">
              <w:t>Decent</w:t>
            </w:r>
            <w:r w:rsidR="00052FDC" w:rsidRPr="00255EA4">
              <w:t xml:space="preserve"> work and Economic Growth)</w:t>
            </w:r>
            <w:r w:rsidRPr="00255EA4">
              <w:t xml:space="preserve"> may also be added</w:t>
            </w:r>
            <w:r w:rsidR="00052FDC" w:rsidRPr="00255EA4">
              <w:t xml:space="preserve"> under GBF Goal-C, as access and benefit sharing</w:t>
            </w:r>
            <w:r w:rsidRPr="00255EA4">
              <w:t xml:space="preserve"> mechanism</w:t>
            </w:r>
            <w:r w:rsidR="00052FDC" w:rsidRPr="00255EA4">
              <w:t>(ABS) endeavors to help</w:t>
            </w:r>
            <w:r w:rsidRPr="00255EA4">
              <w:t xml:space="preserve"> in economic growth of marginalized </w:t>
            </w:r>
            <w:r w:rsidR="002E3CB4" w:rsidRPr="00255EA4">
              <w:t>communities’</w:t>
            </w:r>
            <w:r w:rsidRPr="00255EA4">
              <w:t xml:space="preserve"> dependent on natural resources</w:t>
            </w:r>
            <w:r w:rsidR="0021244F" w:rsidRPr="00255EA4">
              <w:t>.</w:t>
            </w:r>
          </w:p>
          <w:p w14:paraId="6167A176" w14:textId="77777777" w:rsidR="00D6250F" w:rsidRPr="00255EA4" w:rsidRDefault="00D6250F" w:rsidP="00255EA4">
            <w:pPr>
              <w:pStyle w:val="TableParagraph"/>
              <w:ind w:left="0" w:right="226"/>
              <w:jc w:val="both"/>
            </w:pPr>
          </w:p>
          <w:p w14:paraId="5FAA24A6" w14:textId="77777777" w:rsidR="002E3CB4" w:rsidRPr="00255EA4" w:rsidRDefault="002E3CB4" w:rsidP="00255EA4">
            <w:pPr>
              <w:pStyle w:val="TableParagraph"/>
              <w:ind w:left="0" w:right="226"/>
              <w:jc w:val="both"/>
              <w:rPr>
                <w:bCs/>
              </w:rPr>
            </w:pPr>
            <w:r w:rsidRPr="00255EA4">
              <w:rPr>
                <w:bCs/>
              </w:rPr>
              <w:t>Mapping of Goal-C of GBF with SDG 6, 7 and 11 ap</w:t>
            </w:r>
            <w:r w:rsidR="00F7279F" w:rsidRPr="00255EA4">
              <w:rPr>
                <w:bCs/>
              </w:rPr>
              <w:t xml:space="preserve">pears to be weak, therefore, it is proposed for removal. </w:t>
            </w:r>
          </w:p>
          <w:p w14:paraId="1D4CED04" w14:textId="77777777" w:rsidR="00D6250F" w:rsidRPr="00255EA4" w:rsidRDefault="00D6250F" w:rsidP="00255EA4">
            <w:pPr>
              <w:pStyle w:val="TableParagraph"/>
              <w:ind w:left="0" w:right="226"/>
              <w:jc w:val="both"/>
              <w:rPr>
                <w:bCs/>
              </w:rPr>
            </w:pPr>
          </w:p>
          <w:p w14:paraId="2B2D7DD5" w14:textId="77777777" w:rsidR="00D6250F" w:rsidRPr="00255EA4" w:rsidRDefault="00D6250F" w:rsidP="00255EA4">
            <w:r w:rsidRPr="00255EA4">
              <w:rPr>
                <w:sz w:val="22"/>
                <w:szCs w:val="22"/>
              </w:rPr>
              <w:t>Addition proposed:</w:t>
            </w:r>
          </w:p>
          <w:p w14:paraId="0B4123E2" w14:textId="77777777" w:rsidR="00F7279F" w:rsidRPr="00255EA4" w:rsidRDefault="00D6250F" w:rsidP="00255EA4">
            <w:pPr>
              <w:pStyle w:val="TableParagraph"/>
              <w:ind w:left="0" w:right="226"/>
              <w:jc w:val="both"/>
            </w:pPr>
            <w:r w:rsidRPr="00255EA4">
              <w:t>SDG 14 (</w:t>
            </w:r>
            <w:r w:rsidR="008407C3" w:rsidRPr="00255EA4">
              <w:t>Life below</w:t>
            </w:r>
            <w:r w:rsidRPr="00255EA4">
              <w:t xml:space="preserve"> water) may be added under Goal C. Oceans and seas account for significant portion of biodiversity that are yet to be discovered than on the land. Under the Goal 14 of SDG, the target 14.a lays emphasis on the increase of scientific knowledge, capacity development and transfer of technology that help not only in improving ocean health but aimed to share the benefit is in conformity with the Goal C.</w:t>
            </w:r>
          </w:p>
        </w:tc>
      </w:tr>
      <w:tr w:rsidR="00E2497F" w:rsidRPr="000C0B6C" w14:paraId="61362A0D" w14:textId="77777777" w:rsidTr="009251C2">
        <w:trPr>
          <w:trHeight w:val="233"/>
        </w:trPr>
        <w:tc>
          <w:tcPr>
            <w:tcW w:w="818" w:type="dxa"/>
          </w:tcPr>
          <w:p w14:paraId="6CF419EE" w14:textId="77777777" w:rsidR="00E2497F" w:rsidRPr="00255EA4" w:rsidRDefault="00E2497F" w:rsidP="00255EA4">
            <w:r w:rsidRPr="00255EA4">
              <w:rPr>
                <w:sz w:val="22"/>
                <w:szCs w:val="22"/>
              </w:rPr>
              <w:t>0</w:t>
            </w:r>
          </w:p>
        </w:tc>
        <w:tc>
          <w:tcPr>
            <w:tcW w:w="1231" w:type="dxa"/>
          </w:tcPr>
          <w:p w14:paraId="6B93A6B6" w14:textId="77777777" w:rsidR="00E2497F" w:rsidRPr="00255EA4" w:rsidRDefault="00E2497F" w:rsidP="00255EA4">
            <w:r w:rsidRPr="00255EA4">
              <w:rPr>
                <w:sz w:val="22"/>
                <w:szCs w:val="22"/>
              </w:rPr>
              <w:t>Goal D</w:t>
            </w:r>
          </w:p>
        </w:tc>
        <w:tc>
          <w:tcPr>
            <w:tcW w:w="8139" w:type="dxa"/>
            <w:gridSpan w:val="2"/>
          </w:tcPr>
          <w:p w14:paraId="1A6F79A6" w14:textId="77777777" w:rsidR="00E2497F" w:rsidRPr="00255EA4" w:rsidRDefault="00F8482D" w:rsidP="00255EA4">
            <w:pPr>
              <w:pStyle w:val="TableParagraph"/>
              <w:ind w:left="0" w:right="226"/>
              <w:jc w:val="both"/>
              <w:rPr>
                <w:bCs/>
              </w:rPr>
            </w:pPr>
            <w:r w:rsidRPr="00255EA4">
              <w:t xml:space="preserve">SDG 14 (Life below water) may be added under Goal C. </w:t>
            </w:r>
            <w:r w:rsidRPr="00255EA4">
              <w:rPr>
                <w:bCs/>
              </w:rPr>
              <w:t xml:space="preserve">The outcome of the SDG indicator 14.a.1 of the target 14.a under the SDG 14 is highly relevant to the realization of this GBF Goal-D as there is a specific framework for – Increase of scientific knowledge, develop research capacity and transfer marine technology, taking into </w:t>
            </w:r>
            <w:r w:rsidRPr="00255EA4">
              <w:rPr>
                <w:bCs/>
              </w:rPr>
              <w:lastRenderedPageBreak/>
              <w:t>account the Intergovernmental Oceanographic Commission Criteria and Guidelines on the Transfer of Marine Technology, in order to improve ocean health and to enhance the contribution of marine biodiversity to the development of developing countries.</w:t>
            </w:r>
          </w:p>
          <w:p w14:paraId="419A8D93" w14:textId="77777777" w:rsidR="006D252B" w:rsidRPr="00255EA4" w:rsidRDefault="006D252B" w:rsidP="00255EA4">
            <w:pPr>
              <w:pStyle w:val="TableParagraph"/>
              <w:ind w:left="0" w:right="226"/>
              <w:jc w:val="both"/>
            </w:pPr>
          </w:p>
        </w:tc>
      </w:tr>
      <w:tr w:rsidR="00236608" w:rsidRPr="000C0B6C" w14:paraId="7D3A5AA9" w14:textId="77777777" w:rsidTr="009251C2">
        <w:trPr>
          <w:trHeight w:val="224"/>
        </w:trPr>
        <w:tc>
          <w:tcPr>
            <w:tcW w:w="818" w:type="dxa"/>
          </w:tcPr>
          <w:p w14:paraId="75F812E8" w14:textId="77777777" w:rsidR="00236608" w:rsidRPr="00255EA4" w:rsidRDefault="005C5ABF" w:rsidP="00255EA4">
            <w:r w:rsidRPr="00255EA4">
              <w:rPr>
                <w:sz w:val="22"/>
                <w:szCs w:val="22"/>
              </w:rPr>
              <w:lastRenderedPageBreak/>
              <w:t>4</w:t>
            </w:r>
          </w:p>
        </w:tc>
        <w:tc>
          <w:tcPr>
            <w:tcW w:w="1231" w:type="dxa"/>
          </w:tcPr>
          <w:p w14:paraId="48FA347C" w14:textId="77777777" w:rsidR="00236608" w:rsidRPr="00255EA4" w:rsidRDefault="005C5ABF" w:rsidP="00255EA4">
            <w:r w:rsidRPr="00255EA4">
              <w:rPr>
                <w:sz w:val="22"/>
                <w:szCs w:val="22"/>
              </w:rPr>
              <w:t>Target 1</w:t>
            </w:r>
          </w:p>
          <w:p w14:paraId="41BC4998" w14:textId="77777777" w:rsidR="006D252B" w:rsidRPr="00255EA4" w:rsidRDefault="006D252B" w:rsidP="00255EA4">
            <w:r w:rsidRPr="00255EA4">
              <w:rPr>
                <w:sz w:val="22"/>
                <w:szCs w:val="22"/>
              </w:rPr>
              <w:t>Additions</w:t>
            </w:r>
            <w:r w:rsidR="00DC2150" w:rsidRPr="00255EA4">
              <w:rPr>
                <w:sz w:val="22"/>
                <w:szCs w:val="22"/>
              </w:rPr>
              <w:t xml:space="preserve"> proposed</w:t>
            </w:r>
          </w:p>
          <w:p w14:paraId="6F60302C" w14:textId="77777777" w:rsidR="006D252B" w:rsidRPr="00255EA4" w:rsidRDefault="006D252B" w:rsidP="00255EA4"/>
        </w:tc>
        <w:tc>
          <w:tcPr>
            <w:tcW w:w="8139" w:type="dxa"/>
            <w:gridSpan w:val="2"/>
          </w:tcPr>
          <w:p w14:paraId="5824EDA9" w14:textId="77777777" w:rsidR="00236608" w:rsidRPr="00255EA4" w:rsidRDefault="005C5ABF" w:rsidP="00255EA4">
            <w:pPr>
              <w:pStyle w:val="Default"/>
              <w:spacing w:after="240"/>
              <w:jc w:val="both"/>
              <w:rPr>
                <w:color w:val="auto"/>
                <w:sz w:val="22"/>
                <w:szCs w:val="22"/>
              </w:rPr>
            </w:pPr>
            <w:r w:rsidRPr="00255EA4">
              <w:rPr>
                <w:color w:val="auto"/>
                <w:sz w:val="22"/>
                <w:szCs w:val="22"/>
              </w:rPr>
              <w:t>SDG Target: 15.1 By 2020, ensure the conservation, restoration and sustainable use of terrestrial and inland freshwater ecosystems and their services, in particular forests, wetlands, mountains and drylands, in line with obligations under international agreements</w:t>
            </w:r>
          </w:p>
          <w:p w14:paraId="1BBE58F8" w14:textId="77777777" w:rsidR="00255EA4" w:rsidRPr="00255EA4" w:rsidRDefault="005C5ABF" w:rsidP="00A335AA">
            <w:pPr>
              <w:pStyle w:val="Default"/>
              <w:numPr>
                <w:ilvl w:val="0"/>
                <w:numId w:val="1"/>
              </w:numPr>
              <w:ind w:left="714" w:hanging="357"/>
              <w:jc w:val="both"/>
              <w:rPr>
                <w:color w:val="auto"/>
                <w:sz w:val="22"/>
                <w:szCs w:val="22"/>
              </w:rPr>
            </w:pPr>
            <w:r w:rsidRPr="00255EA4">
              <w:rPr>
                <w:color w:val="auto"/>
                <w:sz w:val="22"/>
                <w:szCs w:val="22"/>
              </w:rPr>
              <w:t>SDG Indicator: 15.1.1 Forest area as a proportion of total land area</w:t>
            </w:r>
          </w:p>
          <w:p w14:paraId="7067DD22" w14:textId="77777777" w:rsidR="005C5ABF" w:rsidRPr="00255EA4" w:rsidRDefault="005C5ABF" w:rsidP="00A335AA">
            <w:pPr>
              <w:pStyle w:val="Default"/>
              <w:numPr>
                <w:ilvl w:val="0"/>
                <w:numId w:val="1"/>
              </w:numPr>
              <w:ind w:left="714" w:hanging="357"/>
              <w:jc w:val="both"/>
              <w:rPr>
                <w:color w:val="auto"/>
                <w:sz w:val="22"/>
                <w:szCs w:val="22"/>
              </w:rPr>
            </w:pPr>
            <w:r w:rsidRPr="00255EA4">
              <w:rPr>
                <w:color w:val="auto"/>
                <w:sz w:val="22"/>
                <w:szCs w:val="22"/>
              </w:rPr>
              <w:t>SDG Indicator: 15.1.2 Proportion of important sites for terrestrial and freshwater biodiversity that are covered by protected areas, by ecosystem type</w:t>
            </w:r>
          </w:p>
          <w:p w14:paraId="5B9B66A6" w14:textId="77777777" w:rsidR="00A335AA" w:rsidRDefault="00A335AA" w:rsidP="00255EA4">
            <w:pPr>
              <w:pStyle w:val="Default"/>
              <w:jc w:val="both"/>
              <w:rPr>
                <w:color w:val="auto"/>
                <w:sz w:val="22"/>
                <w:szCs w:val="22"/>
              </w:rPr>
            </w:pPr>
          </w:p>
          <w:p w14:paraId="73BDCD89" w14:textId="77777777" w:rsidR="00847BFF" w:rsidRPr="00255EA4" w:rsidRDefault="00847BFF" w:rsidP="00255EA4">
            <w:pPr>
              <w:pStyle w:val="Default"/>
              <w:jc w:val="both"/>
              <w:rPr>
                <w:color w:val="auto"/>
                <w:sz w:val="22"/>
                <w:szCs w:val="22"/>
              </w:rPr>
            </w:pPr>
            <w:r w:rsidRPr="00255EA4">
              <w:rPr>
                <w:color w:val="auto"/>
                <w:sz w:val="22"/>
                <w:szCs w:val="22"/>
              </w:rPr>
              <w:t>SDG Target: 15.2 By 2020, promote the implementation of sustainable management of all types of forests, halt deforestation, restore degraded forests and substantially increase afforestation and reforestation globally.</w:t>
            </w:r>
          </w:p>
          <w:p w14:paraId="5382FBCD" w14:textId="77777777" w:rsidR="00847BFF" w:rsidRPr="00255EA4" w:rsidRDefault="00847BFF" w:rsidP="00255EA4">
            <w:pPr>
              <w:pStyle w:val="Default"/>
              <w:numPr>
                <w:ilvl w:val="0"/>
                <w:numId w:val="5"/>
              </w:numPr>
              <w:jc w:val="both"/>
              <w:rPr>
                <w:color w:val="auto"/>
                <w:sz w:val="22"/>
                <w:szCs w:val="22"/>
              </w:rPr>
            </w:pPr>
            <w:r w:rsidRPr="00255EA4">
              <w:rPr>
                <w:sz w:val="22"/>
                <w:szCs w:val="22"/>
              </w:rPr>
              <w:t>SDG Indicator: 15.2.1 Progress towards sustainable forest management</w:t>
            </w:r>
          </w:p>
          <w:p w14:paraId="6302CB33" w14:textId="77777777" w:rsidR="007F118D" w:rsidRPr="00255EA4" w:rsidRDefault="007F118D" w:rsidP="00255EA4">
            <w:pPr>
              <w:pStyle w:val="Default"/>
              <w:ind w:left="720"/>
              <w:jc w:val="both"/>
              <w:rPr>
                <w:color w:val="auto"/>
                <w:sz w:val="22"/>
                <w:szCs w:val="22"/>
              </w:rPr>
            </w:pPr>
          </w:p>
        </w:tc>
      </w:tr>
      <w:tr w:rsidR="00236608" w:rsidRPr="000C0B6C" w14:paraId="613E8B76" w14:textId="77777777" w:rsidTr="009251C2">
        <w:trPr>
          <w:trHeight w:val="224"/>
        </w:trPr>
        <w:tc>
          <w:tcPr>
            <w:tcW w:w="818" w:type="dxa"/>
          </w:tcPr>
          <w:p w14:paraId="42B4FE41" w14:textId="77777777" w:rsidR="00236608" w:rsidRPr="00255EA4" w:rsidRDefault="005C5ABF" w:rsidP="00255EA4">
            <w:r w:rsidRPr="00255EA4">
              <w:rPr>
                <w:sz w:val="22"/>
                <w:szCs w:val="22"/>
              </w:rPr>
              <w:t>4</w:t>
            </w:r>
          </w:p>
        </w:tc>
        <w:tc>
          <w:tcPr>
            <w:tcW w:w="1231" w:type="dxa"/>
          </w:tcPr>
          <w:p w14:paraId="348ADD01" w14:textId="77777777" w:rsidR="00236608" w:rsidRPr="00255EA4" w:rsidRDefault="005C5ABF" w:rsidP="00255EA4">
            <w:r w:rsidRPr="00255EA4">
              <w:rPr>
                <w:sz w:val="22"/>
                <w:szCs w:val="22"/>
              </w:rPr>
              <w:t>Target 2</w:t>
            </w:r>
          </w:p>
          <w:p w14:paraId="4E4D3D96" w14:textId="77777777" w:rsidR="006D252B" w:rsidRPr="00255EA4" w:rsidRDefault="006D252B" w:rsidP="00255EA4">
            <w:r w:rsidRPr="00255EA4">
              <w:rPr>
                <w:sz w:val="22"/>
                <w:szCs w:val="22"/>
              </w:rPr>
              <w:t>Additions</w:t>
            </w:r>
            <w:r w:rsidR="00DC2150" w:rsidRPr="00255EA4">
              <w:rPr>
                <w:sz w:val="22"/>
                <w:szCs w:val="22"/>
              </w:rPr>
              <w:t xml:space="preserve"> proposed</w:t>
            </w:r>
          </w:p>
          <w:p w14:paraId="0440959D" w14:textId="77777777" w:rsidR="006D252B" w:rsidRPr="00255EA4" w:rsidRDefault="006D252B" w:rsidP="00255EA4"/>
        </w:tc>
        <w:tc>
          <w:tcPr>
            <w:tcW w:w="8139" w:type="dxa"/>
            <w:gridSpan w:val="2"/>
          </w:tcPr>
          <w:p w14:paraId="3CB84DA6" w14:textId="77777777" w:rsidR="005C5ABF" w:rsidRPr="00255EA4" w:rsidRDefault="005C5ABF" w:rsidP="00255EA4">
            <w:pPr>
              <w:spacing w:after="240"/>
              <w:jc w:val="both"/>
            </w:pPr>
            <w:r w:rsidRPr="00255EA4">
              <w:rPr>
                <w:sz w:val="22"/>
                <w:szCs w:val="22"/>
              </w:rPr>
              <w:t>SDG Target: 6.6 By 2020, protect and restore water-related ecosystems, including mountains, forests, wetlands, rivers, aquifers and lakes</w:t>
            </w:r>
          </w:p>
          <w:p w14:paraId="0587BA31" w14:textId="77777777" w:rsidR="005C5ABF" w:rsidRPr="00255EA4" w:rsidRDefault="005C5ABF" w:rsidP="00255EA4">
            <w:pPr>
              <w:pStyle w:val="ListParagraph"/>
              <w:numPr>
                <w:ilvl w:val="0"/>
                <w:numId w:val="2"/>
              </w:numPr>
              <w:jc w:val="both"/>
            </w:pPr>
            <w:r w:rsidRPr="00255EA4">
              <w:rPr>
                <w:sz w:val="22"/>
                <w:szCs w:val="22"/>
              </w:rPr>
              <w:t>SDG Indicator: 6.6.1 Change in the extent of water-related ecosystems over time</w:t>
            </w:r>
          </w:p>
          <w:p w14:paraId="42FE97F5" w14:textId="77777777" w:rsidR="000378E4" w:rsidRPr="00255EA4" w:rsidRDefault="000378E4" w:rsidP="00255EA4">
            <w:pPr>
              <w:pStyle w:val="ListParagraph"/>
              <w:ind w:left="0"/>
              <w:jc w:val="both"/>
            </w:pPr>
          </w:p>
          <w:p w14:paraId="3C1867A6" w14:textId="77777777" w:rsidR="000378E4" w:rsidRPr="00255EA4" w:rsidRDefault="000378E4" w:rsidP="00255EA4">
            <w:pPr>
              <w:spacing w:after="240"/>
              <w:jc w:val="both"/>
            </w:pPr>
            <w:r w:rsidRPr="00255EA4">
              <w:rPr>
                <w:sz w:val="22"/>
                <w:szCs w:val="22"/>
              </w:rPr>
              <w:t>SDG Target: 11.4 Strengthen efforts to protect and safeguard the world’s cultural and natural heritage</w:t>
            </w:r>
          </w:p>
          <w:p w14:paraId="0F4D1663" w14:textId="77777777" w:rsidR="00236608" w:rsidRPr="00736110" w:rsidRDefault="000378E4" w:rsidP="00736110">
            <w:pPr>
              <w:pStyle w:val="ListParagraph"/>
              <w:numPr>
                <w:ilvl w:val="0"/>
                <w:numId w:val="7"/>
              </w:numPr>
            </w:pPr>
            <w:r w:rsidRPr="00736110">
              <w:rPr>
                <w:sz w:val="22"/>
                <w:szCs w:val="22"/>
              </w:rPr>
              <w:t>SDG Indicator: 11.4.1 Total per capita expenditure on the preservation, protection and conservation of all cultural and natural heritage, by source of funding (public, private), type of heritage (cultural, natural) and level of government (national, regional, and local/municipal).</w:t>
            </w:r>
          </w:p>
          <w:p w14:paraId="1B608798" w14:textId="77777777" w:rsidR="006D252B" w:rsidRPr="00255EA4" w:rsidRDefault="006D252B" w:rsidP="00255EA4"/>
        </w:tc>
      </w:tr>
      <w:tr w:rsidR="00236608" w:rsidRPr="000C0B6C" w14:paraId="33FE27CE" w14:textId="77777777" w:rsidTr="009251C2">
        <w:trPr>
          <w:trHeight w:val="224"/>
        </w:trPr>
        <w:tc>
          <w:tcPr>
            <w:tcW w:w="818" w:type="dxa"/>
          </w:tcPr>
          <w:p w14:paraId="37792561" w14:textId="77777777" w:rsidR="00236608" w:rsidRPr="00255EA4" w:rsidRDefault="005C5ABF" w:rsidP="00255EA4">
            <w:r w:rsidRPr="00255EA4">
              <w:rPr>
                <w:sz w:val="22"/>
                <w:szCs w:val="22"/>
              </w:rPr>
              <w:t>5</w:t>
            </w:r>
          </w:p>
        </w:tc>
        <w:tc>
          <w:tcPr>
            <w:tcW w:w="1231" w:type="dxa"/>
          </w:tcPr>
          <w:p w14:paraId="3D9BC937" w14:textId="77777777" w:rsidR="00236608" w:rsidRPr="00255EA4" w:rsidRDefault="005C5ABF" w:rsidP="00255EA4">
            <w:r w:rsidRPr="00255EA4">
              <w:rPr>
                <w:sz w:val="22"/>
                <w:szCs w:val="22"/>
              </w:rPr>
              <w:t>Target</w:t>
            </w:r>
            <w:r w:rsidR="006D252B" w:rsidRPr="00255EA4">
              <w:rPr>
                <w:sz w:val="22"/>
                <w:szCs w:val="22"/>
              </w:rPr>
              <w:t xml:space="preserve"> </w:t>
            </w:r>
            <w:r w:rsidRPr="00255EA4">
              <w:rPr>
                <w:sz w:val="22"/>
                <w:szCs w:val="22"/>
              </w:rPr>
              <w:t xml:space="preserve">3 </w:t>
            </w:r>
          </w:p>
          <w:p w14:paraId="1C8307B1" w14:textId="77777777" w:rsidR="006D252B" w:rsidRPr="00255EA4" w:rsidRDefault="006D252B" w:rsidP="00255EA4">
            <w:r w:rsidRPr="00255EA4">
              <w:rPr>
                <w:sz w:val="22"/>
                <w:szCs w:val="22"/>
              </w:rPr>
              <w:t xml:space="preserve">Additions </w:t>
            </w:r>
            <w:r w:rsidR="00DC2150" w:rsidRPr="00255EA4">
              <w:rPr>
                <w:sz w:val="22"/>
                <w:szCs w:val="22"/>
              </w:rPr>
              <w:t>proposed</w:t>
            </w:r>
          </w:p>
          <w:p w14:paraId="69CADA6E" w14:textId="77777777" w:rsidR="006D252B" w:rsidRPr="00255EA4" w:rsidRDefault="006D252B" w:rsidP="00255EA4"/>
        </w:tc>
        <w:tc>
          <w:tcPr>
            <w:tcW w:w="8139" w:type="dxa"/>
            <w:gridSpan w:val="2"/>
          </w:tcPr>
          <w:p w14:paraId="262A9297" w14:textId="77777777" w:rsidR="00172E88" w:rsidRPr="00255EA4" w:rsidRDefault="00172E88" w:rsidP="00255EA4">
            <w:pPr>
              <w:spacing w:after="240"/>
              <w:jc w:val="both"/>
            </w:pPr>
            <w:r w:rsidRPr="00255EA4">
              <w:rPr>
                <w:sz w:val="22"/>
                <w:szCs w:val="22"/>
              </w:rPr>
              <w:t>SDG Target: 15.5 Take urgent and significant action to reduce the degradation of natural habitats, halt the loss of biodiversity and, by 2020, protect and prevent the extinction of threatened species</w:t>
            </w:r>
          </w:p>
          <w:p w14:paraId="4A468285" w14:textId="77777777" w:rsidR="006D252B" w:rsidRPr="00A335AA" w:rsidRDefault="00172E88" w:rsidP="00A335AA">
            <w:pPr>
              <w:pStyle w:val="ListParagraph"/>
              <w:numPr>
                <w:ilvl w:val="0"/>
                <w:numId w:val="3"/>
              </w:numPr>
            </w:pPr>
            <w:r w:rsidRPr="00255EA4">
              <w:rPr>
                <w:sz w:val="22"/>
                <w:szCs w:val="22"/>
              </w:rPr>
              <w:t>SDG Indicator: 15.5.1 Red List Index</w:t>
            </w:r>
          </w:p>
          <w:p w14:paraId="0E0A1617" w14:textId="77777777" w:rsidR="00A335AA" w:rsidRPr="00255EA4" w:rsidRDefault="00A335AA" w:rsidP="00A335AA">
            <w:pPr>
              <w:pStyle w:val="ListParagraph"/>
              <w:numPr>
                <w:ilvl w:val="0"/>
                <w:numId w:val="3"/>
              </w:numPr>
            </w:pPr>
          </w:p>
        </w:tc>
      </w:tr>
      <w:tr w:rsidR="006060BF" w:rsidRPr="000C0B6C" w14:paraId="2CC6E729" w14:textId="77777777" w:rsidTr="009251C2">
        <w:trPr>
          <w:trHeight w:val="224"/>
        </w:trPr>
        <w:tc>
          <w:tcPr>
            <w:tcW w:w="818" w:type="dxa"/>
          </w:tcPr>
          <w:p w14:paraId="3849CD33" w14:textId="77777777" w:rsidR="006060BF" w:rsidRPr="00255EA4" w:rsidRDefault="001D1792" w:rsidP="00255EA4">
            <w:r w:rsidRPr="00255EA4">
              <w:rPr>
                <w:sz w:val="22"/>
                <w:szCs w:val="22"/>
              </w:rPr>
              <w:t>7</w:t>
            </w:r>
          </w:p>
        </w:tc>
        <w:tc>
          <w:tcPr>
            <w:tcW w:w="1231" w:type="dxa"/>
          </w:tcPr>
          <w:p w14:paraId="0251DC52" w14:textId="77777777" w:rsidR="006060BF" w:rsidRPr="00255EA4" w:rsidRDefault="001D1792" w:rsidP="00255EA4">
            <w:r w:rsidRPr="00255EA4">
              <w:rPr>
                <w:sz w:val="22"/>
                <w:szCs w:val="22"/>
              </w:rPr>
              <w:t>Target 7</w:t>
            </w:r>
          </w:p>
          <w:p w14:paraId="197DF182" w14:textId="77777777" w:rsidR="006D252B" w:rsidRPr="00255EA4" w:rsidRDefault="006D252B" w:rsidP="00255EA4">
            <w:r w:rsidRPr="00255EA4">
              <w:rPr>
                <w:sz w:val="22"/>
                <w:szCs w:val="22"/>
              </w:rPr>
              <w:t>Additions</w:t>
            </w:r>
          </w:p>
          <w:p w14:paraId="0FA6D928" w14:textId="77777777" w:rsidR="006D252B" w:rsidRPr="00255EA4" w:rsidRDefault="00DC2150" w:rsidP="00255EA4">
            <w:r w:rsidRPr="00255EA4">
              <w:rPr>
                <w:sz w:val="22"/>
                <w:szCs w:val="22"/>
              </w:rPr>
              <w:t>proposed</w:t>
            </w:r>
          </w:p>
          <w:p w14:paraId="0EE57E3E" w14:textId="77777777" w:rsidR="006D252B" w:rsidRPr="00255EA4" w:rsidRDefault="006D252B" w:rsidP="00255EA4"/>
        </w:tc>
        <w:tc>
          <w:tcPr>
            <w:tcW w:w="8139" w:type="dxa"/>
            <w:gridSpan w:val="2"/>
          </w:tcPr>
          <w:p w14:paraId="1528D888" w14:textId="77777777" w:rsidR="001D1792" w:rsidRPr="00255EA4" w:rsidRDefault="001D1792" w:rsidP="00255EA4">
            <w:r w:rsidRPr="00255EA4">
              <w:rPr>
                <w:sz w:val="22"/>
                <w:szCs w:val="22"/>
              </w:rPr>
              <w:t>SDG Target: 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5B07A23C" w14:textId="77777777" w:rsidR="006060BF" w:rsidRPr="00255EA4" w:rsidRDefault="001D1792" w:rsidP="00255EA4">
            <w:pPr>
              <w:pStyle w:val="ListParagraph"/>
              <w:numPr>
                <w:ilvl w:val="0"/>
                <w:numId w:val="4"/>
              </w:numPr>
            </w:pPr>
            <w:r w:rsidRPr="00255EA4">
              <w:rPr>
                <w:sz w:val="22"/>
                <w:szCs w:val="22"/>
              </w:rPr>
              <w:t>SDG Indicator: 2.4.1 Proportion of agricultural area under productive and sustainable agriculture</w:t>
            </w:r>
          </w:p>
          <w:p w14:paraId="4EE7C6EA" w14:textId="77777777" w:rsidR="00AB09A5" w:rsidRPr="00255EA4" w:rsidRDefault="00AB09A5" w:rsidP="00255EA4">
            <w:pPr>
              <w:pStyle w:val="ListParagraph"/>
            </w:pPr>
          </w:p>
        </w:tc>
      </w:tr>
      <w:tr w:rsidR="00DC2150" w:rsidRPr="000C0B6C" w14:paraId="6DE9D1C3" w14:textId="77777777" w:rsidTr="009251C2">
        <w:trPr>
          <w:trHeight w:val="224"/>
        </w:trPr>
        <w:tc>
          <w:tcPr>
            <w:tcW w:w="818" w:type="dxa"/>
          </w:tcPr>
          <w:p w14:paraId="659ED5CD" w14:textId="77777777" w:rsidR="00DC2150" w:rsidRPr="00255EA4" w:rsidRDefault="00DC2150" w:rsidP="00255EA4">
            <w:r w:rsidRPr="00255EA4">
              <w:rPr>
                <w:sz w:val="22"/>
                <w:szCs w:val="22"/>
              </w:rPr>
              <w:t>13</w:t>
            </w:r>
          </w:p>
        </w:tc>
        <w:tc>
          <w:tcPr>
            <w:tcW w:w="1231" w:type="dxa"/>
          </w:tcPr>
          <w:p w14:paraId="197D055F" w14:textId="77777777" w:rsidR="00DC2150" w:rsidRPr="00255EA4" w:rsidRDefault="00DC2150" w:rsidP="00255EA4">
            <w:r w:rsidRPr="00255EA4">
              <w:rPr>
                <w:sz w:val="22"/>
                <w:szCs w:val="22"/>
              </w:rPr>
              <w:t>Target 13</w:t>
            </w:r>
          </w:p>
          <w:p w14:paraId="6C43D690" w14:textId="77777777" w:rsidR="00DC2150" w:rsidRPr="00255EA4" w:rsidRDefault="00DC2150" w:rsidP="00255EA4">
            <w:r w:rsidRPr="00255EA4">
              <w:rPr>
                <w:sz w:val="22"/>
                <w:szCs w:val="22"/>
              </w:rPr>
              <w:t>Additions</w:t>
            </w:r>
          </w:p>
          <w:p w14:paraId="018B5657" w14:textId="77777777" w:rsidR="00DC2150" w:rsidRPr="00255EA4" w:rsidRDefault="00DC2150" w:rsidP="00255EA4">
            <w:r w:rsidRPr="00255EA4">
              <w:rPr>
                <w:sz w:val="22"/>
                <w:szCs w:val="22"/>
              </w:rPr>
              <w:t>proposed</w:t>
            </w:r>
          </w:p>
          <w:p w14:paraId="597BFD2E" w14:textId="77777777" w:rsidR="00DC2150" w:rsidRPr="00255EA4" w:rsidRDefault="00DC2150" w:rsidP="00255EA4"/>
        </w:tc>
        <w:tc>
          <w:tcPr>
            <w:tcW w:w="8139" w:type="dxa"/>
            <w:gridSpan w:val="2"/>
          </w:tcPr>
          <w:p w14:paraId="04ACA2AF" w14:textId="77777777" w:rsidR="00DC2150" w:rsidRPr="00255EA4" w:rsidRDefault="00AB09A5" w:rsidP="00255EA4">
            <w:pPr>
              <w:pStyle w:val="ListParagraph"/>
              <w:numPr>
                <w:ilvl w:val="0"/>
                <w:numId w:val="6"/>
              </w:numPr>
              <w:autoSpaceDE w:val="0"/>
              <w:autoSpaceDN w:val="0"/>
              <w:adjustRightInd w:val="0"/>
            </w:pPr>
            <w:r w:rsidRPr="00255EA4">
              <w:rPr>
                <w:sz w:val="22"/>
                <w:szCs w:val="22"/>
              </w:rPr>
              <w:t xml:space="preserve">SDG Indicator: </w:t>
            </w:r>
            <w:r w:rsidRPr="00255EA4">
              <w:rPr>
                <w:rFonts w:eastAsiaTheme="minorHAnsi"/>
                <w:sz w:val="22"/>
                <w:szCs w:val="22"/>
                <w:lang w:val="en-IN"/>
              </w:rPr>
              <w:t>14.b.1 Progress by countries in the degree of application of a legal/regulatory/policy/institutional framework which recognizes and protects access</w:t>
            </w:r>
            <w:r w:rsidR="00255EA4" w:rsidRPr="00255EA4">
              <w:rPr>
                <w:rFonts w:eastAsiaTheme="minorHAnsi"/>
                <w:sz w:val="22"/>
                <w:szCs w:val="22"/>
                <w:lang w:val="en-IN"/>
              </w:rPr>
              <w:t xml:space="preserve"> </w:t>
            </w:r>
            <w:r w:rsidRPr="00255EA4">
              <w:rPr>
                <w:rFonts w:eastAsiaTheme="minorHAnsi"/>
                <w:sz w:val="22"/>
                <w:szCs w:val="22"/>
                <w:lang w:val="en-IN"/>
              </w:rPr>
              <w:t>rights for small-scale fisheries</w:t>
            </w:r>
          </w:p>
        </w:tc>
      </w:tr>
    </w:tbl>
    <w:p w14:paraId="3E211CE7" w14:textId="77777777" w:rsidR="000863FF" w:rsidRDefault="000863FF" w:rsidP="00AA5498">
      <w:pPr>
        <w:tabs>
          <w:tab w:val="left" w:pos="5900"/>
        </w:tabs>
        <w:jc w:val="both"/>
        <w:rPr>
          <w:i/>
          <w:sz w:val="22"/>
          <w:szCs w:val="22"/>
        </w:rPr>
      </w:pPr>
    </w:p>
    <w:p w14:paraId="175E9586" w14:textId="3B944611" w:rsidR="00B51493" w:rsidRDefault="00B51493" w:rsidP="00AA5498">
      <w:pPr>
        <w:tabs>
          <w:tab w:val="left" w:pos="5900"/>
        </w:tabs>
        <w:jc w:val="both"/>
      </w:pPr>
    </w:p>
    <w:sectPr w:rsidR="00B51493" w:rsidSect="0054136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60A28" w14:textId="77777777" w:rsidR="009A2D84" w:rsidRDefault="009A2D84" w:rsidP="009A2D84">
      <w:r>
        <w:separator/>
      </w:r>
    </w:p>
  </w:endnote>
  <w:endnote w:type="continuationSeparator" w:id="0">
    <w:p w14:paraId="35AE2C6A" w14:textId="77777777" w:rsidR="009A2D84" w:rsidRDefault="009A2D84" w:rsidP="009A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865051"/>
      <w:docPartObj>
        <w:docPartGallery w:val="Page Numbers (Bottom of Page)"/>
        <w:docPartUnique/>
      </w:docPartObj>
    </w:sdtPr>
    <w:sdtEndPr>
      <w:rPr>
        <w:noProof/>
      </w:rPr>
    </w:sdtEndPr>
    <w:sdtContent>
      <w:p w14:paraId="3C8FC266" w14:textId="0D9879DC" w:rsidR="009A2D84" w:rsidRDefault="009A2D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440389" w14:textId="77777777" w:rsidR="009A2D84" w:rsidRDefault="009A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F99FE" w14:textId="77777777" w:rsidR="009A2D84" w:rsidRDefault="009A2D84" w:rsidP="009A2D84">
      <w:r>
        <w:separator/>
      </w:r>
    </w:p>
  </w:footnote>
  <w:footnote w:type="continuationSeparator" w:id="0">
    <w:p w14:paraId="4EF00FA5" w14:textId="77777777" w:rsidR="009A2D84" w:rsidRDefault="009A2D84" w:rsidP="009A2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EB5"/>
    <w:multiLevelType w:val="hybridMultilevel"/>
    <w:tmpl w:val="AC1C389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A963C2"/>
    <w:multiLevelType w:val="hybridMultilevel"/>
    <w:tmpl w:val="A5B6D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77311"/>
    <w:multiLevelType w:val="hybridMultilevel"/>
    <w:tmpl w:val="6666B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04A31"/>
    <w:multiLevelType w:val="hybridMultilevel"/>
    <w:tmpl w:val="D4C08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366CA"/>
    <w:multiLevelType w:val="hybridMultilevel"/>
    <w:tmpl w:val="66C4D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C770B"/>
    <w:multiLevelType w:val="hybridMultilevel"/>
    <w:tmpl w:val="66A4149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AC315D2"/>
    <w:multiLevelType w:val="hybridMultilevel"/>
    <w:tmpl w:val="BF00183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3CCA"/>
    <w:rsid w:val="000378E4"/>
    <w:rsid w:val="00052FDC"/>
    <w:rsid w:val="000708A3"/>
    <w:rsid w:val="000863FF"/>
    <w:rsid w:val="000F20B7"/>
    <w:rsid w:val="00172E88"/>
    <w:rsid w:val="001D1792"/>
    <w:rsid w:val="0021244F"/>
    <w:rsid w:val="00236608"/>
    <w:rsid w:val="00255EA4"/>
    <w:rsid w:val="002E3CB4"/>
    <w:rsid w:val="002F4100"/>
    <w:rsid w:val="00334544"/>
    <w:rsid w:val="00335489"/>
    <w:rsid w:val="003B08FB"/>
    <w:rsid w:val="003C1BEB"/>
    <w:rsid w:val="004A3BD4"/>
    <w:rsid w:val="00504926"/>
    <w:rsid w:val="0052529F"/>
    <w:rsid w:val="0053118E"/>
    <w:rsid w:val="005324AB"/>
    <w:rsid w:val="0054136A"/>
    <w:rsid w:val="005C5ABF"/>
    <w:rsid w:val="005E4712"/>
    <w:rsid w:val="006060BF"/>
    <w:rsid w:val="006125AA"/>
    <w:rsid w:val="00687A2C"/>
    <w:rsid w:val="006D252B"/>
    <w:rsid w:val="00736110"/>
    <w:rsid w:val="00777372"/>
    <w:rsid w:val="00790F3D"/>
    <w:rsid w:val="007E5A22"/>
    <w:rsid w:val="007F118D"/>
    <w:rsid w:val="008407C3"/>
    <w:rsid w:val="00847BFF"/>
    <w:rsid w:val="008912C4"/>
    <w:rsid w:val="008E7015"/>
    <w:rsid w:val="009967EC"/>
    <w:rsid w:val="009A2D84"/>
    <w:rsid w:val="009A53C3"/>
    <w:rsid w:val="00A335AA"/>
    <w:rsid w:val="00A51FA4"/>
    <w:rsid w:val="00AA5498"/>
    <w:rsid w:val="00AB09A5"/>
    <w:rsid w:val="00AF4AD0"/>
    <w:rsid w:val="00B51493"/>
    <w:rsid w:val="00BD481F"/>
    <w:rsid w:val="00C016D5"/>
    <w:rsid w:val="00C464B9"/>
    <w:rsid w:val="00C96412"/>
    <w:rsid w:val="00CB450C"/>
    <w:rsid w:val="00CB7041"/>
    <w:rsid w:val="00D12A5D"/>
    <w:rsid w:val="00D6250F"/>
    <w:rsid w:val="00D93CCA"/>
    <w:rsid w:val="00DB20C0"/>
    <w:rsid w:val="00DC2150"/>
    <w:rsid w:val="00E2497F"/>
    <w:rsid w:val="00E65F04"/>
    <w:rsid w:val="00E74E8D"/>
    <w:rsid w:val="00F02E5F"/>
    <w:rsid w:val="00F1613E"/>
    <w:rsid w:val="00F7279F"/>
    <w:rsid w:val="00F819FC"/>
    <w:rsid w:val="00F8482D"/>
    <w:rsid w:val="00F9518E"/>
    <w:rsid w:val="00FC3E33"/>
    <w:rsid w:val="00FF1AD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80A4"/>
  <w15:docId w15:val="{B1C9FD7C-AC82-4D13-A5A9-E29F1AB9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customStyle="1" w:styleId="TableParagraph">
    <w:name w:val="Table Paragraph"/>
    <w:basedOn w:val="Normal"/>
    <w:uiPriority w:val="1"/>
    <w:qFormat/>
    <w:rsid w:val="00CB450C"/>
    <w:pPr>
      <w:widowControl w:val="0"/>
      <w:autoSpaceDE w:val="0"/>
      <w:autoSpaceDN w:val="0"/>
      <w:ind w:left="107"/>
    </w:pPr>
    <w:rPr>
      <w:sz w:val="22"/>
      <w:szCs w:val="22"/>
    </w:rPr>
  </w:style>
  <w:style w:type="paragraph" w:styleId="ListParagraph">
    <w:name w:val="List Paragraph"/>
    <w:basedOn w:val="Normal"/>
    <w:uiPriority w:val="34"/>
    <w:qFormat/>
    <w:rsid w:val="005C5ABF"/>
    <w:pPr>
      <w:ind w:left="720"/>
      <w:contextualSpacing/>
    </w:pPr>
  </w:style>
  <w:style w:type="character" w:styleId="UnresolvedMention">
    <w:name w:val="Unresolved Mention"/>
    <w:basedOn w:val="DefaultParagraphFont"/>
    <w:uiPriority w:val="99"/>
    <w:semiHidden/>
    <w:unhideWhenUsed/>
    <w:rsid w:val="009A2D84"/>
    <w:rPr>
      <w:color w:val="605E5C"/>
      <w:shd w:val="clear" w:color="auto" w:fill="E1DFDD"/>
    </w:rPr>
  </w:style>
  <w:style w:type="paragraph" w:styleId="Header">
    <w:name w:val="header"/>
    <w:basedOn w:val="Normal"/>
    <w:link w:val="HeaderChar"/>
    <w:uiPriority w:val="99"/>
    <w:unhideWhenUsed/>
    <w:rsid w:val="009A2D84"/>
    <w:pPr>
      <w:tabs>
        <w:tab w:val="center" w:pos="4513"/>
        <w:tab w:val="right" w:pos="9026"/>
      </w:tabs>
    </w:pPr>
  </w:style>
  <w:style w:type="character" w:customStyle="1" w:styleId="HeaderChar">
    <w:name w:val="Header Char"/>
    <w:basedOn w:val="DefaultParagraphFont"/>
    <w:link w:val="Header"/>
    <w:uiPriority w:val="99"/>
    <w:rsid w:val="009A2D8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A2D84"/>
    <w:pPr>
      <w:tabs>
        <w:tab w:val="center" w:pos="4513"/>
        <w:tab w:val="right" w:pos="9026"/>
      </w:tabs>
    </w:pPr>
  </w:style>
  <w:style w:type="character" w:customStyle="1" w:styleId="FooterChar">
    <w:name w:val="Footer Char"/>
    <w:basedOn w:val="DefaultParagraphFont"/>
    <w:link w:val="Footer"/>
    <w:uiPriority w:val="99"/>
    <w:rsid w:val="009A2D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38393">
      <w:bodyDiv w:val="1"/>
      <w:marLeft w:val="0"/>
      <w:marRight w:val="0"/>
      <w:marTop w:val="0"/>
      <w:marBottom w:val="0"/>
      <w:divBdr>
        <w:top w:val="none" w:sz="0" w:space="0" w:color="auto"/>
        <w:left w:val="none" w:sz="0" w:space="0" w:color="auto"/>
        <w:bottom w:val="none" w:sz="0" w:space="0" w:color="auto"/>
        <w:right w:val="none" w:sz="0" w:space="0" w:color="auto"/>
      </w:divBdr>
      <w:divsChild>
        <w:div w:id="191230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ujit.baju@gov.i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2.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Sujit Bajpayee</cp:lastModifiedBy>
  <cp:revision>16</cp:revision>
  <dcterms:created xsi:type="dcterms:W3CDTF">2020-07-09T05:49:00Z</dcterms:created>
  <dcterms:modified xsi:type="dcterms:W3CDTF">2020-08-15T14:22:00Z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