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E7CAC" w14:textId="6BC36C71" w:rsidR="001D6DD0" w:rsidRDefault="00236608" w:rsidP="001D6DD0">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5BE4D3B" w:rsidR="00236608" w:rsidRPr="000C0B6C" w:rsidRDefault="00F87DB3" w:rsidP="009251C2">
            <w:r>
              <w:t>Plumptre</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1CB556D5" w:rsidR="00236608" w:rsidRPr="000C0B6C" w:rsidRDefault="00F87DB3" w:rsidP="009251C2">
            <w:r>
              <w:t>Andrew</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1A7BBF8D" w:rsidR="00236608" w:rsidRPr="000C0B6C" w:rsidRDefault="00F87DB3" w:rsidP="009251C2">
            <w:r>
              <w:t>Key Biodiversity Areas Secretariat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F9A367E" w:rsidR="00236608" w:rsidRPr="000C0B6C" w:rsidRDefault="00F87DB3" w:rsidP="00F87DB3">
            <w:r>
              <w:t xml:space="preserve">c/o BirdLife International, Pembroke Street,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1B0FDF5F" w:rsidR="00236608" w:rsidRPr="000C0B6C" w:rsidRDefault="00F87DB3" w:rsidP="00F87DB3">
            <w:r>
              <w:t>Cambridge</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4CF3158C" w:rsidR="00236608" w:rsidRPr="000C0B6C" w:rsidRDefault="00F87DB3" w:rsidP="009251C2">
            <w:r>
              <w:t>UK</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33D85EEA" w:rsidR="00236608" w:rsidRPr="000C0B6C" w:rsidRDefault="00F87DB3" w:rsidP="009251C2">
            <w:r>
              <w:t>aplumptre@keybiodiversityareas.org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78AA6BDD" w:rsidR="008C7855" w:rsidRPr="000C0B6C" w:rsidRDefault="00F64328" w:rsidP="00F72FDE">
            <w:pPr>
              <w:rPr>
                <w:b/>
                <w:sz w:val="22"/>
                <w:szCs w:val="22"/>
              </w:rPr>
            </w:pPr>
            <w:r>
              <w:t xml:space="preserve">There is a growing recognition that under the post2020 global biodiversity framework, any expansion of protected and conserved areas must be in the right places. </w:t>
            </w:r>
            <w:hyperlink r:id="rId8" w:history="1">
              <w:r w:rsidRPr="007637B2">
                <w:rPr>
                  <w:rStyle w:val="Hyperlink"/>
                </w:rPr>
                <w:t>Key Biodiversity Areas</w:t>
              </w:r>
            </w:hyperlink>
            <w:r w:rsidRPr="008A00AA">
              <w:t xml:space="preserve"> (KBAs) </w:t>
            </w:r>
            <w:r>
              <w:t xml:space="preserve">are sites of significance for the global persistence of biodiversity, and have been identified in all countries and in terrestrial, freshwater and marine realms for some species. </w:t>
            </w:r>
            <w:r w:rsidRPr="008A00AA">
              <w:t xml:space="preserve">While KBAs have </w:t>
            </w:r>
            <w:r w:rsidRPr="00A56BCE">
              <w:rPr>
                <w:b/>
              </w:rPr>
              <w:t xml:space="preserve">not </w:t>
            </w:r>
            <w:r>
              <w:rPr>
                <w:b/>
              </w:rPr>
              <w:t xml:space="preserve">yet </w:t>
            </w:r>
            <w:r w:rsidRPr="00A56BCE">
              <w:rPr>
                <w:b/>
              </w:rPr>
              <w:t>been identified</w:t>
            </w:r>
            <w:r w:rsidRPr="008A00AA">
              <w:t xml:space="preserve"> </w:t>
            </w:r>
            <w:r>
              <w:t>for all</w:t>
            </w:r>
            <w:r w:rsidRPr="008A00AA">
              <w:t xml:space="preserve"> taxonomic groups</w:t>
            </w:r>
            <w:r>
              <w:t xml:space="preserve"> and ecosystems in each country</w:t>
            </w:r>
            <w:r w:rsidRPr="008A00AA">
              <w:t xml:space="preserve">, </w:t>
            </w:r>
            <w:r>
              <w:t xml:space="preserve">their comprehensiveness will be increased considerably </w:t>
            </w:r>
            <w:r w:rsidRPr="008A00AA">
              <w:t>by 2030</w:t>
            </w:r>
            <w:r>
              <w:t xml:space="preserve">, </w:t>
            </w:r>
            <w:r w:rsidRPr="008A00AA">
              <w:t xml:space="preserve">given </w:t>
            </w:r>
            <w:r>
              <w:t xml:space="preserve">ongoing efforts and </w:t>
            </w:r>
            <w:r w:rsidRPr="008A00AA">
              <w:t>the growing interest</w:t>
            </w:r>
            <w:r>
              <w:t>, resources</w:t>
            </w:r>
            <w:r w:rsidRPr="008A00AA">
              <w:t xml:space="preserve"> and tools available.</w:t>
            </w:r>
            <w:r>
              <w:t xml:space="preserve"> The criteria, published in 2016 </w:t>
            </w:r>
            <w:hyperlink r:id="rId9" w:history="1">
              <w:r w:rsidRPr="00A56BCE">
                <w:rPr>
                  <w:rStyle w:val="Hyperlink"/>
                </w:rPr>
                <w:t>(IUCN 2016</w:t>
              </w:r>
            </w:hyperlink>
            <w:r>
              <w:t xml:space="preserve">), used to identify KBAs </w:t>
            </w:r>
            <w:proofErr w:type="spellStart"/>
            <w:r>
              <w:t>recognise</w:t>
            </w:r>
            <w:proofErr w:type="spellEnd"/>
            <w:r>
              <w:t xml:space="preserve"> sites supporting globally significant populations of a species or extent of an ecosystem. KBAs </w:t>
            </w:r>
            <w:r w:rsidRPr="008A00AA">
              <w:t xml:space="preserve">provide a tool that governments can use to </w:t>
            </w:r>
            <w:r>
              <w:t xml:space="preserve">focus their efforts to conserve </w:t>
            </w:r>
            <w:r w:rsidRPr="008A00AA">
              <w:t>species</w:t>
            </w:r>
            <w:r>
              <w:t xml:space="preserve"> and </w:t>
            </w:r>
            <w:r w:rsidRPr="008A00AA">
              <w:t xml:space="preserve">ecosystems within </w:t>
            </w:r>
            <w:r>
              <w:t>each</w:t>
            </w:r>
            <w:r w:rsidRPr="008A00AA">
              <w:t xml:space="preserve"> country</w:t>
            </w:r>
            <w:r>
              <w:t xml:space="preserve">. </w:t>
            </w:r>
          </w:p>
        </w:tc>
      </w:tr>
      <w:tr w:rsidR="008C7855" w:rsidRPr="000C0B6C" w14:paraId="566B9023" w14:textId="77777777" w:rsidTr="002C0D5B">
        <w:trPr>
          <w:trHeight w:val="224"/>
        </w:trPr>
        <w:tc>
          <w:tcPr>
            <w:tcW w:w="10188" w:type="dxa"/>
            <w:gridSpan w:val="4"/>
          </w:tcPr>
          <w:p w14:paraId="18DC4C65" w14:textId="750F198C" w:rsidR="008C7855" w:rsidRPr="000C0B6C" w:rsidRDefault="00F72FDE" w:rsidP="00F72FDE">
            <w:pPr>
              <w:rPr>
                <w:b/>
                <w:sz w:val="22"/>
                <w:szCs w:val="22"/>
              </w:rPr>
            </w:pPr>
            <w:r>
              <w:t>Spatial planning alone under target 1 will be insufficient. It needs to integrate biodiversity considerations adequately and the resulting plans must be used to help mainstream biodiversity conservation across all sectors of government. KBAs should be an integral part of spatial planning as they will ensure the representativeness of any conservation plan. Target 13 on mainstreaming must consider more than just values of biodiversity but also look at using the spatial plans developed in Target 1 as a tool to support mainstreaming, otherwise the potential of the spatial planning will be lost.</w:t>
            </w:r>
            <w:r w:rsidR="004F148F">
              <w:t xml:space="preserve"> Spatial planning recommendations could also be linked</w:t>
            </w:r>
            <w:bookmarkStart w:id="0" w:name="_GoBack"/>
            <w:bookmarkEnd w:id="0"/>
            <w:r w:rsidR="004F148F">
              <w:t xml:space="preserve"> to the IUCN Motion 096 which was recently passed with support from 126 government institutions and 606</w:t>
            </w:r>
            <w:r>
              <w:t xml:space="preserve"> </w:t>
            </w:r>
            <w:r w:rsidR="004F148F">
              <w:t xml:space="preserve">IUCN Partners: </w:t>
            </w:r>
            <w:hyperlink r:id="rId10" w:history="1">
              <w:r w:rsidR="004F148F" w:rsidRPr="00D921B2">
                <w:rPr>
                  <w:rStyle w:val="Hyperlink"/>
                </w:rPr>
                <w:t>https://www.iucncongress2020.org/motion/096</w:t>
              </w:r>
            </w:hyperlink>
            <w:r w:rsidR="004F148F">
              <w:t xml:space="preserve"> </w:t>
            </w: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87493F" w:rsidRPr="000C0B6C" w14:paraId="36D053D4" w14:textId="77777777" w:rsidTr="00FB0079">
        <w:trPr>
          <w:trHeight w:val="440"/>
        </w:trPr>
        <w:tc>
          <w:tcPr>
            <w:tcW w:w="818" w:type="dxa"/>
          </w:tcPr>
          <w:p w14:paraId="700E4A2A" w14:textId="77777777" w:rsidR="0087493F" w:rsidRPr="000C0B6C" w:rsidRDefault="0087493F" w:rsidP="009251C2"/>
        </w:tc>
        <w:tc>
          <w:tcPr>
            <w:tcW w:w="1231" w:type="dxa"/>
          </w:tcPr>
          <w:p w14:paraId="6F40127C" w14:textId="712CCFAB" w:rsidR="0087493F" w:rsidRDefault="0087493F" w:rsidP="009251C2">
            <w:r>
              <w:t>8</w:t>
            </w:r>
          </w:p>
        </w:tc>
        <w:tc>
          <w:tcPr>
            <w:tcW w:w="8139" w:type="dxa"/>
            <w:gridSpan w:val="2"/>
          </w:tcPr>
          <w:p w14:paraId="0812082D" w14:textId="5929545E" w:rsidR="0087493F" w:rsidRPr="00F64328" w:rsidRDefault="0087493F" w:rsidP="008A188F">
            <w:pPr>
              <w:rPr>
                <w:rFonts w:eastAsia="Arial"/>
                <w:color w:val="000000"/>
              </w:rPr>
            </w:pPr>
            <w:r w:rsidRPr="00F64328">
              <w:rPr>
                <w:rFonts w:eastAsia="Arial"/>
                <w:color w:val="000000"/>
              </w:rPr>
              <w:t>Insert “</w:t>
            </w:r>
            <w:r w:rsidRPr="005C773D">
              <w:rPr>
                <w:rFonts w:eastAsia="Arial"/>
                <w:b/>
                <w:color w:val="000000"/>
              </w:rPr>
              <w:t>Key Biodiversity Areas</w:t>
            </w:r>
            <w:r w:rsidR="008A188F">
              <w:rPr>
                <w:rFonts w:eastAsia="Arial"/>
                <w:b/>
                <w:color w:val="000000"/>
              </w:rPr>
              <w:t xml:space="preserve"> such as</w:t>
            </w:r>
            <w:r w:rsidR="00FB0079">
              <w:rPr>
                <w:rFonts w:eastAsia="Arial"/>
                <w:b/>
                <w:color w:val="000000"/>
              </w:rPr>
              <w:t xml:space="preserve"> existing…</w:t>
            </w:r>
            <w:r w:rsidRPr="00F64328">
              <w:rPr>
                <w:rFonts w:eastAsia="Arial"/>
                <w:color w:val="000000"/>
              </w:rPr>
              <w:t>” after “</w:t>
            </w:r>
            <w:r w:rsidR="008A188F" w:rsidRPr="008A188F">
              <w:rPr>
                <w:rFonts w:eastAsia="Arial"/>
                <w:color w:val="000000"/>
              </w:rPr>
              <w:t>In particular, the loss of</w:t>
            </w:r>
            <w:r w:rsidRPr="00F64328">
              <w:rPr>
                <w:rFonts w:eastAsia="Arial"/>
                <w:color w:val="000000"/>
              </w:rPr>
              <w:t>”</w:t>
            </w:r>
          </w:p>
        </w:tc>
      </w:tr>
      <w:tr w:rsidR="0087493F" w:rsidRPr="000C0B6C" w14:paraId="59B977B7" w14:textId="77777777" w:rsidTr="009251C2">
        <w:trPr>
          <w:trHeight w:val="224"/>
        </w:trPr>
        <w:tc>
          <w:tcPr>
            <w:tcW w:w="818" w:type="dxa"/>
          </w:tcPr>
          <w:p w14:paraId="286EAFCE" w14:textId="77777777" w:rsidR="0087493F" w:rsidRPr="000C0B6C" w:rsidRDefault="0087493F" w:rsidP="009251C2"/>
        </w:tc>
        <w:tc>
          <w:tcPr>
            <w:tcW w:w="1231" w:type="dxa"/>
          </w:tcPr>
          <w:p w14:paraId="395B42C2" w14:textId="6F58140E" w:rsidR="0087493F" w:rsidRDefault="0087493F" w:rsidP="009251C2">
            <w:r>
              <w:t xml:space="preserve">10 </w:t>
            </w:r>
          </w:p>
        </w:tc>
        <w:tc>
          <w:tcPr>
            <w:tcW w:w="8139" w:type="dxa"/>
            <w:gridSpan w:val="2"/>
          </w:tcPr>
          <w:p w14:paraId="7D1CECE8" w14:textId="6E359C49" w:rsidR="0087493F" w:rsidRPr="00F64328" w:rsidRDefault="0087493F" w:rsidP="009251C2">
            <w:pPr>
              <w:rPr>
                <w:rFonts w:eastAsia="Arial"/>
                <w:color w:val="000000"/>
              </w:rPr>
            </w:pPr>
            <w:r w:rsidRPr="00F64328">
              <w:rPr>
                <w:rFonts w:eastAsia="Arial"/>
                <w:color w:val="000000"/>
              </w:rPr>
              <w:t>Insert “</w:t>
            </w:r>
            <w:r w:rsidRPr="005C773D">
              <w:rPr>
                <w:rFonts w:eastAsia="Arial"/>
                <w:b/>
                <w:color w:val="000000"/>
              </w:rPr>
              <w:t>to cover the most important sites for biodiversity, such as Key Biodiversity Areas</w:t>
            </w:r>
            <w:r w:rsidRPr="00F64328">
              <w:rPr>
                <w:rFonts w:eastAsia="Arial"/>
                <w:color w:val="000000"/>
              </w:rPr>
              <w:t>” after “are not properly situated”</w:t>
            </w:r>
          </w:p>
        </w:tc>
      </w:tr>
      <w:tr w:rsidR="00236608" w:rsidRPr="000C0B6C" w14:paraId="0C9C63D9" w14:textId="77777777" w:rsidTr="009251C2">
        <w:trPr>
          <w:trHeight w:val="224"/>
        </w:trPr>
        <w:tc>
          <w:tcPr>
            <w:tcW w:w="818" w:type="dxa"/>
          </w:tcPr>
          <w:p w14:paraId="46581EE4" w14:textId="46E542B5" w:rsidR="00236608" w:rsidRPr="000C0B6C" w:rsidRDefault="00236608" w:rsidP="009251C2"/>
        </w:tc>
        <w:tc>
          <w:tcPr>
            <w:tcW w:w="1231" w:type="dxa"/>
          </w:tcPr>
          <w:p w14:paraId="3DA5E0E9" w14:textId="41D7ECD5" w:rsidR="00236608" w:rsidRPr="000C0B6C" w:rsidRDefault="0087493F" w:rsidP="009251C2">
            <w:r>
              <w:t>68a</w:t>
            </w:r>
          </w:p>
        </w:tc>
        <w:tc>
          <w:tcPr>
            <w:tcW w:w="8139" w:type="dxa"/>
            <w:gridSpan w:val="2"/>
          </w:tcPr>
          <w:p w14:paraId="1FB20CA9" w14:textId="4E27E211" w:rsidR="00236608" w:rsidRPr="00F64328" w:rsidRDefault="0087493F" w:rsidP="009251C2">
            <w:r w:rsidRPr="00F64328">
              <w:rPr>
                <w:rFonts w:eastAsia="Arial"/>
                <w:color w:val="000000"/>
              </w:rPr>
              <w:t>This paragraph needs to address the point that spatial planning needs to integrate biodiversity considerations adequately. Spatial planning alone won't help.</w:t>
            </w:r>
          </w:p>
        </w:tc>
      </w:tr>
      <w:tr w:rsidR="00F64328" w:rsidRPr="000C0B6C" w14:paraId="4B00EAD9" w14:textId="77777777" w:rsidTr="009251C2">
        <w:trPr>
          <w:trHeight w:val="233"/>
        </w:trPr>
        <w:tc>
          <w:tcPr>
            <w:tcW w:w="818" w:type="dxa"/>
          </w:tcPr>
          <w:p w14:paraId="131385CB" w14:textId="77777777" w:rsidR="00F64328" w:rsidRPr="000C0B6C" w:rsidRDefault="00F64328" w:rsidP="009251C2"/>
        </w:tc>
        <w:tc>
          <w:tcPr>
            <w:tcW w:w="1231" w:type="dxa"/>
          </w:tcPr>
          <w:p w14:paraId="6F007012" w14:textId="5B380D5D" w:rsidR="00F64328" w:rsidRDefault="00F64328" w:rsidP="009251C2">
            <w:r>
              <w:t>76</w:t>
            </w:r>
          </w:p>
        </w:tc>
        <w:tc>
          <w:tcPr>
            <w:tcW w:w="8139" w:type="dxa"/>
            <w:gridSpan w:val="2"/>
          </w:tcPr>
          <w:p w14:paraId="7ED84CA2" w14:textId="4B1915B5" w:rsidR="00F64328" w:rsidRDefault="00F64328" w:rsidP="00F64328">
            <w:r>
              <w:t xml:space="preserve">Target 1 should also link to Target 13 on mainstreaming. Spatial plans are a very critical tool to help mainstream biodiversity planning in government and this link </w:t>
            </w:r>
            <w:r>
              <w:lastRenderedPageBreak/>
              <w:t>needs to be made. Suggest adding this text in bold at the end of the paragraph: ‘….</w:t>
            </w:r>
            <w:r w:rsidRPr="00F64328">
              <w:rPr>
                <w:strike/>
              </w:rPr>
              <w:t>and</w:t>
            </w:r>
            <w:r w:rsidRPr="00F64328">
              <w:t xml:space="preserve"> 11 (access to green/blue spaces)</w:t>
            </w:r>
            <w:r>
              <w:t xml:space="preserve">, </w:t>
            </w:r>
            <w:r w:rsidRPr="00F64328">
              <w:rPr>
                <w:b/>
              </w:rPr>
              <w:t>and 13 where spatial plans are a critical tool to help mainstream biodiversity conservation across sectors</w:t>
            </w:r>
            <w:r>
              <w:t xml:space="preserve">.’  </w:t>
            </w:r>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4FF36C29" w:rsidR="00236608" w:rsidRPr="000C0B6C" w:rsidRDefault="0087493F" w:rsidP="009251C2">
            <w:r>
              <w:t>82</w:t>
            </w:r>
          </w:p>
        </w:tc>
        <w:tc>
          <w:tcPr>
            <w:tcW w:w="8139" w:type="dxa"/>
            <w:gridSpan w:val="2"/>
          </w:tcPr>
          <w:p w14:paraId="5F267497" w14:textId="34C176C4" w:rsidR="00236608" w:rsidRPr="000C0B6C" w:rsidRDefault="0087493F" w:rsidP="009251C2">
            <w:r>
              <w:t>Change “protecting” to “</w:t>
            </w:r>
            <w:r w:rsidRPr="005C773D">
              <w:rPr>
                <w:b/>
              </w:rPr>
              <w:t>conserving</w:t>
            </w:r>
            <w:r>
              <w:t>” in the 2</w:t>
            </w:r>
            <w:r w:rsidRPr="0087493F">
              <w:rPr>
                <w:vertAlign w:val="superscript"/>
              </w:rPr>
              <w:t>nd</w:t>
            </w:r>
            <w:r w:rsidR="00916ACB">
              <w:t xml:space="preserve"> line as these es</w:t>
            </w:r>
            <w:r>
              <w:t>t</w:t>
            </w:r>
            <w:r w:rsidR="00916ACB">
              <w:t>i</w:t>
            </w:r>
            <w:r>
              <w:t>mates include OECMs, not just protected areas</w:t>
            </w:r>
          </w:p>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116692F2" w:rsidR="00236608" w:rsidRPr="000C0B6C" w:rsidRDefault="00F72FDE" w:rsidP="009251C2">
            <w:r>
              <w:t>82</w:t>
            </w:r>
          </w:p>
        </w:tc>
        <w:tc>
          <w:tcPr>
            <w:tcW w:w="8139" w:type="dxa"/>
            <w:gridSpan w:val="2"/>
          </w:tcPr>
          <w:p w14:paraId="1B92E2B4" w14:textId="5D5B27B0" w:rsidR="00236608" w:rsidRPr="0087493F" w:rsidRDefault="0087493F" w:rsidP="009251C2">
            <w:pPr>
              <w:rPr>
                <w:color w:val="000000" w:themeColor="text1"/>
              </w:rPr>
            </w:pPr>
            <w:r w:rsidRPr="0087493F">
              <w:rPr>
                <w:color w:val="000000" w:themeColor="text1"/>
              </w:rPr>
              <w:t xml:space="preserve">Insert </w:t>
            </w:r>
            <w:r w:rsidRPr="00F72FDE">
              <w:rPr>
                <w:b/>
                <w:color w:val="000000" w:themeColor="text1"/>
              </w:rPr>
              <w:t>“(i.e. effective conservation of sites of biodiversity importance, such as Key Biodiversity Areas)</w:t>
            </w:r>
            <w:r w:rsidRPr="0087493F">
              <w:t>”</w:t>
            </w:r>
            <w:r w:rsidRPr="0087493F">
              <w:rPr>
                <w:color w:val="000000" w:themeColor="text1"/>
              </w:rPr>
              <w:t xml:space="preserve"> after “biodiversity outcomes”</w:t>
            </w:r>
          </w:p>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5F0AB476" w:rsidR="00236608" w:rsidRPr="000C0B6C" w:rsidRDefault="0087493F" w:rsidP="009251C2">
            <w:r>
              <w:t>Footnote 121</w:t>
            </w:r>
          </w:p>
        </w:tc>
        <w:tc>
          <w:tcPr>
            <w:tcW w:w="8139" w:type="dxa"/>
            <w:gridSpan w:val="2"/>
          </w:tcPr>
          <w:p w14:paraId="4B30F77B" w14:textId="50168D16" w:rsidR="00236608" w:rsidRPr="000C0B6C" w:rsidRDefault="0087493F" w:rsidP="009251C2">
            <w:r>
              <w:t xml:space="preserve">Insert </w:t>
            </w:r>
            <w:hyperlink r:id="rId11" w:history="1">
              <w:r w:rsidRPr="005D0D96">
                <w:rPr>
                  <w:rStyle w:val="Hyperlink"/>
                </w:rPr>
                <w:t>www.keybiodiversityareas.org</w:t>
              </w:r>
            </w:hyperlink>
            <w:r>
              <w:t xml:space="preserve"> as the source</w:t>
            </w:r>
          </w:p>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371091D" w:rsidR="00236608" w:rsidRPr="000C0B6C" w:rsidRDefault="0087493F" w:rsidP="009251C2">
            <w:r>
              <w:t>85</w:t>
            </w:r>
          </w:p>
        </w:tc>
        <w:tc>
          <w:tcPr>
            <w:tcW w:w="8139" w:type="dxa"/>
            <w:gridSpan w:val="2"/>
          </w:tcPr>
          <w:p w14:paraId="531C2A0F" w14:textId="54EE7889" w:rsidR="00236608" w:rsidRPr="000C0B6C" w:rsidRDefault="0087493F" w:rsidP="009251C2">
            <w:r>
              <w:t xml:space="preserve">Add as point </w:t>
            </w:r>
            <w:r w:rsidRPr="005C773D">
              <w:rPr>
                <w:b/>
              </w:rPr>
              <w:t>d) “Completing the inventory of Key Biodiversity Areas in each country, by applying the Global Standard for the identification of KBAs to all species groups and ecosystems through nationally led multi-stakeholder processes using local data</w:t>
            </w:r>
            <w:r w:rsidRPr="0087493F">
              <w:t>.</w:t>
            </w:r>
            <w:r>
              <w:t>”</w:t>
            </w:r>
          </w:p>
        </w:tc>
      </w:tr>
      <w:tr w:rsidR="00F72FDE" w:rsidRPr="000C0B6C" w14:paraId="19EEEC9F" w14:textId="77777777" w:rsidTr="009251C2">
        <w:trPr>
          <w:trHeight w:val="224"/>
        </w:trPr>
        <w:tc>
          <w:tcPr>
            <w:tcW w:w="818" w:type="dxa"/>
          </w:tcPr>
          <w:p w14:paraId="413A3042" w14:textId="77777777" w:rsidR="00F72FDE" w:rsidRPr="000C0B6C" w:rsidRDefault="00F72FDE" w:rsidP="009251C2"/>
        </w:tc>
        <w:tc>
          <w:tcPr>
            <w:tcW w:w="1231" w:type="dxa"/>
          </w:tcPr>
          <w:p w14:paraId="705A1EFA" w14:textId="3C9C3A44" w:rsidR="00F72FDE" w:rsidRDefault="00F72FDE" w:rsidP="009251C2">
            <w:r>
              <w:t>88</w:t>
            </w:r>
          </w:p>
        </w:tc>
        <w:tc>
          <w:tcPr>
            <w:tcW w:w="8139" w:type="dxa"/>
            <w:gridSpan w:val="2"/>
          </w:tcPr>
          <w:p w14:paraId="4C635634" w14:textId="1584930C" w:rsidR="00F72FDE" w:rsidRDefault="00F72FDE" w:rsidP="00F72FDE">
            <w:r>
              <w:t xml:space="preserve">Change the last sentence of the paragraph to: </w:t>
            </w:r>
            <w:r w:rsidRPr="00F72FDE">
              <w:rPr>
                <w:b/>
              </w:rPr>
              <w:t xml:space="preserve">The World Database of Key Biodiversity Areas can be used to track the protected area coverage of sites of importance for biodiversity and also the representativeness of protected areas in conserving species and ecosystems </w:t>
            </w:r>
          </w:p>
        </w:tc>
      </w:tr>
      <w:tr w:rsidR="00A61CDA" w:rsidRPr="000C0B6C" w14:paraId="6D4F1643" w14:textId="77777777" w:rsidTr="009251C2">
        <w:trPr>
          <w:trHeight w:val="224"/>
        </w:trPr>
        <w:tc>
          <w:tcPr>
            <w:tcW w:w="818" w:type="dxa"/>
          </w:tcPr>
          <w:p w14:paraId="72F670F1" w14:textId="77777777" w:rsidR="00A61CDA" w:rsidRPr="000C0B6C" w:rsidRDefault="00A61CDA" w:rsidP="009251C2"/>
        </w:tc>
        <w:tc>
          <w:tcPr>
            <w:tcW w:w="1231" w:type="dxa"/>
          </w:tcPr>
          <w:p w14:paraId="7357C163" w14:textId="7EA02AD3" w:rsidR="00A61CDA" w:rsidRDefault="00A61CDA" w:rsidP="009251C2">
            <w:r>
              <w:t>99</w:t>
            </w:r>
          </w:p>
        </w:tc>
        <w:tc>
          <w:tcPr>
            <w:tcW w:w="8139" w:type="dxa"/>
            <w:gridSpan w:val="2"/>
          </w:tcPr>
          <w:p w14:paraId="08A2EC47" w14:textId="5630B9E9" w:rsidR="00A61CDA" w:rsidRDefault="00A61CDA" w:rsidP="009251C2">
            <w:r>
              <w:t>Target 3 has relevance to the restoration of ecosystems also through the reintroduction of species not just land use change. Suggested language for the last sentence is:  ‘</w:t>
            </w:r>
            <w:r w:rsidRPr="00A61CDA">
              <w:t>This includes proposed targets addressing land use change (target 1)</w:t>
            </w:r>
            <w:r>
              <w:t xml:space="preserve">, </w:t>
            </w:r>
            <w:r w:rsidRPr="00A61CDA">
              <w:rPr>
                <w:b/>
              </w:rPr>
              <w:t>restoration of ecosystem integrity through species reintroductions (Target 1)</w:t>
            </w:r>
            <w:r w:rsidRPr="00A61CDA">
              <w:t>, overexploitation</w:t>
            </w:r>
            <w:r>
              <w:t>…’</w:t>
            </w:r>
          </w:p>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331FFECD" w:rsidR="00236608" w:rsidRPr="000C0B6C" w:rsidRDefault="0087493F" w:rsidP="009251C2">
            <w:r>
              <w:t>132</w:t>
            </w:r>
          </w:p>
        </w:tc>
        <w:tc>
          <w:tcPr>
            <w:tcW w:w="8139" w:type="dxa"/>
            <w:gridSpan w:val="2"/>
          </w:tcPr>
          <w:p w14:paraId="2A720A2D" w14:textId="46DCBC81" w:rsidR="00236608" w:rsidRPr="000C0B6C" w:rsidRDefault="0087493F" w:rsidP="009251C2">
            <w:r>
              <w:t>Replace “or” with “</w:t>
            </w:r>
            <w:r w:rsidRPr="005C773D">
              <w:rPr>
                <w:b/>
              </w:rPr>
              <w:t>including</w:t>
            </w:r>
            <w:r>
              <w:t>” before “Alliance for Zero Extinction sites”</w:t>
            </w:r>
          </w:p>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28F51969" w:rsidR="00236608" w:rsidRPr="000C0B6C" w:rsidRDefault="0015617B" w:rsidP="009251C2">
            <w:r>
              <w:t>224</w:t>
            </w:r>
          </w:p>
        </w:tc>
        <w:tc>
          <w:tcPr>
            <w:tcW w:w="8139" w:type="dxa"/>
            <w:gridSpan w:val="2"/>
          </w:tcPr>
          <w:p w14:paraId="778EFB93" w14:textId="20392C49" w:rsidR="00236608" w:rsidRPr="0015617B" w:rsidRDefault="0015617B" w:rsidP="0015617B">
            <w:pPr>
              <w:rPr>
                <w:b/>
              </w:rPr>
            </w:pPr>
            <w:r>
              <w:t>Target 13 should be closely linked to the spatial planning component of Target 1 as spatially explicit plans are a very useful tool to help mainstream biodiversity conservation. Suggest adding a sentence at the end as follows: ‘</w:t>
            </w:r>
            <w:r>
              <w:rPr>
                <w:b/>
              </w:rPr>
              <w:t>Spatially explicit conservation plans (Target 1) that incorporate important sites for biodiversity, such as Key Biodiversity Areas, are one of the best tools to use to facilitate mainstreaming of biodiversity across sectors of government.’</w:t>
            </w:r>
          </w:p>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147E7BDD" w:rsidR="006060BF" w:rsidRPr="000C0B6C" w:rsidRDefault="0015617B" w:rsidP="009251C2">
            <w:r>
              <w:t>283</w:t>
            </w:r>
          </w:p>
        </w:tc>
        <w:tc>
          <w:tcPr>
            <w:tcW w:w="8139" w:type="dxa"/>
            <w:gridSpan w:val="2"/>
          </w:tcPr>
          <w:p w14:paraId="2D3D32A2" w14:textId="5CDF0277" w:rsidR="006060BF" w:rsidRPr="000C0B6C" w:rsidRDefault="0015617B" w:rsidP="00676F7D">
            <w:r>
              <w:t xml:space="preserve">Add </w:t>
            </w:r>
            <w:r w:rsidR="00676F7D">
              <w:t xml:space="preserve">these </w:t>
            </w:r>
            <w:r>
              <w:t>sentence</w:t>
            </w:r>
            <w:r w:rsidR="00676F7D">
              <w:t>s in bold</w:t>
            </w:r>
            <w:r>
              <w:t xml:space="preserve"> after sentence on Barcode Index numbers…: </w:t>
            </w:r>
            <w:r w:rsidRPr="0015617B">
              <w:rPr>
                <w:b/>
              </w:rPr>
              <w:t>The World Database of</w:t>
            </w:r>
            <w:r>
              <w:rPr>
                <w:b/>
              </w:rPr>
              <w:t xml:space="preserve"> Key Biodiversity Areas contains data on the proportion of species </w:t>
            </w:r>
            <w:r w:rsidR="00676F7D">
              <w:rPr>
                <w:b/>
              </w:rPr>
              <w:t xml:space="preserve">and ecosystems </w:t>
            </w:r>
            <w:r>
              <w:rPr>
                <w:b/>
              </w:rPr>
              <w:t xml:space="preserve">found at a site </w:t>
            </w:r>
            <w:r w:rsidR="00676F7D" w:rsidRPr="00676F7D">
              <w:rPr>
                <w:b/>
              </w:rPr>
              <w:t>where they meet KBA cri</w:t>
            </w:r>
            <w:r w:rsidR="00676F7D">
              <w:rPr>
                <w:b/>
              </w:rPr>
              <w:t>teria thresholds and is used to identify sites of global importance for species and ecosystems’. National assessments of biodiversity can be used to identify KBAs and secure important populations.</w:t>
            </w:r>
            <w:r w:rsidR="00676F7D">
              <w:t xml:space="preserve"> KBA information also feeds into UN </w:t>
            </w:r>
            <w:proofErr w:type="spellStart"/>
            <w:r w:rsidR="00676F7D">
              <w:t>Biolabs</w:t>
            </w:r>
            <w:proofErr w:type="spellEnd"/>
            <w:r w:rsidR="00676F7D">
              <w:t xml:space="preserve"> and IBAT and could be used to monitor use of biodiversity data to identify sites of importance. </w:t>
            </w:r>
          </w:p>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12"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C90041"/>
    <w:multiLevelType w:val="multilevel"/>
    <w:tmpl w:val="D36C6A2C"/>
    <w:lvl w:ilvl="0">
      <w:start w:val="1"/>
      <w:numFmt w:val="lowerLetter"/>
      <w:lvlText w:val="(%1)"/>
      <w:lvlJc w:val="left"/>
      <w:pPr>
        <w:ind w:left="109" w:hanging="720"/>
      </w:pPr>
      <w:rPr>
        <w:rFonts w:ascii="Times New Roman" w:eastAsia="Times New Roman" w:hAnsi="Times New Roman" w:cs="Times New Roman"/>
        <w:b w:val="0"/>
        <w:i w:val="0"/>
        <w:sz w:val="22"/>
        <w:szCs w:val="22"/>
      </w:rPr>
    </w:lvl>
    <w:lvl w:ilvl="1">
      <w:start w:val="1"/>
      <w:numFmt w:val="bullet"/>
      <w:lvlText w:val="•"/>
      <w:lvlJc w:val="left"/>
      <w:pPr>
        <w:ind w:left="1058" w:hanging="720"/>
      </w:pPr>
    </w:lvl>
    <w:lvl w:ilvl="2">
      <w:start w:val="1"/>
      <w:numFmt w:val="bullet"/>
      <w:lvlText w:val="•"/>
      <w:lvlJc w:val="left"/>
      <w:pPr>
        <w:ind w:left="2016" w:hanging="720"/>
      </w:pPr>
    </w:lvl>
    <w:lvl w:ilvl="3">
      <w:start w:val="1"/>
      <w:numFmt w:val="bullet"/>
      <w:lvlText w:val="•"/>
      <w:lvlJc w:val="left"/>
      <w:pPr>
        <w:ind w:left="2974" w:hanging="720"/>
      </w:pPr>
    </w:lvl>
    <w:lvl w:ilvl="4">
      <w:start w:val="1"/>
      <w:numFmt w:val="bullet"/>
      <w:lvlText w:val="•"/>
      <w:lvlJc w:val="left"/>
      <w:pPr>
        <w:ind w:left="3932" w:hanging="720"/>
      </w:pPr>
    </w:lvl>
    <w:lvl w:ilvl="5">
      <w:start w:val="1"/>
      <w:numFmt w:val="bullet"/>
      <w:lvlText w:val="•"/>
      <w:lvlJc w:val="left"/>
      <w:pPr>
        <w:ind w:left="4890" w:hanging="720"/>
      </w:pPr>
    </w:lvl>
    <w:lvl w:ilvl="6">
      <w:start w:val="1"/>
      <w:numFmt w:val="bullet"/>
      <w:lvlText w:val="•"/>
      <w:lvlJc w:val="left"/>
      <w:pPr>
        <w:ind w:left="5848" w:hanging="720"/>
      </w:pPr>
    </w:lvl>
    <w:lvl w:ilvl="7">
      <w:start w:val="1"/>
      <w:numFmt w:val="bullet"/>
      <w:lvlText w:val="•"/>
      <w:lvlJc w:val="left"/>
      <w:pPr>
        <w:ind w:left="6806" w:hanging="720"/>
      </w:pPr>
    </w:lvl>
    <w:lvl w:ilvl="8">
      <w:start w:val="1"/>
      <w:numFmt w:val="bullet"/>
      <w:lvlText w:val="•"/>
      <w:lvlJc w:val="left"/>
      <w:pPr>
        <w:ind w:left="7764"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15617B"/>
    <w:rsid w:val="001C2BDB"/>
    <w:rsid w:val="001D6DD0"/>
    <w:rsid w:val="00236608"/>
    <w:rsid w:val="00334544"/>
    <w:rsid w:val="00365D04"/>
    <w:rsid w:val="003B08FB"/>
    <w:rsid w:val="004056FD"/>
    <w:rsid w:val="0041502D"/>
    <w:rsid w:val="00461483"/>
    <w:rsid w:val="004F148F"/>
    <w:rsid w:val="00504926"/>
    <w:rsid w:val="0053118E"/>
    <w:rsid w:val="005324AB"/>
    <w:rsid w:val="005C773D"/>
    <w:rsid w:val="006060BF"/>
    <w:rsid w:val="006125AA"/>
    <w:rsid w:val="00676F7D"/>
    <w:rsid w:val="006D6F86"/>
    <w:rsid w:val="007761AE"/>
    <w:rsid w:val="00790F3D"/>
    <w:rsid w:val="007B362C"/>
    <w:rsid w:val="0087493F"/>
    <w:rsid w:val="008A188F"/>
    <w:rsid w:val="008C7855"/>
    <w:rsid w:val="008E7015"/>
    <w:rsid w:val="00916ACB"/>
    <w:rsid w:val="00976DCD"/>
    <w:rsid w:val="00A51FA4"/>
    <w:rsid w:val="00A61CDA"/>
    <w:rsid w:val="00AF4AD0"/>
    <w:rsid w:val="00B51493"/>
    <w:rsid w:val="00BD481F"/>
    <w:rsid w:val="00D93CCA"/>
    <w:rsid w:val="00DB20C0"/>
    <w:rsid w:val="00F25D89"/>
    <w:rsid w:val="00F64328"/>
    <w:rsid w:val="00F72FDE"/>
    <w:rsid w:val="00F87DB3"/>
    <w:rsid w:val="00FB00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9EAD4054-B06B-403A-9FC2-944616252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UnresolvedMention">
    <w:name w:val="Unresolved Mention"/>
    <w:basedOn w:val="DefaultParagraphFont"/>
    <w:uiPriority w:val="99"/>
    <w:semiHidden/>
    <w:unhideWhenUsed/>
    <w:rsid w:val="0087493F"/>
    <w:rPr>
      <w:color w:val="605E5C"/>
      <w:shd w:val="clear" w:color="auto" w:fill="E1DFDD"/>
    </w:rPr>
  </w:style>
  <w:style w:type="paragraph" w:styleId="BalloonText">
    <w:name w:val="Balloon Text"/>
    <w:basedOn w:val="Normal"/>
    <w:link w:val="BalloonTextChar"/>
    <w:uiPriority w:val="99"/>
    <w:semiHidden/>
    <w:unhideWhenUsed/>
    <w:rsid w:val="008A18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88F"/>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ybiodiversityareas.org/"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eybiodiversityareas.org" TargetMode="External"/><Relationship Id="rId5" Type="http://schemas.openxmlformats.org/officeDocument/2006/relationships/styles" Target="styles.xml"/><Relationship Id="rId10" Type="http://schemas.openxmlformats.org/officeDocument/2006/relationships/hyperlink" Target="https://www.iucncongress2020.org/motion/096" TargetMode="External"/><Relationship Id="rId4" Type="http://schemas.openxmlformats.org/officeDocument/2006/relationships/numbering" Target="numbering.xml"/><Relationship Id="rId9" Type="http://schemas.openxmlformats.org/officeDocument/2006/relationships/hyperlink" Target="https://portals.iucn.org/library/node/4625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Andy</cp:lastModifiedBy>
  <cp:revision>5</cp:revision>
  <dcterms:created xsi:type="dcterms:W3CDTF">2021-04-22T11:32:00Z</dcterms:created>
  <dcterms:modified xsi:type="dcterms:W3CDTF">2021-04-23T12:21:00Z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