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84" w:rsidRPr="007E654B" w:rsidRDefault="00E04584" w:rsidP="00935A6B">
      <w:pPr>
        <w:tabs>
          <w:tab w:val="left" w:pos="7020"/>
        </w:tabs>
        <w:spacing w:before="240" w:after="240" w:line="240" w:lineRule="auto"/>
        <w:ind w:right="44"/>
        <w:jc w:val="both"/>
        <w:rPr>
          <w:rFonts w:ascii="Times New Roman" w:eastAsia="Times New Roman" w:hAnsi="Times New Roman"/>
          <w:lang w:val="en-GB" w:eastAsia="en-CA"/>
        </w:rPr>
      </w:pPr>
      <w:r w:rsidRPr="007E654B">
        <w:rPr>
          <w:rFonts w:ascii="Times New Roman" w:eastAsia="Times New Roman" w:hAnsi="Times New Roman"/>
          <w:lang w:val="en-GB" w:eastAsia="en-CA"/>
        </w:rPr>
        <w:t>Ref.: SCBD/</w:t>
      </w:r>
      <w:r w:rsidR="00197F8D" w:rsidRPr="007E654B">
        <w:rPr>
          <w:rFonts w:ascii="Times New Roman" w:eastAsia="Times New Roman" w:hAnsi="Times New Roman"/>
          <w:lang w:val="en-GB" w:eastAsia="en-US"/>
        </w:rPr>
        <w:t>SPS</w:t>
      </w:r>
      <w:r w:rsidRPr="007E654B">
        <w:rPr>
          <w:rFonts w:ascii="Times New Roman" w:eastAsia="Times New Roman" w:hAnsi="Times New Roman"/>
          <w:lang w:val="en-GB" w:eastAsia="en-US"/>
        </w:rPr>
        <w:t>/</w:t>
      </w:r>
      <w:r w:rsidR="003F73F1" w:rsidRPr="007E654B">
        <w:rPr>
          <w:rFonts w:ascii="Times New Roman" w:eastAsia="Times New Roman" w:hAnsi="Times New Roman"/>
          <w:lang w:val="en-GB" w:eastAsia="en-US"/>
        </w:rPr>
        <w:t>AL</w:t>
      </w:r>
      <w:r w:rsidRPr="007E654B">
        <w:rPr>
          <w:rFonts w:ascii="Times New Roman" w:eastAsia="Times New Roman" w:hAnsi="Times New Roman"/>
          <w:lang w:val="en-GB" w:eastAsia="en-US"/>
        </w:rPr>
        <w:t>/M</w:t>
      </w:r>
      <w:r w:rsidR="00647378" w:rsidRPr="007E654B">
        <w:rPr>
          <w:rFonts w:ascii="Times New Roman" w:eastAsia="Times New Roman" w:hAnsi="Times New Roman"/>
          <w:lang w:val="en-GB" w:eastAsia="en-US"/>
        </w:rPr>
        <w:t>PM/MW/</w:t>
      </w:r>
      <w:r w:rsidR="00805751" w:rsidRPr="007E654B">
        <w:rPr>
          <w:rFonts w:ascii="Times New Roman" w:eastAsia="Times New Roman" w:hAnsi="Times New Roman"/>
          <w:lang w:val="en-GB" w:eastAsia="en-US"/>
        </w:rPr>
        <w:t>87278</w:t>
      </w:r>
      <w:r w:rsidRPr="007E654B">
        <w:rPr>
          <w:rFonts w:ascii="Times New Roman" w:eastAsia="Times New Roman" w:hAnsi="Times New Roman"/>
          <w:lang w:val="en-GB" w:eastAsia="en-CA"/>
        </w:rPr>
        <w:tab/>
      </w:r>
      <w:r w:rsidR="001706CC" w:rsidRPr="007E654B">
        <w:rPr>
          <w:rFonts w:ascii="Times New Roman" w:eastAsia="Times New Roman" w:hAnsi="Times New Roman"/>
          <w:lang w:val="en-GB" w:eastAsia="en-CA"/>
        </w:rPr>
        <w:t>9</w:t>
      </w:r>
      <w:r w:rsidR="006A618F" w:rsidRPr="007E654B">
        <w:rPr>
          <w:rFonts w:ascii="Times New Roman" w:eastAsia="Times New Roman" w:hAnsi="Times New Roman"/>
          <w:lang w:val="en-GB" w:eastAsia="en-CA"/>
        </w:rPr>
        <w:t xml:space="preserve"> </w:t>
      </w:r>
      <w:r w:rsidR="0060169C" w:rsidRPr="007E654B">
        <w:rPr>
          <w:rFonts w:ascii="Times New Roman" w:eastAsia="Times New Roman" w:hAnsi="Times New Roman"/>
          <w:lang w:val="en-GB" w:eastAsia="en-CA"/>
        </w:rPr>
        <w:t xml:space="preserve">April </w:t>
      </w:r>
      <w:r w:rsidRPr="007E654B">
        <w:rPr>
          <w:rFonts w:ascii="Times New Roman" w:eastAsia="Times New Roman" w:hAnsi="Times New Roman"/>
          <w:lang w:val="en-GB" w:eastAsia="en-CA"/>
        </w:rPr>
        <w:t>201</w:t>
      </w:r>
      <w:r w:rsidR="00647378" w:rsidRPr="007E654B">
        <w:rPr>
          <w:rFonts w:ascii="Times New Roman" w:eastAsia="Times New Roman" w:hAnsi="Times New Roman"/>
          <w:lang w:val="en-GB" w:eastAsia="en-CA"/>
        </w:rPr>
        <w:t>8</w:t>
      </w:r>
    </w:p>
    <w:p w:rsidR="00E04584" w:rsidRPr="007E654B" w:rsidRDefault="00E04584" w:rsidP="00E04584">
      <w:pPr>
        <w:keepNext/>
        <w:spacing w:before="240" w:after="240" w:line="240" w:lineRule="auto"/>
        <w:jc w:val="center"/>
        <w:outlineLvl w:val="0"/>
        <w:rPr>
          <w:rFonts w:ascii="Times New Roman" w:eastAsia="Times New Roman" w:hAnsi="Times New Roman"/>
          <w:b/>
          <w:bCs/>
          <w:lang w:val="pt-BR" w:eastAsia="en-US"/>
        </w:rPr>
      </w:pPr>
      <w:r w:rsidRPr="007E654B">
        <w:rPr>
          <w:rFonts w:ascii="Times New Roman" w:eastAsia="Times New Roman" w:hAnsi="Times New Roman"/>
          <w:b/>
          <w:bCs/>
          <w:lang w:val="pt-BR" w:eastAsia="en-US"/>
        </w:rPr>
        <w:t>N O T I F I C A T I O N</w:t>
      </w:r>
    </w:p>
    <w:p w:rsidR="00E04584" w:rsidRPr="007E654B" w:rsidRDefault="00E04584" w:rsidP="00E04584">
      <w:pPr>
        <w:autoSpaceDE w:val="0"/>
        <w:autoSpaceDN w:val="0"/>
        <w:adjustRightInd w:val="0"/>
        <w:spacing w:before="240" w:after="240" w:line="240" w:lineRule="auto"/>
        <w:ind w:left="720" w:right="546"/>
        <w:jc w:val="center"/>
        <w:rPr>
          <w:rFonts w:ascii="Times New Roman" w:eastAsia="Times New Roman" w:hAnsi="Times New Roman"/>
          <w:b/>
          <w:bCs/>
          <w:lang w:val="en-GB" w:eastAsia="en-US"/>
        </w:rPr>
      </w:pPr>
      <w:r w:rsidRPr="007E654B">
        <w:rPr>
          <w:rFonts w:ascii="Times New Roman" w:eastAsia="Times New Roman" w:hAnsi="Times New Roman"/>
          <w:b/>
          <w:bCs/>
          <w:lang w:val="en-GB" w:eastAsia="en-US"/>
        </w:rPr>
        <w:t>Submission of inform</w:t>
      </w:r>
      <w:r w:rsidR="00647378" w:rsidRPr="007E654B">
        <w:rPr>
          <w:rFonts w:ascii="Times New Roman" w:eastAsia="Times New Roman" w:hAnsi="Times New Roman"/>
          <w:b/>
          <w:bCs/>
          <w:lang w:val="en-GB" w:eastAsia="en-US"/>
        </w:rPr>
        <w:t>ation requested in decision BS-VI</w:t>
      </w:r>
      <w:r w:rsidRPr="007E654B">
        <w:rPr>
          <w:rFonts w:ascii="Times New Roman" w:eastAsia="Times New Roman" w:hAnsi="Times New Roman"/>
          <w:b/>
          <w:bCs/>
          <w:lang w:val="en-GB" w:eastAsia="en-US"/>
        </w:rPr>
        <w:t>/</w:t>
      </w:r>
      <w:r w:rsidR="00647378" w:rsidRPr="007E654B">
        <w:rPr>
          <w:rFonts w:ascii="Times New Roman" w:eastAsia="Times New Roman" w:hAnsi="Times New Roman"/>
          <w:b/>
          <w:bCs/>
          <w:lang w:val="en-GB" w:eastAsia="en-US"/>
        </w:rPr>
        <w:t>3</w:t>
      </w:r>
      <w:r w:rsidRPr="007E654B">
        <w:rPr>
          <w:rFonts w:ascii="Times New Roman" w:eastAsia="Times New Roman" w:hAnsi="Times New Roman"/>
          <w:b/>
          <w:bCs/>
          <w:lang w:val="en-GB" w:eastAsia="en-US"/>
        </w:rPr>
        <w:t xml:space="preserve"> on</w:t>
      </w:r>
      <w:r w:rsidRPr="007E654B">
        <w:rPr>
          <w:rFonts w:ascii="Times New Roman" w:eastAsia="Times New Roman" w:hAnsi="Times New Roman"/>
          <w:b/>
          <w:bCs/>
          <w:lang w:val="en-GB" w:eastAsia="en-US"/>
        </w:rPr>
        <w:br/>
      </w:r>
      <w:r w:rsidR="00647378" w:rsidRPr="007E654B">
        <w:rPr>
          <w:rFonts w:ascii="Times New Roman" w:eastAsia="Times New Roman" w:hAnsi="Times New Roman"/>
          <w:b/>
          <w:bCs/>
          <w:lang w:val="en-GB" w:eastAsia="en-US"/>
        </w:rPr>
        <w:t>Capacity Building</w:t>
      </w:r>
      <w:r w:rsidRPr="007E654B">
        <w:rPr>
          <w:rFonts w:ascii="Times New Roman" w:eastAsia="Times New Roman" w:hAnsi="Times New Roman"/>
          <w:b/>
          <w:bCs/>
          <w:lang w:val="en-GB" w:eastAsia="en-US"/>
        </w:rPr>
        <w:t xml:space="preserve"> (Article </w:t>
      </w:r>
      <w:r w:rsidR="00647378" w:rsidRPr="007E654B">
        <w:rPr>
          <w:rFonts w:ascii="Times New Roman" w:eastAsia="Times New Roman" w:hAnsi="Times New Roman"/>
          <w:b/>
          <w:bCs/>
          <w:lang w:val="en-GB" w:eastAsia="en-US"/>
        </w:rPr>
        <w:t>22</w:t>
      </w:r>
      <w:r w:rsidRPr="007E654B">
        <w:rPr>
          <w:rFonts w:ascii="Times New Roman" w:eastAsia="Times New Roman" w:hAnsi="Times New Roman"/>
          <w:b/>
          <w:bCs/>
          <w:lang w:val="en-GB" w:eastAsia="en-US"/>
        </w:rPr>
        <w:t>)</w:t>
      </w:r>
    </w:p>
    <w:p w:rsidR="00E04584" w:rsidRPr="007E654B" w:rsidRDefault="00E04584" w:rsidP="00B2695E">
      <w:pPr>
        <w:autoSpaceDE w:val="0"/>
        <w:autoSpaceDN w:val="0"/>
        <w:adjustRightInd w:val="0"/>
        <w:spacing w:before="240" w:after="240" w:line="240" w:lineRule="auto"/>
        <w:jc w:val="both"/>
        <w:rPr>
          <w:rFonts w:ascii="Times New Roman" w:eastAsia="Times New Roman" w:hAnsi="Times New Roman"/>
          <w:lang w:val="en-GB" w:eastAsia="en-US"/>
        </w:rPr>
      </w:pPr>
      <w:r w:rsidRPr="007E654B">
        <w:rPr>
          <w:rFonts w:ascii="Times New Roman" w:eastAsia="Times New Roman" w:hAnsi="Times New Roman"/>
          <w:lang w:val="en-GB" w:eastAsia="en-US"/>
        </w:rPr>
        <w:t>Dear Madam/Sir,</w:t>
      </w:r>
    </w:p>
    <w:p w:rsidR="00704F60" w:rsidRPr="007E654B" w:rsidRDefault="00704F60" w:rsidP="00B2695E">
      <w:pPr>
        <w:autoSpaceDE w:val="0"/>
        <w:autoSpaceDN w:val="0"/>
        <w:adjustRightInd w:val="0"/>
        <w:spacing w:before="240" w:after="240" w:line="240" w:lineRule="auto"/>
        <w:ind w:firstLine="720"/>
        <w:jc w:val="both"/>
        <w:rPr>
          <w:rFonts w:ascii="Times New Roman" w:eastAsia="Times New Roman" w:hAnsi="Times New Roman"/>
          <w:lang w:val="en-GB" w:eastAsia="en-US"/>
        </w:rPr>
      </w:pPr>
      <w:r w:rsidRPr="007E654B">
        <w:rPr>
          <w:rFonts w:ascii="Times New Roman" w:eastAsia="Times New Roman" w:hAnsi="Times New Roman"/>
          <w:lang w:val="en-GB" w:eastAsia="en-US"/>
        </w:rPr>
        <w:t>I am pleased to invite Parties</w:t>
      </w:r>
      <w:r w:rsidR="00647378" w:rsidRPr="007E654B">
        <w:rPr>
          <w:rFonts w:ascii="Times New Roman" w:eastAsia="Times New Roman" w:hAnsi="Times New Roman"/>
          <w:lang w:val="en-GB" w:eastAsia="en-US"/>
        </w:rPr>
        <w:t>,</w:t>
      </w:r>
      <w:r w:rsidRPr="007E654B">
        <w:rPr>
          <w:rFonts w:ascii="Times New Roman" w:eastAsia="Times New Roman" w:hAnsi="Times New Roman"/>
          <w:lang w:val="en-GB" w:eastAsia="en-US"/>
        </w:rPr>
        <w:t xml:space="preserve"> other Governments</w:t>
      </w:r>
      <w:r w:rsidR="00C97221" w:rsidRPr="007E654B">
        <w:rPr>
          <w:rFonts w:ascii="Times New Roman" w:eastAsia="Times New Roman" w:hAnsi="Times New Roman"/>
          <w:lang w:val="en-GB" w:eastAsia="en-US"/>
        </w:rPr>
        <w:t xml:space="preserve">, </w:t>
      </w:r>
      <w:r w:rsidR="00647378" w:rsidRPr="007E654B">
        <w:rPr>
          <w:rFonts w:ascii="Times New Roman" w:eastAsia="Times New Roman" w:hAnsi="Times New Roman"/>
          <w:lang w:val="en-GB" w:eastAsia="en-US"/>
        </w:rPr>
        <w:t>relevant organization</w:t>
      </w:r>
      <w:r w:rsidR="00C97221" w:rsidRPr="007E654B">
        <w:rPr>
          <w:rFonts w:ascii="Times New Roman" w:eastAsia="Times New Roman" w:hAnsi="Times New Roman"/>
          <w:lang w:val="en-GB" w:eastAsia="en-US"/>
        </w:rPr>
        <w:t>s</w:t>
      </w:r>
      <w:r w:rsidR="003F73F1" w:rsidRPr="007E654B">
        <w:rPr>
          <w:rFonts w:ascii="Times New Roman" w:eastAsia="Times New Roman" w:hAnsi="Times New Roman"/>
          <w:lang w:val="en-GB" w:eastAsia="en-US"/>
        </w:rPr>
        <w:t xml:space="preserve"> and indigenous peoples and local communities</w:t>
      </w:r>
      <w:r w:rsidR="00C97221" w:rsidRPr="007E654B">
        <w:rPr>
          <w:rFonts w:ascii="Times New Roman" w:eastAsia="Times New Roman" w:hAnsi="Times New Roman"/>
          <w:lang w:val="en-GB" w:eastAsia="en-US"/>
        </w:rPr>
        <w:t xml:space="preserve"> </w:t>
      </w:r>
      <w:r w:rsidRPr="007E654B">
        <w:rPr>
          <w:rFonts w:ascii="Times New Roman" w:eastAsia="Times New Roman" w:hAnsi="Times New Roman"/>
          <w:lang w:val="en-GB" w:eastAsia="en-US"/>
        </w:rPr>
        <w:t xml:space="preserve">to submit </w:t>
      </w:r>
      <w:r w:rsidR="00647378" w:rsidRPr="007E654B">
        <w:rPr>
          <w:rFonts w:ascii="Times New Roman" w:eastAsia="Times New Roman" w:hAnsi="Times New Roman"/>
          <w:lang w:val="en-GB" w:eastAsia="en-US"/>
        </w:rPr>
        <w:t xml:space="preserve">information on the status of implementation of the </w:t>
      </w:r>
      <w:hyperlink r:id="rId8" w:history="1">
        <w:r w:rsidR="00333B33" w:rsidRPr="007E654B">
          <w:rPr>
            <w:rStyle w:val="Hipervnculo"/>
            <w:rFonts w:ascii="Times New Roman" w:eastAsia="Times New Roman" w:hAnsi="Times New Roman"/>
            <w:color w:val="auto"/>
            <w:lang w:val="en-GB" w:eastAsia="en-US"/>
          </w:rPr>
          <w:t>Framework and Action Plan for Capacity-Building for the Effective Implementation of the Cartagena Protocol on Biosafety</w:t>
        </w:r>
      </w:hyperlink>
      <w:r w:rsidR="00C97221" w:rsidRPr="007E654B">
        <w:rPr>
          <w:rFonts w:ascii="Times New Roman" w:eastAsia="Times New Roman" w:hAnsi="Times New Roman"/>
          <w:lang w:val="en-GB" w:eastAsia="en-US"/>
        </w:rPr>
        <w:t>, including a summary of the results of the activities undertaken, good practices and lessons learned</w:t>
      </w:r>
      <w:r w:rsidR="00647378" w:rsidRPr="007E654B">
        <w:rPr>
          <w:rFonts w:ascii="Times New Roman" w:eastAsia="Times New Roman" w:hAnsi="Times New Roman"/>
          <w:lang w:val="en-GB" w:eastAsia="en-US"/>
        </w:rPr>
        <w:t>.</w:t>
      </w:r>
    </w:p>
    <w:p w:rsidR="001C2A70" w:rsidRPr="007E654B" w:rsidRDefault="00582544" w:rsidP="0040778B">
      <w:pPr>
        <w:autoSpaceDE w:val="0"/>
        <w:autoSpaceDN w:val="0"/>
        <w:adjustRightInd w:val="0"/>
        <w:spacing w:before="240" w:after="240" w:line="240" w:lineRule="auto"/>
        <w:ind w:firstLine="720"/>
        <w:jc w:val="both"/>
        <w:rPr>
          <w:rFonts w:ascii="Times New Roman" w:eastAsia="Times New Roman" w:hAnsi="Times New Roman"/>
          <w:lang w:val="en-GB" w:eastAsia="en-US"/>
        </w:rPr>
      </w:pPr>
      <w:r w:rsidRPr="007E654B">
        <w:rPr>
          <w:rFonts w:ascii="Times New Roman" w:eastAsia="Times New Roman" w:hAnsi="Times New Roman"/>
          <w:lang w:val="en-GB" w:eastAsia="en-US"/>
        </w:rPr>
        <w:t xml:space="preserve">This invitation is pursuant to paragraph </w:t>
      </w:r>
      <w:r w:rsidR="00D84584" w:rsidRPr="007E654B">
        <w:rPr>
          <w:rFonts w:ascii="Times New Roman" w:eastAsia="Times New Roman" w:hAnsi="Times New Roman"/>
          <w:lang w:val="en-GB" w:eastAsia="en-US"/>
        </w:rPr>
        <w:t>6</w:t>
      </w:r>
      <w:r w:rsidRPr="007E654B">
        <w:rPr>
          <w:rFonts w:ascii="Times New Roman" w:eastAsia="Times New Roman" w:hAnsi="Times New Roman"/>
          <w:lang w:val="en-GB" w:eastAsia="en-US"/>
        </w:rPr>
        <w:t xml:space="preserve"> of decision BS-VI/3 requesting the Executive Secretary to prepare, for consideration by the regular meetings of the Parties, reports on the status of implementation of the Framework and Action Plan, on the basis of the submissions made by Parties, other Governments and relevant organizations.</w:t>
      </w:r>
      <w:r w:rsidR="00E50EC9" w:rsidRPr="007E654B">
        <w:rPr>
          <w:rFonts w:ascii="Times New Roman" w:eastAsia="Times New Roman" w:hAnsi="Times New Roman"/>
          <w:lang w:val="en-GB" w:eastAsia="en-US"/>
        </w:rPr>
        <w:t xml:space="preserve"> </w:t>
      </w:r>
    </w:p>
    <w:p w:rsidR="00E468D7" w:rsidRPr="007E654B" w:rsidRDefault="00E468D7" w:rsidP="0040778B">
      <w:pPr>
        <w:autoSpaceDE w:val="0"/>
        <w:autoSpaceDN w:val="0"/>
        <w:adjustRightInd w:val="0"/>
        <w:spacing w:before="240" w:after="240" w:line="240" w:lineRule="auto"/>
        <w:ind w:firstLine="720"/>
        <w:jc w:val="both"/>
        <w:rPr>
          <w:rFonts w:ascii="Times New Roman" w:eastAsia="Times New Roman" w:hAnsi="Times New Roman"/>
          <w:lang w:val="en-GB" w:eastAsia="en-US"/>
        </w:rPr>
      </w:pPr>
      <w:r w:rsidRPr="007E654B">
        <w:rPr>
          <w:rFonts w:ascii="Times New Roman" w:eastAsia="Times New Roman" w:hAnsi="Times New Roman"/>
          <w:lang w:val="en-GB" w:eastAsia="en-US"/>
        </w:rPr>
        <w:t xml:space="preserve">The information contained in the submissions will be synthesized and presented to the ninth </w:t>
      </w:r>
      <w:r w:rsidRPr="007E654B">
        <w:rPr>
          <w:rFonts w:ascii="Times New Roman" w:eastAsia="Times New Roman" w:hAnsi="Times New Roman"/>
          <w:lang w:eastAsia="en-US"/>
        </w:rPr>
        <w:t xml:space="preserve">meeting of </w:t>
      </w:r>
      <w:r w:rsidR="00B2695E" w:rsidRPr="007E654B">
        <w:rPr>
          <w:rFonts w:ascii="Times New Roman" w:eastAsia="Times New Roman" w:hAnsi="Times New Roman"/>
          <w:lang w:eastAsia="en-US"/>
        </w:rPr>
        <w:t xml:space="preserve">the </w:t>
      </w:r>
      <w:r w:rsidRPr="007E654B">
        <w:rPr>
          <w:rFonts w:ascii="Times New Roman" w:eastAsia="Times New Roman" w:hAnsi="Times New Roman"/>
          <w:lang w:eastAsia="en-US"/>
        </w:rPr>
        <w:t xml:space="preserve">Conference of the Parties serving as the meeting of the </w:t>
      </w:r>
      <w:r w:rsidRPr="007E654B">
        <w:rPr>
          <w:rFonts w:ascii="Times New Roman" w:eastAsia="Times New Roman" w:hAnsi="Times New Roman"/>
          <w:lang w:val="en-GB" w:eastAsia="en-US"/>
        </w:rPr>
        <w:t xml:space="preserve">Parties, with a view to reporting on the status of implementation of the Framework and Action Plan. </w:t>
      </w:r>
    </w:p>
    <w:p w:rsidR="00E468D7" w:rsidRPr="007E654B" w:rsidRDefault="00A15DE8" w:rsidP="0040778B">
      <w:pPr>
        <w:autoSpaceDE w:val="0"/>
        <w:autoSpaceDN w:val="0"/>
        <w:adjustRightInd w:val="0"/>
        <w:spacing w:before="240" w:after="240" w:line="240" w:lineRule="auto"/>
        <w:ind w:firstLine="720"/>
        <w:jc w:val="both"/>
        <w:rPr>
          <w:rFonts w:ascii="Times New Roman" w:eastAsia="Times New Roman" w:hAnsi="Times New Roman"/>
          <w:lang w:val="en-GB" w:eastAsia="en-US"/>
        </w:rPr>
      </w:pPr>
      <w:r w:rsidRPr="007E654B">
        <w:rPr>
          <w:rFonts w:ascii="Times New Roman" w:eastAsia="Times New Roman" w:hAnsi="Times New Roman"/>
          <w:lang w:val="en-GB" w:eastAsia="en-US"/>
        </w:rPr>
        <w:t xml:space="preserve">Submissions may be sent online through the Biosafety Clearing-House at </w:t>
      </w:r>
      <w:hyperlink r:id="rId9" w:history="1">
        <w:r w:rsidRPr="007E654B">
          <w:rPr>
            <w:rStyle w:val="Hipervnculo"/>
            <w:rFonts w:ascii="Times New Roman" w:eastAsia="Times New Roman" w:hAnsi="Times New Roman"/>
            <w:color w:val="auto"/>
            <w:lang w:val="en-GB" w:eastAsia="en-US"/>
          </w:rPr>
          <w:t>http://bch.cbd.int/managementcentre/edit/submission.shtml</w:t>
        </w:r>
      </w:hyperlink>
      <w:r w:rsidRPr="007E654B">
        <w:rPr>
          <w:rFonts w:ascii="Times New Roman" w:eastAsia="Times New Roman" w:hAnsi="Times New Roman"/>
          <w:lang w:val="en-GB" w:eastAsia="en-US"/>
        </w:rPr>
        <w:t xml:space="preserve"> or via e-mail to </w:t>
      </w:r>
      <w:hyperlink r:id="rId10" w:history="1">
        <w:r w:rsidRPr="007E654B">
          <w:rPr>
            <w:rStyle w:val="Hipervnculo"/>
            <w:rFonts w:ascii="Times New Roman" w:eastAsia="Times New Roman" w:hAnsi="Times New Roman"/>
            <w:color w:val="auto"/>
            <w:lang w:val="en-GB" w:eastAsia="en-US"/>
          </w:rPr>
          <w:t>secretariat@cbd.int</w:t>
        </w:r>
      </w:hyperlink>
      <w:r w:rsidRPr="007E654B">
        <w:rPr>
          <w:rFonts w:ascii="Times New Roman" w:eastAsia="Times New Roman" w:hAnsi="Times New Roman"/>
          <w:lang w:val="en-GB" w:eastAsia="en-US"/>
        </w:rPr>
        <w:t xml:space="preserve"> using the template accessible in the annex to this notification, no later than </w:t>
      </w:r>
      <w:r w:rsidR="003F73F1" w:rsidRPr="007E654B">
        <w:rPr>
          <w:rFonts w:ascii="Times New Roman" w:eastAsia="Times New Roman" w:hAnsi="Times New Roman"/>
          <w:b/>
          <w:bCs/>
          <w:lang w:val="en-GB" w:eastAsia="en-US"/>
        </w:rPr>
        <w:t xml:space="preserve">30 June </w:t>
      </w:r>
      <w:r w:rsidR="001310CD" w:rsidRPr="007E654B">
        <w:rPr>
          <w:rFonts w:ascii="Times New Roman" w:eastAsia="Times New Roman" w:hAnsi="Times New Roman"/>
          <w:b/>
          <w:bCs/>
          <w:lang w:val="en-GB" w:eastAsia="en-US"/>
        </w:rPr>
        <w:t>201</w:t>
      </w:r>
      <w:r w:rsidR="00935A6B" w:rsidRPr="007E654B">
        <w:rPr>
          <w:rFonts w:ascii="Times New Roman" w:eastAsia="Times New Roman" w:hAnsi="Times New Roman"/>
          <w:b/>
          <w:bCs/>
          <w:lang w:val="en-GB" w:eastAsia="en-US"/>
        </w:rPr>
        <w:t>8</w:t>
      </w:r>
      <w:r w:rsidR="00E04584" w:rsidRPr="007E654B">
        <w:rPr>
          <w:rFonts w:ascii="Times New Roman" w:eastAsia="Times New Roman" w:hAnsi="Times New Roman"/>
          <w:lang w:val="en-GB" w:eastAsia="en-US"/>
        </w:rPr>
        <w:t>.</w:t>
      </w:r>
      <w:r w:rsidR="00E468D7" w:rsidRPr="007E654B">
        <w:rPr>
          <w:rFonts w:ascii="Times New Roman" w:eastAsia="Times New Roman" w:hAnsi="Times New Roman"/>
          <w:lang w:val="en-GB" w:eastAsia="en-US"/>
        </w:rPr>
        <w:t xml:space="preserve"> </w:t>
      </w:r>
    </w:p>
    <w:p w:rsidR="00E04584" w:rsidRPr="007E654B" w:rsidRDefault="00E04584" w:rsidP="0040778B">
      <w:pPr>
        <w:autoSpaceDE w:val="0"/>
        <w:autoSpaceDN w:val="0"/>
        <w:adjustRightInd w:val="0"/>
        <w:spacing w:before="240" w:after="240" w:line="240" w:lineRule="auto"/>
        <w:ind w:firstLine="720"/>
        <w:jc w:val="both"/>
        <w:rPr>
          <w:rFonts w:ascii="Times New Roman" w:eastAsia="Times New Roman" w:hAnsi="Times New Roman"/>
          <w:lang w:val="en-GB" w:eastAsia="en-US"/>
        </w:rPr>
      </w:pPr>
      <w:r w:rsidRPr="007E654B">
        <w:rPr>
          <w:rFonts w:ascii="Times New Roman" w:eastAsia="Times New Roman" w:hAnsi="Times New Roman"/>
          <w:lang w:val="en-GB" w:eastAsia="en-US"/>
        </w:rPr>
        <w:t xml:space="preserve">I </w:t>
      </w:r>
      <w:r w:rsidR="00BB718C" w:rsidRPr="007E654B">
        <w:rPr>
          <w:rFonts w:ascii="Times New Roman" w:eastAsia="Times New Roman" w:hAnsi="Times New Roman"/>
          <w:lang w:val="en-GB" w:eastAsia="en-US"/>
        </w:rPr>
        <w:t xml:space="preserve">would like to express my sincere thanks for </w:t>
      </w:r>
      <w:r w:rsidRPr="007E654B">
        <w:rPr>
          <w:rFonts w:ascii="Times New Roman" w:eastAsia="Times New Roman" w:hAnsi="Times New Roman"/>
          <w:lang w:val="en-GB" w:eastAsia="en-US"/>
        </w:rPr>
        <w:t xml:space="preserve">your continued support towards the implementation of the Cartagena Protocol on Biosafety. </w:t>
      </w:r>
    </w:p>
    <w:p w:rsidR="00E04584" w:rsidRPr="007E654B" w:rsidRDefault="00E04584" w:rsidP="0040778B">
      <w:pPr>
        <w:autoSpaceDE w:val="0"/>
        <w:autoSpaceDN w:val="0"/>
        <w:adjustRightInd w:val="0"/>
        <w:spacing w:before="240" w:after="240" w:line="240" w:lineRule="auto"/>
        <w:ind w:firstLine="720"/>
        <w:jc w:val="both"/>
        <w:rPr>
          <w:rFonts w:ascii="Times New Roman" w:eastAsia="Times New Roman" w:hAnsi="Times New Roman"/>
          <w:lang w:val="en-GB" w:eastAsia="en-US"/>
        </w:rPr>
      </w:pPr>
      <w:r w:rsidRPr="007E654B">
        <w:rPr>
          <w:rFonts w:ascii="Times New Roman" w:eastAsia="Times New Roman" w:hAnsi="Times New Roman"/>
          <w:lang w:val="en-GB" w:eastAsia="en-US"/>
        </w:rPr>
        <w:t>Please accept, Madam/Sir, the assurances of my highest consideration.</w:t>
      </w:r>
    </w:p>
    <w:p w:rsidR="003F73F1" w:rsidRPr="007E654B" w:rsidRDefault="003F73F1" w:rsidP="00D375C6">
      <w:pPr>
        <w:autoSpaceDE w:val="0"/>
        <w:autoSpaceDN w:val="0"/>
        <w:adjustRightInd w:val="0"/>
        <w:spacing w:before="240" w:after="240" w:line="240" w:lineRule="auto"/>
        <w:jc w:val="both"/>
        <w:rPr>
          <w:rFonts w:ascii="Times New Roman" w:eastAsia="Times New Roman" w:hAnsi="Times New Roman"/>
          <w:lang w:eastAsia="en-US"/>
        </w:rPr>
      </w:pPr>
    </w:p>
    <w:p w:rsidR="00A45412" w:rsidRPr="007E654B" w:rsidRDefault="00A45412" w:rsidP="0040778B">
      <w:pPr>
        <w:autoSpaceDE w:val="0"/>
        <w:autoSpaceDN w:val="0"/>
        <w:adjustRightInd w:val="0"/>
        <w:spacing w:after="0" w:line="240" w:lineRule="auto"/>
        <w:rPr>
          <w:rFonts w:ascii="Times New Roman" w:eastAsia="Times New Roman" w:hAnsi="Times New Roman"/>
          <w:lang w:eastAsia="en-US"/>
        </w:rPr>
      </w:pPr>
    </w:p>
    <w:p w:rsidR="00E04584" w:rsidRPr="007E654B" w:rsidRDefault="00E04584" w:rsidP="00E04584">
      <w:pPr>
        <w:autoSpaceDE w:val="0"/>
        <w:autoSpaceDN w:val="0"/>
        <w:adjustRightInd w:val="0"/>
        <w:spacing w:after="0" w:line="240" w:lineRule="auto"/>
        <w:ind w:left="5760" w:firstLine="720"/>
        <w:jc w:val="center"/>
        <w:rPr>
          <w:rFonts w:ascii="Times New Roman" w:eastAsia="Times New Roman" w:hAnsi="Times New Roman"/>
          <w:lang w:eastAsia="en-US"/>
        </w:rPr>
      </w:pPr>
      <w:r w:rsidRPr="007E654B">
        <w:rPr>
          <w:rFonts w:ascii="Times New Roman" w:eastAsia="Times New Roman" w:hAnsi="Times New Roman"/>
          <w:lang w:eastAsia="en-US"/>
        </w:rPr>
        <w:t xml:space="preserve">Cristiana </w:t>
      </w:r>
      <w:proofErr w:type="spellStart"/>
      <w:r w:rsidRPr="007E654B">
        <w:rPr>
          <w:rFonts w:ascii="Times New Roman" w:eastAsia="Times New Roman" w:hAnsi="Times New Roman"/>
          <w:lang w:eastAsia="en-US"/>
        </w:rPr>
        <w:t>Paşca</w:t>
      </w:r>
      <w:proofErr w:type="spellEnd"/>
      <w:r w:rsidRPr="007E654B">
        <w:rPr>
          <w:rFonts w:ascii="Times New Roman" w:eastAsia="Times New Roman" w:hAnsi="Times New Roman"/>
          <w:lang w:eastAsia="en-US"/>
        </w:rPr>
        <w:t xml:space="preserve"> Palmer, PhD</w:t>
      </w:r>
    </w:p>
    <w:p w:rsidR="00977FC0" w:rsidRPr="007E654B" w:rsidRDefault="00E04584" w:rsidP="00E04584">
      <w:pPr>
        <w:autoSpaceDE w:val="0"/>
        <w:autoSpaceDN w:val="0"/>
        <w:adjustRightInd w:val="0"/>
        <w:spacing w:after="0" w:line="240" w:lineRule="auto"/>
        <w:ind w:left="5760" w:firstLine="720"/>
        <w:jc w:val="center"/>
        <w:rPr>
          <w:rFonts w:ascii="Times New Roman" w:eastAsia="Times New Roman" w:hAnsi="Times New Roman"/>
          <w:lang w:eastAsia="en-US"/>
        </w:rPr>
      </w:pPr>
      <w:r w:rsidRPr="007E654B">
        <w:rPr>
          <w:rFonts w:ascii="Times New Roman" w:eastAsia="Times New Roman" w:hAnsi="Times New Roman"/>
          <w:lang w:eastAsia="en-US"/>
        </w:rPr>
        <w:t>Executive Secretary</w:t>
      </w:r>
    </w:p>
    <w:p w:rsidR="00E50EC9" w:rsidRPr="007E654B" w:rsidRDefault="00E50EC9" w:rsidP="003F73F1">
      <w:pPr>
        <w:autoSpaceDE w:val="0"/>
        <w:autoSpaceDN w:val="0"/>
        <w:adjustRightInd w:val="0"/>
        <w:spacing w:after="0" w:line="240" w:lineRule="auto"/>
        <w:rPr>
          <w:rFonts w:ascii="Times New Roman" w:eastAsia="Times New Roman" w:hAnsi="Times New Roman"/>
          <w:lang w:eastAsia="en-US"/>
        </w:rPr>
      </w:pPr>
    </w:p>
    <w:p w:rsidR="00B17694" w:rsidRPr="007E654B" w:rsidRDefault="00B17694" w:rsidP="003F73F1">
      <w:pPr>
        <w:autoSpaceDE w:val="0"/>
        <w:autoSpaceDN w:val="0"/>
        <w:adjustRightInd w:val="0"/>
        <w:spacing w:after="0" w:line="240" w:lineRule="auto"/>
        <w:rPr>
          <w:rFonts w:ascii="Times New Roman" w:eastAsia="Times New Roman" w:hAnsi="Times New Roman"/>
          <w:lang w:eastAsia="en-US"/>
        </w:rPr>
        <w:sectPr w:rsidR="00B17694" w:rsidRPr="007E654B" w:rsidSect="00B17694">
          <w:footerReference w:type="even" r:id="rId11"/>
          <w:footerReference w:type="default" r:id="rId12"/>
          <w:headerReference w:type="first" r:id="rId13"/>
          <w:footerReference w:type="first" r:id="rId14"/>
          <w:pgSz w:w="12240" w:h="15840"/>
          <w:pgMar w:top="1440" w:right="1440" w:bottom="1440" w:left="1440" w:header="720" w:footer="0" w:gutter="0"/>
          <w:cols w:space="720"/>
          <w:titlePg/>
          <w:docGrid w:linePitch="360"/>
        </w:sectPr>
      </w:pPr>
      <w:r w:rsidRPr="007E654B">
        <w:rPr>
          <w:rFonts w:ascii="Times New Roman" w:eastAsia="Times New Roman" w:hAnsi="Times New Roman"/>
          <w:lang w:eastAsia="en-US"/>
        </w:rPr>
        <w:t>Enclosur</w:t>
      </w:r>
      <w:r w:rsidR="00BA7CBE" w:rsidRPr="007E654B">
        <w:rPr>
          <w:rFonts w:ascii="Times New Roman" w:eastAsia="Times New Roman" w:hAnsi="Times New Roman"/>
          <w:lang w:eastAsia="en-US"/>
        </w:rPr>
        <w:t>e</w:t>
      </w:r>
    </w:p>
    <w:p w:rsidR="007C6F89" w:rsidRPr="007E654B" w:rsidRDefault="007C6F89" w:rsidP="003F73F1">
      <w:pPr>
        <w:autoSpaceDE w:val="0"/>
        <w:autoSpaceDN w:val="0"/>
        <w:adjustRightInd w:val="0"/>
        <w:spacing w:after="0" w:line="240" w:lineRule="auto"/>
        <w:rPr>
          <w:rFonts w:ascii="Times New Roman" w:hAnsi="Times New Roman"/>
          <w:b/>
          <w:sz w:val="24"/>
          <w:szCs w:val="24"/>
          <w:highlight w:val="yellow"/>
        </w:rPr>
        <w:sectPr w:rsidR="007C6F89" w:rsidRPr="007E654B" w:rsidSect="00B17694">
          <w:headerReference w:type="first" r:id="rId15"/>
          <w:footerReference w:type="first" r:id="rId16"/>
          <w:pgSz w:w="15840" w:h="12240" w:orient="landscape"/>
          <w:pgMar w:top="1440" w:right="1440" w:bottom="1440" w:left="1440" w:header="720" w:footer="0" w:gutter="0"/>
          <w:cols w:space="720"/>
          <w:titlePg/>
          <w:docGrid w:linePitch="360"/>
        </w:sectPr>
      </w:pPr>
    </w:p>
    <w:p w:rsidR="00B17694" w:rsidRPr="007E654B" w:rsidRDefault="007C6F89" w:rsidP="0040778B">
      <w:pPr>
        <w:autoSpaceDE w:val="0"/>
        <w:autoSpaceDN w:val="0"/>
        <w:adjustRightInd w:val="0"/>
        <w:spacing w:after="0" w:line="240" w:lineRule="auto"/>
        <w:rPr>
          <w:rFonts w:ascii="Times New Roman" w:hAnsi="Times New Roman"/>
          <w:b/>
          <w:sz w:val="24"/>
          <w:szCs w:val="24"/>
        </w:rPr>
      </w:pPr>
      <w:r w:rsidRPr="007E654B">
        <w:rPr>
          <w:rFonts w:ascii="Times New Roman" w:hAnsi="Times New Roman"/>
          <w:b/>
          <w:sz w:val="24"/>
          <w:szCs w:val="24"/>
          <w:highlight w:val="yellow"/>
        </w:rPr>
        <w:t xml:space="preserve">NOTE: Please enter text in </w:t>
      </w:r>
      <w:r w:rsidRPr="007E654B">
        <w:rPr>
          <w:rFonts w:ascii="Times New Roman" w:hAnsi="Times New Roman"/>
          <w:b/>
          <w:sz w:val="24"/>
          <w:szCs w:val="24"/>
          <w:highlight w:val="yellow"/>
          <w:u w:val="single"/>
        </w:rPr>
        <w:t>column C</w:t>
      </w:r>
      <w:r w:rsidRPr="007E654B">
        <w:rPr>
          <w:rFonts w:ascii="Times New Roman" w:hAnsi="Times New Roman"/>
          <w:b/>
          <w:sz w:val="24"/>
          <w:szCs w:val="24"/>
          <w:highlight w:val="yellow"/>
        </w:rPr>
        <w:t>, including a summary of the results of the activities undertaken, good practices and/or lessons learned, next to the relevant activity in column B, as appropriate. Please only write where relevant, leaving cells blank where no relevant activities were undertaken.</w:t>
      </w:r>
      <w:r w:rsidRPr="007E654B">
        <w:rPr>
          <w:rFonts w:ascii="Times New Roman" w:hAnsi="Times New Roman"/>
          <w:b/>
          <w:sz w:val="24"/>
          <w:szCs w:val="24"/>
        </w:rPr>
        <w:t xml:space="preserve"> </w:t>
      </w:r>
    </w:p>
    <w:p w:rsidR="007C6F89" w:rsidRPr="007E654B" w:rsidRDefault="007C6F89" w:rsidP="0040778B">
      <w:pPr>
        <w:autoSpaceDE w:val="0"/>
        <w:autoSpaceDN w:val="0"/>
        <w:adjustRightInd w:val="0"/>
        <w:spacing w:after="0" w:line="240" w:lineRule="auto"/>
        <w:rPr>
          <w:rFonts w:ascii="Times New Roman" w:eastAsia="Times New Roman" w:hAnsi="Times New Roman"/>
          <w:sz w:val="24"/>
          <w:szCs w:val="24"/>
          <w:lang w:eastAsia="en-US"/>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4453"/>
        <w:gridCol w:w="6165"/>
      </w:tblGrid>
      <w:tr w:rsidR="007E654B" w:rsidRPr="007E654B" w:rsidTr="0040778B">
        <w:tc>
          <w:tcPr>
            <w:tcW w:w="13176" w:type="dxa"/>
            <w:gridSpan w:val="3"/>
            <w:tcBorders>
              <w:top w:val="single" w:sz="4" w:space="0" w:color="auto"/>
              <w:left w:val="single" w:sz="4" w:space="0" w:color="auto"/>
              <w:bottom w:val="single" w:sz="4" w:space="0" w:color="auto"/>
              <w:right w:val="single" w:sz="4" w:space="0" w:color="auto"/>
            </w:tcBorders>
            <w:hideMark/>
          </w:tcPr>
          <w:p w:rsidR="00E55044" w:rsidRPr="007E654B" w:rsidRDefault="00E55044" w:rsidP="0040778B">
            <w:pPr>
              <w:spacing w:before="60" w:after="60" w:line="240" w:lineRule="auto"/>
              <w:rPr>
                <w:rFonts w:ascii="Times New Roman" w:hAnsi="Times New Roman"/>
                <w:b/>
                <w:i/>
              </w:rPr>
            </w:pPr>
            <w:r w:rsidRPr="007E654B">
              <w:rPr>
                <w:rFonts w:ascii="Times New Roman" w:hAnsi="Times New Roman"/>
                <w:b/>
                <w:i/>
              </w:rPr>
              <w:t xml:space="preserve">Focal area 1: National biosafety frameworks </w:t>
            </w:r>
          </w:p>
          <w:p w:rsidR="00E55044" w:rsidRPr="007E654B" w:rsidRDefault="00E55044" w:rsidP="0040778B">
            <w:pPr>
              <w:spacing w:before="60" w:after="60" w:line="240" w:lineRule="auto"/>
              <w:rPr>
                <w:rFonts w:ascii="Times New Roman" w:hAnsi="Times New Roman"/>
                <w:b/>
              </w:rPr>
            </w:pPr>
            <w:r w:rsidRPr="007E654B">
              <w:rPr>
                <w:rFonts w:ascii="Times New Roman" w:hAnsi="Times New Roman"/>
                <w:b/>
              </w:rPr>
              <w:t>Operational objective 1</w:t>
            </w:r>
          </w:p>
          <w:p w:rsidR="00E55044" w:rsidRPr="007E654B" w:rsidRDefault="00E55044" w:rsidP="0040778B">
            <w:pPr>
              <w:spacing w:before="60" w:after="60" w:line="240" w:lineRule="auto"/>
              <w:rPr>
                <w:rFonts w:ascii="Times New Roman" w:hAnsi="Times New Roman"/>
                <w:b/>
                <w:i/>
              </w:rPr>
            </w:pPr>
            <w:r w:rsidRPr="007E654B">
              <w:rPr>
                <w:rFonts w:ascii="Times New Roman" w:hAnsi="Times New Roman"/>
              </w:rPr>
              <w:t>To  further  support  the  development  and  implementation  of  national  regulatory  and  administrative systems.</w:t>
            </w:r>
          </w:p>
        </w:tc>
      </w:tr>
      <w:tr w:rsidR="007E654B" w:rsidRPr="007E654B" w:rsidTr="0040778B">
        <w:tc>
          <w:tcPr>
            <w:tcW w:w="13176" w:type="dxa"/>
            <w:gridSpan w:val="3"/>
            <w:tcBorders>
              <w:top w:val="single" w:sz="4" w:space="0" w:color="auto"/>
              <w:left w:val="single" w:sz="4" w:space="0" w:color="auto"/>
              <w:bottom w:val="single" w:sz="4" w:space="0" w:color="auto"/>
              <w:right w:val="single" w:sz="4" w:space="0" w:color="auto"/>
            </w:tcBorders>
            <w:hideMark/>
          </w:tcPr>
          <w:p w:rsidR="00E55044" w:rsidRPr="007E654B" w:rsidRDefault="00E55044" w:rsidP="0040778B">
            <w:pPr>
              <w:spacing w:before="60" w:after="60" w:line="240" w:lineRule="auto"/>
              <w:rPr>
                <w:rFonts w:ascii="Times New Roman" w:hAnsi="Times New Roman"/>
                <w:b/>
              </w:rPr>
            </w:pPr>
            <w:r w:rsidRPr="007E654B">
              <w:rPr>
                <w:rFonts w:ascii="Times New Roman" w:hAnsi="Times New Roman"/>
                <w:b/>
              </w:rPr>
              <w:t>Outcomes</w:t>
            </w:r>
          </w:p>
          <w:p w:rsidR="00E55044" w:rsidRPr="007E654B" w:rsidRDefault="00E55044" w:rsidP="00B2695E">
            <w:pPr>
              <w:numPr>
                <w:ilvl w:val="0"/>
                <w:numId w:val="3"/>
              </w:numPr>
              <w:spacing w:after="0" w:line="240" w:lineRule="auto"/>
              <w:rPr>
                <w:rFonts w:ascii="Times New Roman" w:hAnsi="Times New Roman"/>
              </w:rPr>
            </w:pPr>
            <w:r w:rsidRPr="007E654B">
              <w:rPr>
                <w:rFonts w:ascii="Times New Roman" w:hAnsi="Times New Roman"/>
              </w:rPr>
              <w:t xml:space="preserve">National biosafety frameworks developed and implemented; </w:t>
            </w:r>
          </w:p>
          <w:p w:rsidR="00E55044" w:rsidRPr="007E654B" w:rsidRDefault="00E55044" w:rsidP="0040778B">
            <w:pPr>
              <w:numPr>
                <w:ilvl w:val="0"/>
                <w:numId w:val="3"/>
              </w:numPr>
              <w:spacing w:after="0" w:line="240" w:lineRule="auto"/>
              <w:rPr>
                <w:rFonts w:ascii="Times New Roman" w:hAnsi="Times New Roman"/>
                <w:b/>
              </w:rPr>
            </w:pPr>
            <w:r w:rsidRPr="007E654B">
              <w:rPr>
                <w:rFonts w:ascii="Times New Roman" w:hAnsi="Times New Roman"/>
              </w:rPr>
              <w:t>Functional national biosafety systems.</w:t>
            </w:r>
          </w:p>
        </w:tc>
      </w:tr>
      <w:tr w:rsidR="007E654B" w:rsidRPr="007E654B" w:rsidTr="006C7986">
        <w:tc>
          <w:tcPr>
            <w:tcW w:w="2558" w:type="dxa"/>
            <w:tcBorders>
              <w:top w:val="single" w:sz="4" w:space="0" w:color="auto"/>
              <w:left w:val="single" w:sz="4" w:space="0" w:color="auto"/>
              <w:bottom w:val="single" w:sz="4" w:space="0" w:color="auto"/>
              <w:right w:val="single" w:sz="4" w:space="0" w:color="auto"/>
            </w:tcBorders>
            <w:hideMark/>
          </w:tcPr>
          <w:p w:rsidR="00E55044" w:rsidRPr="007E654B" w:rsidRDefault="00F03A12" w:rsidP="0040778B">
            <w:pPr>
              <w:spacing w:before="60" w:after="60" w:line="240" w:lineRule="auto"/>
              <w:jc w:val="center"/>
              <w:rPr>
                <w:rFonts w:ascii="Times New Roman" w:hAnsi="Times New Roman"/>
                <w:b/>
              </w:rPr>
            </w:pPr>
            <w:r w:rsidRPr="007E654B">
              <w:rPr>
                <w:rFonts w:ascii="Times New Roman" w:hAnsi="Times New Roman"/>
                <w:b/>
              </w:rPr>
              <w:t xml:space="preserve">A. </w:t>
            </w:r>
            <w:r w:rsidR="00E55044" w:rsidRPr="007E654B">
              <w:rPr>
                <w:rFonts w:ascii="Times New Roman" w:hAnsi="Times New Roman"/>
                <w:b/>
              </w:rPr>
              <w:t>Results/Outputs</w:t>
            </w:r>
          </w:p>
        </w:tc>
        <w:tc>
          <w:tcPr>
            <w:tcW w:w="4453" w:type="dxa"/>
            <w:tcBorders>
              <w:top w:val="single" w:sz="4" w:space="0" w:color="auto"/>
              <w:left w:val="single" w:sz="4" w:space="0" w:color="auto"/>
              <w:bottom w:val="single" w:sz="4" w:space="0" w:color="auto"/>
              <w:right w:val="single" w:sz="4" w:space="0" w:color="auto"/>
            </w:tcBorders>
            <w:hideMark/>
          </w:tcPr>
          <w:p w:rsidR="00E55044" w:rsidRPr="007E654B" w:rsidRDefault="00F03A12" w:rsidP="0040778B">
            <w:pPr>
              <w:spacing w:before="60" w:after="60" w:line="240" w:lineRule="auto"/>
              <w:jc w:val="center"/>
              <w:rPr>
                <w:rFonts w:ascii="Times New Roman" w:hAnsi="Times New Roman"/>
                <w:b/>
              </w:rPr>
            </w:pPr>
            <w:r w:rsidRPr="007E654B">
              <w:rPr>
                <w:rFonts w:ascii="Times New Roman" w:hAnsi="Times New Roman"/>
                <w:b/>
              </w:rPr>
              <w:t xml:space="preserve">B. </w:t>
            </w:r>
            <w:r w:rsidR="00E55044" w:rsidRPr="007E654B">
              <w:rPr>
                <w:rFonts w:ascii="Times New Roman" w:hAnsi="Times New Roman"/>
                <w:b/>
              </w:rPr>
              <w:t>Planned Activities</w:t>
            </w:r>
          </w:p>
        </w:tc>
        <w:tc>
          <w:tcPr>
            <w:tcW w:w="6165" w:type="dxa"/>
            <w:tcBorders>
              <w:top w:val="single" w:sz="4" w:space="0" w:color="auto"/>
              <w:left w:val="single" w:sz="4" w:space="0" w:color="auto"/>
              <w:bottom w:val="single" w:sz="4" w:space="0" w:color="auto"/>
              <w:right w:val="single" w:sz="4" w:space="0" w:color="auto"/>
            </w:tcBorders>
            <w:hideMark/>
          </w:tcPr>
          <w:p w:rsidR="00E55044" w:rsidRPr="007E654B" w:rsidRDefault="00F03A12" w:rsidP="0040778B">
            <w:pPr>
              <w:spacing w:before="60" w:after="60" w:line="240" w:lineRule="auto"/>
              <w:jc w:val="center"/>
              <w:rPr>
                <w:rFonts w:ascii="Times New Roman" w:hAnsi="Times New Roman"/>
                <w:b/>
              </w:rPr>
            </w:pPr>
            <w:r w:rsidRPr="007E654B">
              <w:rPr>
                <w:rFonts w:ascii="Times New Roman" w:hAnsi="Times New Roman"/>
                <w:b/>
              </w:rPr>
              <w:t xml:space="preserve">C. </w:t>
            </w:r>
            <w:r w:rsidR="00E55044" w:rsidRPr="007E654B">
              <w:rPr>
                <w:rFonts w:ascii="Times New Roman" w:hAnsi="Times New Roman"/>
                <w:b/>
              </w:rPr>
              <w:t>Summary of results of activities undertaken, good practices and lessons learned</w:t>
            </w:r>
          </w:p>
          <w:p w:rsidR="002C2CAF" w:rsidRPr="007E654B" w:rsidRDefault="002C2CAF" w:rsidP="0040778B">
            <w:pPr>
              <w:spacing w:before="60" w:after="60" w:line="240" w:lineRule="auto"/>
              <w:jc w:val="center"/>
              <w:rPr>
                <w:rFonts w:ascii="Times New Roman" w:hAnsi="Times New Roman"/>
                <w:b/>
              </w:rPr>
            </w:pPr>
            <w:r w:rsidRPr="007E654B">
              <w:rPr>
                <w:rFonts w:ascii="Times New Roman" w:hAnsi="Times New Roman"/>
                <w:highlight w:val="yellow"/>
              </w:rPr>
              <w:t>[Enter text in column C, next to the relevant activity in column B, as appropriate]</w:t>
            </w:r>
          </w:p>
        </w:tc>
      </w:tr>
      <w:tr w:rsidR="007E654B" w:rsidRPr="007E654B" w:rsidTr="006C7986">
        <w:trPr>
          <w:trHeight w:val="953"/>
        </w:trPr>
        <w:tc>
          <w:tcPr>
            <w:tcW w:w="2558" w:type="dxa"/>
            <w:vMerge w:val="restart"/>
            <w:tcBorders>
              <w:top w:val="single" w:sz="4" w:space="0" w:color="auto"/>
              <w:left w:val="single" w:sz="4" w:space="0" w:color="auto"/>
              <w:right w:val="single" w:sz="4" w:space="0" w:color="auto"/>
            </w:tcBorders>
            <w:hideMark/>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(a)</w:t>
            </w:r>
            <w:r w:rsidRPr="007E654B">
              <w:rPr>
                <w:rFonts w:ascii="Times New Roman" w:hAnsi="Times New Roman"/>
              </w:rPr>
              <w:tab/>
              <w:t xml:space="preserve">National biosafety policies, laws and regulations in place and being implemented </w:t>
            </w:r>
          </w:p>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(b)</w:t>
            </w:r>
            <w:r w:rsidRPr="007E654B">
              <w:rPr>
                <w:rFonts w:ascii="Times New Roman" w:hAnsi="Times New Roman"/>
              </w:rPr>
              <w:tab/>
              <w:t>National institutions and administrative systems for handling LMO applications in place</w:t>
            </w:r>
          </w:p>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(c)</w:t>
            </w:r>
            <w:r w:rsidRPr="007E654B">
              <w:rPr>
                <w:rFonts w:ascii="Times New Roman" w:hAnsi="Times New Roman"/>
              </w:rPr>
              <w:tab/>
              <w:t xml:space="preserve">Standard operating procedures for </w:t>
            </w:r>
            <w:r w:rsidRPr="007E654B">
              <w:rPr>
                <w:rFonts w:ascii="Times New Roman" w:hAnsi="Times New Roman"/>
              </w:rPr>
              <w:lastRenderedPageBreak/>
              <w:t>handling LMO applications in place</w:t>
            </w:r>
          </w:p>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(d)</w:t>
            </w:r>
            <w:r w:rsidRPr="007E654B">
              <w:rPr>
                <w:rFonts w:ascii="Times New Roman" w:hAnsi="Times New Roman"/>
              </w:rPr>
              <w:tab/>
              <w:t>Provisions made in the national annual budgets for operationalizing the national biosafety system</w:t>
            </w:r>
          </w:p>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(e)</w:t>
            </w:r>
            <w:r w:rsidRPr="007E654B">
              <w:rPr>
                <w:rFonts w:ascii="Times New Roman" w:hAnsi="Times New Roman"/>
              </w:rPr>
              <w:tab/>
              <w:t>Trained staff in place to administer the national biosafety system</w:t>
            </w:r>
          </w:p>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(f)</w:t>
            </w:r>
            <w:r w:rsidRPr="007E654B">
              <w:rPr>
                <w:rFonts w:ascii="Times New Roman" w:hAnsi="Times New Roman"/>
              </w:rPr>
              <w:tab/>
              <w:t xml:space="preserve">Biosafety is mainstreamed into broader development plans and sectoral policies and </w:t>
            </w:r>
            <w:proofErr w:type="spellStart"/>
            <w:r w:rsidRPr="007E654B">
              <w:rPr>
                <w:rFonts w:ascii="Times New Roman" w:hAnsi="Times New Roman"/>
              </w:rPr>
              <w:t>programmes</w:t>
            </w:r>
            <w:proofErr w:type="spellEnd"/>
            <w:r w:rsidRPr="007E654B">
              <w:rPr>
                <w:rFonts w:ascii="Times New Roman" w:hAnsi="Times New Roman"/>
              </w:rPr>
              <w:t>, including the national biodiversity strategies and action plans</w:t>
            </w:r>
          </w:p>
        </w:tc>
        <w:tc>
          <w:tcPr>
            <w:tcW w:w="4453" w:type="dxa"/>
            <w:tcBorders>
              <w:top w:val="single" w:sz="4" w:space="0" w:color="auto"/>
              <w:left w:val="single" w:sz="4" w:space="0" w:color="auto"/>
              <w:right w:val="single" w:sz="4" w:space="0" w:color="auto"/>
            </w:tcBorders>
            <w:hideMark/>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lastRenderedPageBreak/>
              <w:t>1.1</w:t>
            </w:r>
            <w:r w:rsidRPr="007E654B">
              <w:rPr>
                <w:rFonts w:ascii="Times New Roman" w:hAnsi="Times New Roman"/>
              </w:rPr>
              <w:tab/>
              <w:t>Development and implementation/ enforcement of national biosafety policies and laws and the implementing regulations or guidelines</w:t>
            </w:r>
          </w:p>
        </w:tc>
        <w:tc>
          <w:tcPr>
            <w:tcW w:w="6165" w:type="dxa"/>
            <w:tcBorders>
              <w:top w:val="single" w:sz="4" w:space="0" w:color="auto"/>
              <w:left w:val="single" w:sz="4" w:space="0" w:color="auto"/>
              <w:bottom w:val="single" w:sz="4" w:space="0" w:color="auto"/>
              <w:right w:val="single" w:sz="4" w:space="0" w:color="auto"/>
            </w:tcBorders>
          </w:tcPr>
          <w:p w:rsidR="00E55044" w:rsidRPr="007E654B" w:rsidRDefault="00CB690A" w:rsidP="00CB690A">
            <w:pPr>
              <w:spacing w:before="60" w:after="60" w:line="240" w:lineRule="auto"/>
              <w:jc w:val="center"/>
              <w:rPr>
                <w:rFonts w:ascii="Times New Roman" w:hAnsi="Times New Roman"/>
              </w:rPr>
            </w:pPr>
            <w:r w:rsidRPr="007E654B">
              <w:rPr>
                <w:rFonts w:ascii="Times New Roman" w:hAnsi="Times New Roman"/>
              </w:rPr>
              <w:t>LMOs</w:t>
            </w:r>
            <w:r w:rsidR="00F27A91" w:rsidRPr="007E654B">
              <w:rPr>
                <w:rFonts w:ascii="Times New Roman" w:hAnsi="Times New Roman"/>
              </w:rPr>
              <w:t xml:space="preserve"> activities</w:t>
            </w:r>
            <w:r w:rsidRPr="007E654B">
              <w:rPr>
                <w:rFonts w:ascii="Times New Roman" w:hAnsi="Times New Roman"/>
              </w:rPr>
              <w:t xml:space="preserve"> are regulated by Law 9/2003 of 25 April, which establishes the legal regime of the confined use, voluntary release and commercialization of genetically modified organisms. It is also developed by Royal Decree 178/2004, of 30 January, approving the General Regulations for the Development and Implementation of the Law.  </w:t>
            </w:r>
          </w:p>
          <w:p w:rsidR="00BA6FC0" w:rsidRPr="007E654B" w:rsidRDefault="00BA6FC0" w:rsidP="00BA6FC0">
            <w:pPr>
              <w:spacing w:before="60" w:after="60" w:line="240" w:lineRule="auto"/>
              <w:rPr>
                <w:rFonts w:ascii="Times New Roman" w:hAnsi="Times New Roman"/>
              </w:rPr>
            </w:pPr>
            <w:r w:rsidRPr="007E654B">
              <w:rPr>
                <w:rFonts w:ascii="Times New Roman" w:hAnsi="Times New Roman"/>
              </w:rPr>
              <w:t xml:space="preserve">The legislation is regularly been updated to include any </w:t>
            </w:r>
            <w:r w:rsidR="00AC57EC" w:rsidRPr="007E654B">
              <w:rPr>
                <w:rFonts w:ascii="Times New Roman" w:hAnsi="Times New Roman"/>
              </w:rPr>
              <w:t>changes in international regulation.</w:t>
            </w:r>
          </w:p>
        </w:tc>
      </w:tr>
      <w:tr w:rsidR="007E654B" w:rsidRPr="007E654B" w:rsidTr="006C7986">
        <w:trPr>
          <w:trHeight w:val="818"/>
        </w:trPr>
        <w:tc>
          <w:tcPr>
            <w:tcW w:w="2558" w:type="dxa"/>
            <w:vMerge/>
            <w:tcBorders>
              <w:left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p>
        </w:tc>
        <w:tc>
          <w:tcPr>
            <w:tcW w:w="4453" w:type="dxa"/>
            <w:tcBorders>
              <w:left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1.2</w:t>
            </w:r>
            <w:r w:rsidRPr="007E654B">
              <w:rPr>
                <w:rFonts w:ascii="Times New Roman" w:hAnsi="Times New Roman"/>
              </w:rPr>
              <w:tab/>
              <w:t xml:space="preserve">Development of a best practice guide on: </w:t>
            </w:r>
          </w:p>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w:t>
            </w:r>
            <w:proofErr w:type="spellStart"/>
            <w:r w:rsidRPr="007E654B">
              <w:rPr>
                <w:rFonts w:ascii="Times New Roman" w:hAnsi="Times New Roman"/>
              </w:rPr>
              <w:t>i</w:t>
            </w:r>
            <w:proofErr w:type="spellEnd"/>
            <w:r w:rsidRPr="007E654B">
              <w:rPr>
                <w:rFonts w:ascii="Times New Roman" w:hAnsi="Times New Roman"/>
              </w:rPr>
              <w:t xml:space="preserve">) </w:t>
            </w:r>
            <w:r w:rsidRPr="007E654B">
              <w:rPr>
                <w:rFonts w:ascii="Times New Roman" w:hAnsi="Times New Roman"/>
              </w:rPr>
              <w:tab/>
              <w:t>Implementation of nat</w:t>
            </w:r>
            <w:r w:rsidR="00F03A12" w:rsidRPr="007E654B">
              <w:rPr>
                <w:rFonts w:ascii="Times New Roman" w:hAnsi="Times New Roman"/>
              </w:rPr>
              <w:t xml:space="preserve">ional biosafety frameworks; </w:t>
            </w:r>
          </w:p>
        </w:tc>
        <w:tc>
          <w:tcPr>
            <w:tcW w:w="6165" w:type="dxa"/>
            <w:tcBorders>
              <w:top w:val="single" w:sz="4" w:space="0" w:color="auto"/>
              <w:left w:val="single" w:sz="4" w:space="0" w:color="auto"/>
              <w:bottom w:val="single" w:sz="4" w:space="0" w:color="auto"/>
              <w:right w:val="single" w:sz="4" w:space="0" w:color="auto"/>
            </w:tcBorders>
          </w:tcPr>
          <w:p w:rsidR="00E55044" w:rsidRPr="007E654B" w:rsidRDefault="00E55044" w:rsidP="0040778B">
            <w:pPr>
              <w:spacing w:before="60" w:after="60" w:line="240" w:lineRule="auto"/>
              <w:jc w:val="center"/>
              <w:rPr>
                <w:rFonts w:ascii="Times New Roman" w:hAnsi="Times New Roman"/>
              </w:rPr>
            </w:pPr>
          </w:p>
        </w:tc>
      </w:tr>
      <w:tr w:rsidR="007E654B" w:rsidRPr="007E654B" w:rsidTr="006C7986">
        <w:trPr>
          <w:trHeight w:val="530"/>
        </w:trPr>
        <w:tc>
          <w:tcPr>
            <w:tcW w:w="2558" w:type="dxa"/>
            <w:vMerge/>
            <w:tcBorders>
              <w:left w:val="single" w:sz="4" w:space="0" w:color="auto"/>
              <w:right w:val="single" w:sz="4" w:space="0" w:color="auto"/>
            </w:tcBorders>
          </w:tcPr>
          <w:p w:rsidR="006C7986" w:rsidRPr="007E654B" w:rsidRDefault="006C7986" w:rsidP="0040778B">
            <w:pPr>
              <w:spacing w:before="60" w:after="60" w:line="240" w:lineRule="auto"/>
              <w:rPr>
                <w:rFonts w:ascii="Times New Roman" w:hAnsi="Times New Roman"/>
              </w:rPr>
            </w:pPr>
          </w:p>
        </w:tc>
        <w:tc>
          <w:tcPr>
            <w:tcW w:w="4453" w:type="dxa"/>
            <w:tcBorders>
              <w:left w:val="single" w:sz="4" w:space="0" w:color="auto"/>
              <w:right w:val="single" w:sz="4" w:space="0" w:color="auto"/>
            </w:tcBorders>
          </w:tcPr>
          <w:p w:rsidR="006C7986" w:rsidRPr="007E654B" w:rsidRDefault="006C7986" w:rsidP="0040778B">
            <w:pPr>
              <w:spacing w:before="60" w:after="60" w:line="240" w:lineRule="auto"/>
              <w:rPr>
                <w:rFonts w:ascii="Times New Roman" w:hAnsi="Times New Roman"/>
              </w:rPr>
            </w:pPr>
            <w:r w:rsidRPr="007E654B">
              <w:rPr>
                <w:rFonts w:ascii="Times New Roman" w:hAnsi="Times New Roman"/>
              </w:rPr>
              <w:t xml:space="preserve">(ii) </w:t>
            </w:r>
            <w:r w:rsidRPr="007E654B">
              <w:rPr>
                <w:rFonts w:ascii="Times New Roman" w:hAnsi="Times New Roman"/>
              </w:rPr>
              <w:tab/>
              <w:t xml:space="preserve">Enforcement of national biosafety laws and regulations; </w:t>
            </w:r>
          </w:p>
        </w:tc>
        <w:tc>
          <w:tcPr>
            <w:tcW w:w="6165" w:type="dxa"/>
            <w:vMerge w:val="restart"/>
            <w:tcBorders>
              <w:top w:val="single" w:sz="4" w:space="0" w:color="auto"/>
              <w:left w:val="single" w:sz="4" w:space="0" w:color="auto"/>
              <w:right w:val="single" w:sz="4" w:space="0" w:color="auto"/>
            </w:tcBorders>
          </w:tcPr>
          <w:p w:rsidR="006C7986" w:rsidRPr="007E654B" w:rsidRDefault="006C7986" w:rsidP="00A276F1">
            <w:pPr>
              <w:pStyle w:val="Prrafodelista"/>
              <w:spacing w:before="100" w:beforeAutospacing="1" w:after="100" w:afterAutospacing="1"/>
              <w:ind w:left="0"/>
              <w:jc w:val="both"/>
              <w:rPr>
                <w:sz w:val="22"/>
                <w:szCs w:val="22"/>
                <w:lang w:val="en-US"/>
              </w:rPr>
            </w:pPr>
            <w:r w:rsidRPr="007E654B">
              <w:rPr>
                <w:sz w:val="22"/>
                <w:szCs w:val="22"/>
                <w:lang w:val="en-US"/>
              </w:rPr>
              <w:t>At national level, all the information about LMOs activities is published on the website of Ministry of Agriculture, Fisheries, Food and Environment.</w:t>
            </w:r>
          </w:p>
          <w:p w:rsidR="006C7986" w:rsidRPr="007E654B" w:rsidRDefault="006C7986" w:rsidP="00A276F1">
            <w:pPr>
              <w:pStyle w:val="Prrafodelista"/>
              <w:spacing w:before="100" w:beforeAutospacing="1" w:after="100" w:afterAutospacing="1"/>
              <w:ind w:left="0"/>
              <w:jc w:val="both"/>
              <w:rPr>
                <w:sz w:val="22"/>
                <w:szCs w:val="22"/>
                <w:lang w:val="en-US"/>
              </w:rPr>
            </w:pPr>
            <w:r w:rsidRPr="007E654B">
              <w:rPr>
                <w:sz w:val="22"/>
                <w:szCs w:val="22"/>
                <w:lang w:val="en-US"/>
              </w:rPr>
              <w:t xml:space="preserve">This information include a document with Frequently Asked Questions for LGMO. The document provide an explanation on national and international regulation, authorization procedure, controls, etc.  </w:t>
            </w:r>
          </w:p>
          <w:p w:rsidR="006C7986" w:rsidRPr="007E654B" w:rsidRDefault="006C7986" w:rsidP="00A276F1">
            <w:pPr>
              <w:pStyle w:val="Prrafodelista"/>
              <w:spacing w:before="100" w:beforeAutospacing="1" w:after="100" w:afterAutospacing="1"/>
              <w:ind w:left="0"/>
              <w:jc w:val="both"/>
              <w:rPr>
                <w:sz w:val="22"/>
                <w:szCs w:val="22"/>
                <w:lang w:val="en-US"/>
              </w:rPr>
            </w:pPr>
            <w:r w:rsidRPr="007E654B">
              <w:rPr>
                <w:sz w:val="22"/>
                <w:szCs w:val="22"/>
                <w:lang w:val="en-US"/>
              </w:rPr>
              <w:t>In addition, practical guidance on specific measures for contained use and deliberated release of LMOs is also published on the website.</w:t>
            </w:r>
          </w:p>
          <w:p w:rsidR="006C7986" w:rsidRPr="007E654B" w:rsidRDefault="006C7986" w:rsidP="00A276F1">
            <w:pPr>
              <w:pStyle w:val="Prrafodelista"/>
              <w:spacing w:before="100" w:beforeAutospacing="1" w:after="100" w:afterAutospacing="1"/>
              <w:ind w:left="0"/>
              <w:jc w:val="both"/>
              <w:rPr>
                <w:lang w:val="en-US"/>
              </w:rPr>
            </w:pPr>
            <w:r w:rsidRPr="007E654B">
              <w:rPr>
                <w:sz w:val="22"/>
                <w:szCs w:val="22"/>
                <w:lang w:val="en-US"/>
              </w:rPr>
              <w:t xml:space="preserve">In order to facilitate the work of </w:t>
            </w:r>
            <w:proofErr w:type="spellStart"/>
            <w:r w:rsidRPr="007E654B">
              <w:rPr>
                <w:sz w:val="22"/>
                <w:szCs w:val="22"/>
                <w:lang w:val="en-US"/>
              </w:rPr>
              <w:t>notifiers</w:t>
            </w:r>
            <w:proofErr w:type="spellEnd"/>
            <w:r w:rsidRPr="007E654B">
              <w:rPr>
                <w:sz w:val="22"/>
                <w:szCs w:val="22"/>
                <w:lang w:val="en-US"/>
              </w:rPr>
              <w:t xml:space="preserve">, the CNB has published practical Guidance's to unify access to documentation, and facilitate the procedure of submitting applications for facilities to carry out contained use and deliberated release activities with LMOs. They are based on practical experience and tips and they are regularly updated: </w:t>
            </w:r>
          </w:p>
          <w:p w:rsidR="006C7986" w:rsidRPr="007E654B" w:rsidRDefault="006C7986" w:rsidP="00A276F1">
            <w:pPr>
              <w:pStyle w:val="Prrafodelista"/>
              <w:spacing w:before="100" w:beforeAutospacing="1" w:after="100" w:afterAutospacing="1"/>
              <w:ind w:left="0"/>
              <w:jc w:val="both"/>
              <w:rPr>
                <w:sz w:val="22"/>
                <w:szCs w:val="22"/>
                <w:lang w:val="en-US"/>
              </w:rPr>
            </w:pPr>
            <w:r w:rsidRPr="007E654B">
              <w:rPr>
                <w:sz w:val="22"/>
                <w:szCs w:val="22"/>
                <w:lang w:val="en-US"/>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55pt" o:ole="">
                  <v:imagedata r:id="rId17" o:title=""/>
                </v:shape>
                <o:OLEObject Type="Embed" ProgID="AcroExch.Document.DC" ShapeID="_x0000_i1025" DrawAspect="Icon" ObjectID="_1587989229" r:id="rId18"/>
              </w:object>
            </w:r>
            <w:r w:rsidRPr="007E654B">
              <w:rPr>
                <w:sz w:val="22"/>
                <w:szCs w:val="22"/>
                <w:lang w:val="en-US"/>
              </w:rPr>
              <w:object w:dxaOrig="1543" w:dyaOrig="991">
                <v:shape id="_x0000_i1026" type="#_x0000_t75" style="width:77.6pt;height:49.55pt" o:ole="">
                  <v:imagedata r:id="rId19" o:title=""/>
                </v:shape>
                <o:OLEObject Type="Embed" ProgID="AcroExch.Document.DC" ShapeID="_x0000_i1026" DrawAspect="Icon" ObjectID="_1587989230" r:id="rId20"/>
              </w:object>
            </w:r>
            <w:r w:rsidRPr="007E654B">
              <w:rPr>
                <w:sz w:val="22"/>
                <w:szCs w:val="22"/>
                <w:lang w:val="en-US"/>
              </w:rPr>
              <w:object w:dxaOrig="1543" w:dyaOrig="991">
                <v:shape id="_x0000_i1027" type="#_x0000_t75" style="width:77.6pt;height:49.55pt" o:ole="">
                  <v:imagedata r:id="rId21" o:title=""/>
                </v:shape>
                <o:OLEObject Type="Embed" ProgID="AcroExch.Document.DC" ShapeID="_x0000_i1027" DrawAspect="Icon" ObjectID="_1587989231" r:id="rId22"/>
              </w:object>
            </w:r>
          </w:p>
          <w:p w:rsidR="006C7986" w:rsidRPr="007E654B" w:rsidRDefault="006C7986" w:rsidP="006C7986">
            <w:pPr>
              <w:spacing w:before="60" w:after="60" w:line="240" w:lineRule="auto"/>
              <w:rPr>
                <w:rFonts w:ascii="Times New Roman" w:hAnsi="Times New Roman"/>
              </w:rPr>
            </w:pPr>
            <w:r w:rsidRPr="007E654B">
              <w:rPr>
                <w:rFonts w:ascii="Times New Roman" w:hAnsi="Times New Roman"/>
              </w:rPr>
              <w:t>The requirement of biosafety are taken in to account on other policies such food and feed safety,</w:t>
            </w:r>
            <w:r w:rsidR="00092A0F" w:rsidRPr="007E654B">
              <w:rPr>
                <w:rFonts w:ascii="Times New Roman" w:hAnsi="Times New Roman"/>
              </w:rPr>
              <w:t xml:space="preserve"> </w:t>
            </w:r>
            <w:r w:rsidRPr="007E654B">
              <w:rPr>
                <w:rFonts w:ascii="Times New Roman" w:hAnsi="Times New Roman"/>
              </w:rPr>
              <w:t xml:space="preserve">biodiversity or research, development and innovation. </w:t>
            </w:r>
          </w:p>
        </w:tc>
      </w:tr>
      <w:tr w:rsidR="007E654B" w:rsidRPr="007E654B" w:rsidTr="006C7986">
        <w:trPr>
          <w:trHeight w:val="656"/>
        </w:trPr>
        <w:tc>
          <w:tcPr>
            <w:tcW w:w="2558" w:type="dxa"/>
            <w:vMerge/>
            <w:tcBorders>
              <w:left w:val="single" w:sz="4" w:space="0" w:color="auto"/>
              <w:right w:val="single" w:sz="4" w:space="0" w:color="auto"/>
            </w:tcBorders>
          </w:tcPr>
          <w:p w:rsidR="006C7986" w:rsidRPr="007E654B" w:rsidRDefault="006C7986" w:rsidP="0040778B">
            <w:pPr>
              <w:spacing w:before="60" w:after="60" w:line="240" w:lineRule="auto"/>
              <w:rPr>
                <w:rFonts w:ascii="Times New Roman" w:hAnsi="Times New Roman"/>
              </w:rPr>
            </w:pPr>
          </w:p>
        </w:tc>
        <w:tc>
          <w:tcPr>
            <w:tcW w:w="4453" w:type="dxa"/>
            <w:tcBorders>
              <w:left w:val="single" w:sz="4" w:space="0" w:color="auto"/>
              <w:right w:val="single" w:sz="4" w:space="0" w:color="auto"/>
            </w:tcBorders>
          </w:tcPr>
          <w:p w:rsidR="006C7986" w:rsidRPr="007E654B" w:rsidRDefault="006C7986" w:rsidP="0040778B">
            <w:pPr>
              <w:spacing w:before="60" w:after="60" w:line="240" w:lineRule="auto"/>
              <w:rPr>
                <w:rFonts w:ascii="Times New Roman" w:hAnsi="Times New Roman"/>
              </w:rPr>
            </w:pPr>
            <w:r w:rsidRPr="007E654B">
              <w:rPr>
                <w:rFonts w:ascii="Times New Roman" w:hAnsi="Times New Roman"/>
              </w:rPr>
              <w:t xml:space="preserve">(iii) </w:t>
            </w:r>
            <w:r w:rsidRPr="007E654B">
              <w:rPr>
                <w:rFonts w:ascii="Times New Roman" w:hAnsi="Times New Roman"/>
              </w:rPr>
              <w:tab/>
              <w:t xml:space="preserve">Establishment and management of administrative systems; and </w:t>
            </w:r>
          </w:p>
        </w:tc>
        <w:tc>
          <w:tcPr>
            <w:tcW w:w="6165" w:type="dxa"/>
            <w:vMerge/>
            <w:tcBorders>
              <w:left w:val="single" w:sz="4" w:space="0" w:color="auto"/>
              <w:right w:val="single" w:sz="4" w:space="0" w:color="auto"/>
            </w:tcBorders>
          </w:tcPr>
          <w:p w:rsidR="006C7986" w:rsidRPr="007E654B" w:rsidRDefault="006C7986" w:rsidP="0040778B">
            <w:pPr>
              <w:spacing w:before="60" w:after="60" w:line="240" w:lineRule="auto"/>
              <w:jc w:val="center"/>
              <w:rPr>
                <w:rFonts w:ascii="Times New Roman" w:hAnsi="Times New Roman"/>
              </w:rPr>
            </w:pPr>
          </w:p>
        </w:tc>
      </w:tr>
      <w:tr w:rsidR="007E654B" w:rsidRPr="007E654B" w:rsidTr="006C7986">
        <w:trPr>
          <w:trHeight w:val="692"/>
        </w:trPr>
        <w:tc>
          <w:tcPr>
            <w:tcW w:w="2558" w:type="dxa"/>
            <w:vMerge/>
            <w:tcBorders>
              <w:left w:val="single" w:sz="4" w:space="0" w:color="auto"/>
              <w:right w:val="single" w:sz="4" w:space="0" w:color="auto"/>
            </w:tcBorders>
          </w:tcPr>
          <w:p w:rsidR="006C7986" w:rsidRPr="007E654B" w:rsidRDefault="006C7986" w:rsidP="0040778B">
            <w:pPr>
              <w:spacing w:before="60" w:after="60" w:line="240" w:lineRule="auto"/>
              <w:rPr>
                <w:rFonts w:ascii="Times New Roman" w:hAnsi="Times New Roman"/>
              </w:rPr>
            </w:pPr>
          </w:p>
        </w:tc>
        <w:tc>
          <w:tcPr>
            <w:tcW w:w="4453" w:type="dxa"/>
            <w:tcBorders>
              <w:left w:val="single" w:sz="4" w:space="0" w:color="auto"/>
              <w:right w:val="single" w:sz="4" w:space="0" w:color="auto"/>
            </w:tcBorders>
          </w:tcPr>
          <w:p w:rsidR="006C7986" w:rsidRPr="007E654B" w:rsidRDefault="006C7986" w:rsidP="0040778B">
            <w:pPr>
              <w:spacing w:before="60" w:after="60" w:line="240" w:lineRule="auto"/>
              <w:rPr>
                <w:rFonts w:ascii="Times New Roman" w:hAnsi="Times New Roman"/>
              </w:rPr>
            </w:pPr>
            <w:r w:rsidRPr="007E654B">
              <w:rPr>
                <w:rFonts w:ascii="Times New Roman" w:hAnsi="Times New Roman"/>
              </w:rPr>
              <w:t xml:space="preserve">(iv) </w:t>
            </w:r>
            <w:r w:rsidRPr="007E654B">
              <w:rPr>
                <w:rFonts w:ascii="Times New Roman" w:hAnsi="Times New Roman"/>
              </w:rPr>
              <w:tab/>
              <w:t>Mainstreaming of biosafety into relevant policies/plans</w:t>
            </w:r>
          </w:p>
        </w:tc>
        <w:tc>
          <w:tcPr>
            <w:tcW w:w="6165" w:type="dxa"/>
            <w:vMerge/>
            <w:tcBorders>
              <w:left w:val="single" w:sz="4" w:space="0" w:color="auto"/>
              <w:bottom w:val="single" w:sz="4" w:space="0" w:color="auto"/>
              <w:right w:val="single" w:sz="4" w:space="0" w:color="auto"/>
            </w:tcBorders>
          </w:tcPr>
          <w:p w:rsidR="006C7986" w:rsidRPr="007E654B" w:rsidRDefault="006C7986" w:rsidP="0040778B">
            <w:pPr>
              <w:spacing w:before="60" w:after="60" w:line="240" w:lineRule="auto"/>
              <w:jc w:val="center"/>
              <w:rPr>
                <w:rFonts w:ascii="Times New Roman" w:hAnsi="Times New Roman"/>
              </w:rPr>
            </w:pPr>
          </w:p>
        </w:tc>
      </w:tr>
      <w:tr w:rsidR="007E654B" w:rsidRPr="007E654B" w:rsidTr="006C7986">
        <w:trPr>
          <w:trHeight w:val="710"/>
        </w:trPr>
        <w:tc>
          <w:tcPr>
            <w:tcW w:w="2558" w:type="dxa"/>
            <w:vMerge/>
            <w:tcBorders>
              <w:left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p>
        </w:tc>
        <w:tc>
          <w:tcPr>
            <w:tcW w:w="4453" w:type="dxa"/>
            <w:tcBorders>
              <w:left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1.3</w:t>
            </w:r>
            <w:r w:rsidRPr="007E654B">
              <w:rPr>
                <w:rFonts w:ascii="Times New Roman" w:hAnsi="Times New Roman"/>
              </w:rPr>
              <w:tab/>
              <w:t>Development of training modules based on elements of the above guide</w:t>
            </w:r>
          </w:p>
        </w:tc>
        <w:tc>
          <w:tcPr>
            <w:tcW w:w="6165" w:type="dxa"/>
            <w:tcBorders>
              <w:top w:val="single" w:sz="4" w:space="0" w:color="auto"/>
              <w:left w:val="single" w:sz="4" w:space="0" w:color="auto"/>
              <w:bottom w:val="single" w:sz="4" w:space="0" w:color="auto"/>
              <w:right w:val="single" w:sz="4" w:space="0" w:color="auto"/>
            </w:tcBorders>
          </w:tcPr>
          <w:p w:rsidR="00E55044" w:rsidRPr="007E654B" w:rsidRDefault="00E55044" w:rsidP="0040778B">
            <w:pPr>
              <w:spacing w:before="60" w:after="60" w:line="240" w:lineRule="auto"/>
              <w:jc w:val="center"/>
              <w:rPr>
                <w:rFonts w:ascii="Times New Roman" w:hAnsi="Times New Roman"/>
              </w:rPr>
            </w:pPr>
          </w:p>
        </w:tc>
      </w:tr>
      <w:tr w:rsidR="007E654B" w:rsidRPr="007E654B" w:rsidTr="006C7986">
        <w:trPr>
          <w:trHeight w:val="800"/>
        </w:trPr>
        <w:tc>
          <w:tcPr>
            <w:tcW w:w="2558" w:type="dxa"/>
            <w:vMerge/>
            <w:tcBorders>
              <w:left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p>
        </w:tc>
        <w:tc>
          <w:tcPr>
            <w:tcW w:w="4453" w:type="dxa"/>
            <w:tcBorders>
              <w:left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1.4</w:t>
            </w:r>
            <w:r w:rsidRPr="007E654B">
              <w:rPr>
                <w:rFonts w:ascii="Times New Roman" w:hAnsi="Times New Roman"/>
              </w:rPr>
              <w:tab/>
              <w:t>Organization of training of trainers workshops on the elements of the best practice guide</w:t>
            </w:r>
            <w:r w:rsidR="002C2CAF" w:rsidRPr="007E654B">
              <w:rPr>
                <w:rFonts w:ascii="Times New Roman" w:hAnsi="Times New Roman"/>
              </w:rPr>
              <w:t xml:space="preserve"> </w:t>
            </w:r>
            <w:r w:rsidRPr="007E654B">
              <w:rPr>
                <w:rFonts w:ascii="Times New Roman" w:hAnsi="Times New Roman"/>
              </w:rPr>
              <w:t>responsible for administering the biosafety regulatory systems</w:t>
            </w:r>
          </w:p>
        </w:tc>
        <w:tc>
          <w:tcPr>
            <w:tcW w:w="6165" w:type="dxa"/>
            <w:tcBorders>
              <w:top w:val="single" w:sz="4" w:space="0" w:color="auto"/>
              <w:left w:val="single" w:sz="4" w:space="0" w:color="auto"/>
              <w:bottom w:val="single" w:sz="4" w:space="0" w:color="auto"/>
              <w:right w:val="single" w:sz="4" w:space="0" w:color="auto"/>
            </w:tcBorders>
          </w:tcPr>
          <w:p w:rsidR="00E55044" w:rsidRPr="007E654B" w:rsidRDefault="00E55044" w:rsidP="0040778B">
            <w:pPr>
              <w:spacing w:before="60" w:after="60" w:line="240" w:lineRule="auto"/>
              <w:jc w:val="center"/>
              <w:rPr>
                <w:rFonts w:ascii="Times New Roman" w:hAnsi="Times New Roman"/>
              </w:rPr>
            </w:pPr>
          </w:p>
        </w:tc>
      </w:tr>
      <w:tr w:rsidR="007E654B" w:rsidRPr="007E654B" w:rsidTr="006C7986">
        <w:trPr>
          <w:trHeight w:val="953"/>
        </w:trPr>
        <w:tc>
          <w:tcPr>
            <w:tcW w:w="2558" w:type="dxa"/>
            <w:vMerge/>
            <w:tcBorders>
              <w:left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p>
        </w:tc>
        <w:tc>
          <w:tcPr>
            <w:tcW w:w="4453" w:type="dxa"/>
            <w:tcBorders>
              <w:left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1.5</w:t>
            </w:r>
            <w:r w:rsidRPr="007E654B">
              <w:rPr>
                <w:rFonts w:ascii="Times New Roman" w:hAnsi="Times New Roman"/>
              </w:rPr>
              <w:tab/>
              <w:t xml:space="preserve">Development and/or implementation of an electronic system for: </w:t>
            </w:r>
          </w:p>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w:t>
            </w:r>
            <w:proofErr w:type="spellStart"/>
            <w:r w:rsidRPr="007E654B">
              <w:rPr>
                <w:rFonts w:ascii="Times New Roman" w:hAnsi="Times New Roman"/>
              </w:rPr>
              <w:t>i</w:t>
            </w:r>
            <w:proofErr w:type="spellEnd"/>
            <w:r w:rsidRPr="007E654B">
              <w:rPr>
                <w:rFonts w:ascii="Times New Roman" w:hAnsi="Times New Roman"/>
              </w:rPr>
              <w:t xml:space="preserve">) </w:t>
            </w:r>
            <w:r w:rsidRPr="007E654B">
              <w:rPr>
                <w:rFonts w:ascii="Times New Roman" w:hAnsi="Times New Roman"/>
              </w:rPr>
              <w:tab/>
              <w:t xml:space="preserve">handling of notifications and </w:t>
            </w:r>
          </w:p>
        </w:tc>
        <w:tc>
          <w:tcPr>
            <w:tcW w:w="6165" w:type="dxa"/>
            <w:tcBorders>
              <w:top w:val="single" w:sz="4" w:space="0" w:color="auto"/>
              <w:left w:val="single" w:sz="4" w:space="0" w:color="auto"/>
              <w:bottom w:val="single" w:sz="4" w:space="0" w:color="auto"/>
              <w:right w:val="single" w:sz="4" w:space="0" w:color="auto"/>
            </w:tcBorders>
          </w:tcPr>
          <w:p w:rsidR="00292613" w:rsidRPr="007E654B" w:rsidRDefault="00CB690A" w:rsidP="00F879BD">
            <w:pPr>
              <w:spacing w:before="60" w:after="60" w:line="240" w:lineRule="auto"/>
              <w:jc w:val="both"/>
              <w:rPr>
                <w:rFonts w:ascii="Times New Roman" w:hAnsi="Times New Roman"/>
              </w:rPr>
            </w:pPr>
            <w:r w:rsidRPr="007E654B">
              <w:rPr>
                <w:rFonts w:ascii="Times New Roman" w:hAnsi="Times New Roman"/>
              </w:rPr>
              <w:t>The</w:t>
            </w:r>
            <w:r w:rsidR="005975B7" w:rsidRPr="007E654B">
              <w:rPr>
                <w:rFonts w:ascii="Times New Roman" w:hAnsi="Times New Roman"/>
              </w:rPr>
              <w:t xml:space="preserve"> applications to both contained used notifications and deliberated </w:t>
            </w:r>
            <w:r w:rsidR="00FF58F9" w:rsidRPr="007E654B">
              <w:rPr>
                <w:rFonts w:ascii="Times New Roman" w:hAnsi="Times New Roman"/>
              </w:rPr>
              <w:t>release</w:t>
            </w:r>
            <w:r w:rsidR="005975B7" w:rsidRPr="007E654B">
              <w:rPr>
                <w:rFonts w:ascii="Times New Roman" w:hAnsi="Times New Roman"/>
              </w:rPr>
              <w:t xml:space="preserve"> activities must be accessed at the </w:t>
            </w:r>
            <w:r w:rsidRPr="007E654B">
              <w:rPr>
                <w:rFonts w:ascii="Times New Roman" w:hAnsi="Times New Roman"/>
              </w:rPr>
              <w:t>Ministry of Agriculture</w:t>
            </w:r>
            <w:r w:rsidR="00292613" w:rsidRPr="007E654B">
              <w:rPr>
                <w:rFonts w:ascii="Times New Roman" w:hAnsi="Times New Roman"/>
              </w:rPr>
              <w:t xml:space="preserve"> and Fisheries</w:t>
            </w:r>
            <w:r w:rsidRPr="007E654B">
              <w:rPr>
                <w:rFonts w:ascii="Times New Roman" w:hAnsi="Times New Roman"/>
              </w:rPr>
              <w:t>, Food and Environment</w:t>
            </w:r>
            <w:r w:rsidR="00292613" w:rsidRPr="007E654B">
              <w:rPr>
                <w:rFonts w:ascii="Times New Roman" w:hAnsi="Times New Roman"/>
              </w:rPr>
              <w:t xml:space="preserve"> (MAPAMA)´s website:</w:t>
            </w:r>
            <w:r w:rsidR="00F27A91" w:rsidRPr="007E654B">
              <w:rPr>
                <w:rFonts w:ascii="Times New Roman" w:hAnsi="Times New Roman"/>
              </w:rPr>
              <w:t xml:space="preserve"> </w:t>
            </w:r>
            <w:r w:rsidR="00292613" w:rsidRPr="007E654B">
              <w:rPr>
                <w:rFonts w:ascii="Times New Roman" w:hAnsi="Times New Roman"/>
                <w:b/>
              </w:rPr>
              <w:lastRenderedPageBreak/>
              <w:t>https://sede.mapama.gob.es/portal/site/se/procedimientos-intermedio?theme_id=1&amp;cross_search=theme_type&amp;type_id=1</w:t>
            </w:r>
          </w:p>
          <w:p w:rsidR="00E55044" w:rsidRPr="007E654B" w:rsidRDefault="00CB690A" w:rsidP="00F879BD">
            <w:pPr>
              <w:spacing w:before="60" w:after="60" w:line="240" w:lineRule="auto"/>
              <w:jc w:val="both"/>
              <w:rPr>
                <w:rFonts w:ascii="Times New Roman" w:hAnsi="Times New Roman"/>
              </w:rPr>
            </w:pPr>
            <w:r w:rsidRPr="007E654B">
              <w:rPr>
                <w:rFonts w:ascii="Times New Roman" w:hAnsi="Times New Roman"/>
              </w:rPr>
              <w:t xml:space="preserve"> </w:t>
            </w:r>
            <w:r w:rsidR="00292613" w:rsidRPr="007E654B">
              <w:rPr>
                <w:rFonts w:ascii="Times New Roman" w:hAnsi="Times New Roman"/>
              </w:rPr>
              <w:t>Users must own a digital certificate to do the online application, according to article 16.4 of the Law 39/2015, of 1 October, on the Public Administration and the Common Administrative Procedure.</w:t>
            </w:r>
          </w:p>
        </w:tc>
      </w:tr>
      <w:tr w:rsidR="007E654B" w:rsidRPr="007E654B" w:rsidTr="006C7986">
        <w:trPr>
          <w:trHeight w:val="530"/>
        </w:trPr>
        <w:tc>
          <w:tcPr>
            <w:tcW w:w="2558" w:type="dxa"/>
            <w:vMerge/>
            <w:tcBorders>
              <w:left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p>
        </w:tc>
        <w:tc>
          <w:tcPr>
            <w:tcW w:w="4453" w:type="dxa"/>
            <w:tcBorders>
              <w:left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(ii)</w:t>
            </w:r>
            <w:r w:rsidRPr="007E654B">
              <w:rPr>
                <w:rFonts w:ascii="Times New Roman" w:hAnsi="Times New Roman"/>
              </w:rPr>
              <w:tab/>
              <w:t>registration of applications and approvals/decisions taken</w:t>
            </w:r>
          </w:p>
        </w:tc>
        <w:tc>
          <w:tcPr>
            <w:tcW w:w="6165" w:type="dxa"/>
            <w:tcBorders>
              <w:top w:val="single" w:sz="4" w:space="0" w:color="auto"/>
              <w:left w:val="single" w:sz="4" w:space="0" w:color="auto"/>
              <w:bottom w:val="single" w:sz="4" w:space="0" w:color="auto"/>
              <w:right w:val="single" w:sz="4" w:space="0" w:color="auto"/>
            </w:tcBorders>
          </w:tcPr>
          <w:p w:rsidR="00F879BD" w:rsidRPr="007E654B" w:rsidRDefault="00F27A91" w:rsidP="00F879BD">
            <w:pPr>
              <w:spacing w:before="60" w:after="60" w:line="240" w:lineRule="auto"/>
              <w:jc w:val="both"/>
              <w:rPr>
                <w:rFonts w:ascii="Times New Roman" w:hAnsi="Times New Roman"/>
              </w:rPr>
            </w:pPr>
            <w:r w:rsidRPr="007E654B">
              <w:rPr>
                <w:rFonts w:ascii="Times New Roman" w:hAnsi="Times New Roman"/>
              </w:rPr>
              <w:t>- Registration of application of activities with LMOs in Spain are published in the MAPAMA´s website:</w:t>
            </w:r>
          </w:p>
          <w:p w:rsidR="00F27A91" w:rsidRPr="007E654B" w:rsidRDefault="00F27A91" w:rsidP="00F879BD">
            <w:pPr>
              <w:spacing w:before="60" w:after="60" w:line="240" w:lineRule="auto"/>
              <w:jc w:val="both"/>
              <w:rPr>
                <w:rFonts w:ascii="Times New Roman" w:hAnsi="Times New Roman"/>
              </w:rPr>
            </w:pPr>
            <w:r w:rsidRPr="007E654B">
              <w:rPr>
                <w:rFonts w:ascii="Times New Roman" w:hAnsi="Times New Roman"/>
              </w:rPr>
              <w:t xml:space="preserve"> </w:t>
            </w:r>
            <w:r w:rsidRPr="007E654B">
              <w:rPr>
                <w:rFonts w:ascii="Times New Roman" w:hAnsi="Times New Roman"/>
                <w:b/>
              </w:rPr>
              <w:t>http://www.mapama.gob.es/es/calidad-y-evaluacion-ambiental/temas/biotecnologia/organismos-modificados-geneticamente-omg-/notificaciones-y-autorizaciones/</w:t>
            </w:r>
          </w:p>
          <w:p w:rsidR="00F27A91" w:rsidRPr="007E654B" w:rsidRDefault="00F27A91" w:rsidP="00F879BD">
            <w:pPr>
              <w:spacing w:before="60" w:after="60" w:line="240" w:lineRule="auto"/>
              <w:jc w:val="both"/>
              <w:rPr>
                <w:rFonts w:ascii="Times New Roman" w:hAnsi="Times New Roman"/>
              </w:rPr>
            </w:pPr>
            <w:r w:rsidRPr="007E654B">
              <w:rPr>
                <w:rFonts w:ascii="Times New Roman" w:hAnsi="Times New Roman"/>
              </w:rPr>
              <w:t>-Approvals and decisions are published in the MAPAMA´s website.</w:t>
            </w:r>
            <w:r w:rsidRPr="007E654B">
              <w:t xml:space="preserve"> </w:t>
            </w:r>
            <w:r w:rsidRPr="007E654B">
              <w:rPr>
                <w:rFonts w:ascii="Times New Roman" w:hAnsi="Times New Roman"/>
              </w:rPr>
              <w:t>The Central register of LMOs is created by Royal Decree 178/2004, of 30 January, approving the General regulations for the development and implementation of Law 9/2003</w:t>
            </w:r>
            <w:r w:rsidR="00F879BD" w:rsidRPr="007E654B">
              <w:rPr>
                <w:rFonts w:ascii="Times New Roman" w:hAnsi="Times New Roman"/>
              </w:rPr>
              <w:t>. It includes updated information on approved facilities and specific information about activities providing an overview of the facilities and activities with living modified organism</w:t>
            </w:r>
            <w:r w:rsidRPr="007E654B">
              <w:rPr>
                <w:rFonts w:ascii="Times New Roman" w:hAnsi="Times New Roman"/>
              </w:rPr>
              <w:t>:</w:t>
            </w:r>
          </w:p>
          <w:p w:rsidR="00F27A91" w:rsidRPr="007E654B" w:rsidRDefault="00F27A91" w:rsidP="00F879BD">
            <w:pPr>
              <w:spacing w:before="60" w:after="60" w:line="240" w:lineRule="auto"/>
              <w:jc w:val="both"/>
              <w:rPr>
                <w:rFonts w:ascii="Times New Roman" w:hAnsi="Times New Roman"/>
                <w:b/>
                <w:highlight w:val="yellow"/>
              </w:rPr>
            </w:pPr>
            <w:r w:rsidRPr="007E654B">
              <w:rPr>
                <w:rFonts w:ascii="Times New Roman" w:hAnsi="Times New Roman"/>
                <w:b/>
              </w:rPr>
              <w:t>http://www.mapama.gob.es/es/calidad-y-evaluacion-ambiental/temas/biotecnologia/organismos-modificados-geneticamente-omg-/registro-publico-OMG/</w:t>
            </w:r>
          </w:p>
          <w:p w:rsidR="00292613" w:rsidRPr="007E654B" w:rsidRDefault="006C7986" w:rsidP="006C7986">
            <w:pPr>
              <w:spacing w:before="60" w:after="60" w:line="240" w:lineRule="auto"/>
              <w:rPr>
                <w:rFonts w:ascii="Times New Roman" w:hAnsi="Times New Roman"/>
              </w:rPr>
            </w:pPr>
            <w:r w:rsidRPr="007E654B">
              <w:rPr>
                <w:rFonts w:ascii="Times New Roman" w:hAnsi="Times New Roman"/>
              </w:rPr>
              <w:t xml:space="preserve">Some Regional Government also has their own registers. All the information from those registers is included in the Central Register of LMOs. </w:t>
            </w:r>
          </w:p>
        </w:tc>
      </w:tr>
      <w:tr w:rsidR="007E654B" w:rsidRPr="007E654B" w:rsidTr="006C7986">
        <w:trPr>
          <w:trHeight w:val="719"/>
        </w:trPr>
        <w:tc>
          <w:tcPr>
            <w:tcW w:w="2558" w:type="dxa"/>
            <w:vMerge/>
            <w:tcBorders>
              <w:left w:val="single" w:sz="4" w:space="0" w:color="auto"/>
              <w:bottom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p>
        </w:tc>
        <w:tc>
          <w:tcPr>
            <w:tcW w:w="4453" w:type="dxa"/>
            <w:tcBorders>
              <w:left w:val="single" w:sz="4" w:space="0" w:color="auto"/>
              <w:right w:val="single" w:sz="4" w:space="0" w:color="auto"/>
            </w:tcBorders>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1.6</w:t>
            </w:r>
            <w:r w:rsidRPr="007E654B">
              <w:rPr>
                <w:rFonts w:ascii="Times New Roman" w:hAnsi="Times New Roman"/>
              </w:rPr>
              <w:tab/>
              <w:t xml:space="preserve">Organization of training courses and on-the-job training </w:t>
            </w:r>
            <w:proofErr w:type="spellStart"/>
            <w:r w:rsidRPr="007E654B">
              <w:rPr>
                <w:rFonts w:ascii="Times New Roman" w:hAnsi="Times New Roman"/>
              </w:rPr>
              <w:t>programmes</w:t>
            </w:r>
            <w:proofErr w:type="spellEnd"/>
            <w:r w:rsidRPr="007E654B">
              <w:rPr>
                <w:rFonts w:ascii="Times New Roman" w:hAnsi="Times New Roman"/>
              </w:rPr>
              <w:t xml:space="preserve"> for personnel</w:t>
            </w:r>
          </w:p>
        </w:tc>
        <w:tc>
          <w:tcPr>
            <w:tcW w:w="6165" w:type="dxa"/>
            <w:tcBorders>
              <w:top w:val="single" w:sz="4" w:space="0" w:color="auto"/>
              <w:left w:val="single" w:sz="4" w:space="0" w:color="auto"/>
              <w:bottom w:val="single" w:sz="4" w:space="0" w:color="auto"/>
              <w:right w:val="single" w:sz="4" w:space="0" w:color="auto"/>
            </w:tcBorders>
          </w:tcPr>
          <w:p w:rsidR="00E55044" w:rsidRPr="007E654B" w:rsidRDefault="00E55044" w:rsidP="0040778B">
            <w:pPr>
              <w:spacing w:before="60" w:after="60" w:line="240" w:lineRule="auto"/>
              <w:jc w:val="center"/>
              <w:rPr>
                <w:rFonts w:ascii="Times New Roman" w:hAnsi="Times New Roman"/>
              </w:rPr>
            </w:pPr>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outlineLvl w:val="2"/>
              <w:rPr>
                <w:rFonts w:ascii="Times New Roman" w:eastAsia="Times New Roman" w:hAnsi="Times New Roman"/>
                <w:b/>
                <w:i/>
                <w:iCs/>
                <w:lang w:val="en-CA"/>
              </w:rPr>
            </w:pPr>
            <w:r w:rsidRPr="007E654B">
              <w:rPr>
                <w:rFonts w:ascii="Times New Roman" w:eastAsia="Times New Roman" w:hAnsi="Times New Roman"/>
                <w:b/>
                <w:i/>
                <w:iCs/>
                <w:lang w:val="en-CA"/>
              </w:rPr>
              <w:lastRenderedPageBreak/>
              <w:t>Focal area 2: Risk assessment and risk management</w:t>
            </w:r>
          </w:p>
          <w:p w:rsidR="00E55044" w:rsidRPr="007E654B" w:rsidRDefault="00E55044" w:rsidP="0040778B">
            <w:pPr>
              <w:keepNext/>
              <w:spacing w:before="60" w:after="60" w:line="240" w:lineRule="auto"/>
              <w:jc w:val="both"/>
              <w:rPr>
                <w:rFonts w:ascii="Times New Roman" w:eastAsia="Times New Roman" w:hAnsi="Times New Roman"/>
                <w:b/>
                <w:lang w:val="en-GB"/>
              </w:rPr>
            </w:pPr>
            <w:r w:rsidRPr="007E654B">
              <w:rPr>
                <w:rFonts w:ascii="Times New Roman" w:eastAsia="Times New Roman" w:hAnsi="Times New Roman"/>
                <w:b/>
                <w:lang w:val="en-GB"/>
              </w:rPr>
              <w:t>Operational objective 2</w:t>
            </w:r>
          </w:p>
          <w:p w:rsidR="00E55044" w:rsidRPr="007E654B" w:rsidRDefault="00E55044" w:rsidP="0040778B">
            <w:pPr>
              <w:keepNext/>
              <w:spacing w:before="60" w:after="60" w:line="240" w:lineRule="auto"/>
              <w:outlineLvl w:val="2"/>
              <w:rPr>
                <w:rFonts w:ascii="Times New Roman" w:eastAsia="Times New Roman" w:hAnsi="Times New Roman"/>
                <w:b/>
                <w:i/>
                <w:iCs/>
                <w:lang w:val="en-CA"/>
              </w:rPr>
            </w:pPr>
            <w:r w:rsidRPr="007E654B">
              <w:rPr>
                <w:rFonts w:ascii="Times New Roman" w:eastAsia="Arial Unicode MS" w:hAnsi="Times New Roman"/>
                <w:iCs/>
                <w:lang w:val="en-CA"/>
              </w:rPr>
              <w:t>To enable Parties to evaluate, apply, share and carry out risk assessments and establish local science-based capacities to regulate, manage, monitor and control risks of living modified organisms (LMOs).</w:t>
            </w:r>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jc w:val="both"/>
              <w:rPr>
                <w:rFonts w:ascii="Times New Roman" w:eastAsia="Times New Roman" w:hAnsi="Times New Roman"/>
                <w:b/>
                <w:lang w:val="en-GB"/>
              </w:rPr>
            </w:pPr>
            <w:r w:rsidRPr="007E654B">
              <w:rPr>
                <w:rFonts w:ascii="Times New Roman" w:eastAsia="Times New Roman" w:hAnsi="Times New Roman"/>
                <w:b/>
                <w:lang w:val="en-GB"/>
              </w:rPr>
              <w:t>Outcomes</w:t>
            </w:r>
          </w:p>
          <w:p w:rsidR="00E55044" w:rsidRPr="007E654B" w:rsidRDefault="00E55044" w:rsidP="0040778B">
            <w:pPr>
              <w:numPr>
                <w:ilvl w:val="0"/>
                <w:numId w:val="4"/>
              </w:numPr>
              <w:spacing w:after="0" w:line="240" w:lineRule="auto"/>
              <w:jc w:val="both"/>
              <w:rPr>
                <w:rFonts w:ascii="Times New Roman" w:eastAsia="Times New Roman" w:hAnsi="Times New Roman"/>
                <w:lang w:val="en-GB"/>
              </w:rPr>
            </w:pPr>
            <w:r w:rsidRPr="007E654B">
              <w:rPr>
                <w:rFonts w:ascii="Times New Roman" w:eastAsia="Times New Roman" w:hAnsi="Times New Roman"/>
                <w:lang w:val="en-GB"/>
              </w:rPr>
              <w:t>Resources, including human resources, and the administrative mechanisms required to assess risks of LMOs are available;</w:t>
            </w:r>
          </w:p>
          <w:p w:rsidR="00E55044" w:rsidRPr="007E654B" w:rsidRDefault="00E55044" w:rsidP="0040778B">
            <w:pPr>
              <w:numPr>
                <w:ilvl w:val="0"/>
                <w:numId w:val="4"/>
              </w:numPr>
              <w:spacing w:after="0" w:line="240" w:lineRule="auto"/>
              <w:jc w:val="both"/>
              <w:rPr>
                <w:rFonts w:ascii="Times New Roman" w:eastAsia="Times New Roman" w:hAnsi="Times New Roman"/>
                <w:lang w:val="en-GB"/>
              </w:rPr>
            </w:pPr>
            <w:r w:rsidRPr="007E654B">
              <w:rPr>
                <w:rFonts w:ascii="Times New Roman" w:eastAsia="Times New Roman" w:hAnsi="Times New Roman"/>
                <w:lang w:val="en-GB"/>
              </w:rPr>
              <w:t>Training materials and technical guidance on risk assessment and risk management developed and used by Parties;</w:t>
            </w:r>
          </w:p>
          <w:p w:rsidR="00E55044" w:rsidRPr="007E654B" w:rsidRDefault="00E55044" w:rsidP="0040778B">
            <w:pPr>
              <w:numPr>
                <w:ilvl w:val="0"/>
                <w:numId w:val="4"/>
              </w:numPr>
              <w:spacing w:after="0" w:line="240" w:lineRule="auto"/>
              <w:jc w:val="both"/>
              <w:rPr>
                <w:rFonts w:ascii="Times New Roman" w:eastAsia="Times New Roman" w:hAnsi="Times New Roman"/>
                <w:b/>
                <w:lang w:val="en-GB"/>
              </w:rPr>
            </w:pPr>
            <w:r w:rsidRPr="007E654B">
              <w:rPr>
                <w:rFonts w:ascii="Times New Roman" w:eastAsia="Times New Roman" w:hAnsi="Times New Roman"/>
                <w:lang w:val="en-GB"/>
              </w:rPr>
              <w:t xml:space="preserve">Infrastructure and administrative mechanisms established for the management of risks of LMOs at national, </w:t>
            </w:r>
            <w:proofErr w:type="spellStart"/>
            <w:r w:rsidRPr="007E654B">
              <w:rPr>
                <w:rFonts w:ascii="Times New Roman" w:eastAsia="Times New Roman" w:hAnsi="Times New Roman"/>
                <w:lang w:val="en-GB"/>
              </w:rPr>
              <w:t>subregional</w:t>
            </w:r>
            <w:proofErr w:type="spellEnd"/>
            <w:r w:rsidRPr="007E654B">
              <w:rPr>
                <w:rFonts w:ascii="Times New Roman" w:eastAsia="Times New Roman" w:hAnsi="Times New Roman"/>
                <w:lang w:val="en-GB"/>
              </w:rPr>
              <w:t xml:space="preserve"> or regional levels.</w:t>
            </w:r>
          </w:p>
        </w:tc>
      </w:tr>
      <w:tr w:rsidR="007E654B" w:rsidRPr="007E654B" w:rsidTr="006C7986">
        <w:tc>
          <w:tcPr>
            <w:tcW w:w="2558"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A. </w:t>
            </w:r>
            <w:r w:rsidR="00E55044" w:rsidRPr="007E654B">
              <w:rPr>
                <w:rFonts w:ascii="Times New Roman" w:hAnsi="Times New Roman"/>
                <w:b/>
              </w:rPr>
              <w:t>Results/Outputs</w:t>
            </w:r>
          </w:p>
        </w:tc>
        <w:tc>
          <w:tcPr>
            <w:tcW w:w="4453"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B. </w:t>
            </w:r>
            <w:r w:rsidR="00E55044" w:rsidRPr="007E654B">
              <w:rPr>
                <w:rFonts w:ascii="Times New Roman" w:hAnsi="Times New Roman"/>
                <w:b/>
              </w:rPr>
              <w:t>Planned Activities</w:t>
            </w:r>
          </w:p>
        </w:tc>
        <w:tc>
          <w:tcPr>
            <w:tcW w:w="6165" w:type="dxa"/>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C. </w:t>
            </w:r>
            <w:r w:rsidR="00E55044" w:rsidRPr="007E654B">
              <w:rPr>
                <w:rFonts w:ascii="Times New Roman" w:hAnsi="Times New Roman"/>
                <w:b/>
              </w:rPr>
              <w:t>Summary of results of activities undertaken, good practices and lessons learned</w:t>
            </w:r>
          </w:p>
          <w:p w:rsidR="002C2CAF" w:rsidRPr="007E654B" w:rsidRDefault="002C2CAF" w:rsidP="0040778B">
            <w:pPr>
              <w:spacing w:before="60" w:after="60" w:line="240" w:lineRule="auto"/>
              <w:jc w:val="center"/>
              <w:rPr>
                <w:rFonts w:ascii="Times New Roman" w:hAnsi="Times New Roman"/>
                <w:b/>
              </w:rPr>
            </w:pPr>
            <w:r w:rsidRPr="007E654B">
              <w:rPr>
                <w:rFonts w:ascii="Times New Roman" w:hAnsi="Times New Roman"/>
                <w:highlight w:val="yellow"/>
              </w:rPr>
              <w:t>[Enter text in column C, next to the relevant activity in column B, as appropriate]</w:t>
            </w:r>
          </w:p>
        </w:tc>
      </w:tr>
      <w:tr w:rsidR="007E654B" w:rsidRPr="007E654B" w:rsidTr="006C7986">
        <w:trPr>
          <w:trHeight w:val="530"/>
        </w:trPr>
        <w:tc>
          <w:tcPr>
            <w:tcW w:w="2558" w:type="dxa"/>
            <w:vMerge w:val="restart"/>
            <w:shd w:val="clear" w:color="auto" w:fill="auto"/>
          </w:tcPr>
          <w:p w:rsidR="00E55044" w:rsidRPr="007E654B" w:rsidRDefault="00E55044" w:rsidP="0040778B">
            <w:pPr>
              <w:numPr>
                <w:ilvl w:val="0"/>
                <w:numId w:val="5"/>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Parties have trained experts in fields relevant for risk assessment and risk management</w:t>
            </w:r>
          </w:p>
          <w:p w:rsidR="00E55044" w:rsidRPr="007E654B" w:rsidRDefault="00E55044" w:rsidP="0040778B">
            <w:pPr>
              <w:numPr>
                <w:ilvl w:val="0"/>
                <w:numId w:val="5"/>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Guidance on risk assessment and risk management of LMOs readily available and being used by Parties</w:t>
            </w:r>
          </w:p>
          <w:p w:rsidR="00E55044" w:rsidRPr="007E654B" w:rsidRDefault="00E55044" w:rsidP="0040778B">
            <w:pPr>
              <w:numPr>
                <w:ilvl w:val="0"/>
                <w:numId w:val="5"/>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Local experts conducting risk assessments and/or risk assessment audits as part of decision-making regarding LMOs</w:t>
            </w:r>
          </w:p>
          <w:p w:rsidR="00E55044" w:rsidRPr="007E654B" w:rsidRDefault="00E55044" w:rsidP="0040778B">
            <w:pPr>
              <w:numPr>
                <w:ilvl w:val="0"/>
                <w:numId w:val="5"/>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lastRenderedPageBreak/>
              <w:t>Parties submitting risk assessment summaries to the BCH</w:t>
            </w:r>
          </w:p>
          <w:p w:rsidR="00E55044" w:rsidRPr="007E654B" w:rsidRDefault="00E55044" w:rsidP="0040778B">
            <w:pPr>
              <w:numPr>
                <w:ilvl w:val="0"/>
                <w:numId w:val="5"/>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Baseline data on biodiversity relevant for risk assessment and risk management available</w:t>
            </w:r>
          </w:p>
          <w:p w:rsidR="00E55044" w:rsidRPr="007E654B" w:rsidRDefault="00E55044" w:rsidP="0040778B">
            <w:pPr>
              <w:numPr>
                <w:ilvl w:val="0"/>
                <w:numId w:val="5"/>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Parties have the necessary infrastructure for risk assessment and risk management</w:t>
            </w:r>
          </w:p>
          <w:p w:rsidR="00E55044" w:rsidRPr="007E654B" w:rsidRDefault="00E55044" w:rsidP="0040778B">
            <w:pPr>
              <w:numPr>
                <w:ilvl w:val="0"/>
                <w:numId w:val="5"/>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Parties using science-based risk assessment methods</w:t>
            </w:r>
          </w:p>
          <w:p w:rsidR="00E55044" w:rsidRPr="007E654B" w:rsidRDefault="00E55044" w:rsidP="0040778B">
            <w:pPr>
              <w:numPr>
                <w:ilvl w:val="0"/>
                <w:numId w:val="5"/>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Parties have LMO monitoring programmes based on defined protection goals, risk hypotheses and relevant assessment endpoints</w:t>
            </w:r>
          </w:p>
        </w:tc>
        <w:tc>
          <w:tcPr>
            <w:tcW w:w="4453" w:type="dxa"/>
            <w:shd w:val="clear" w:color="auto" w:fill="auto"/>
          </w:tcPr>
          <w:p w:rsidR="00E55044" w:rsidRPr="007E654B" w:rsidRDefault="00E55044" w:rsidP="0040778B">
            <w:pPr>
              <w:numPr>
                <w:ilvl w:val="0"/>
                <w:numId w:val="6"/>
              </w:numPr>
              <w:tabs>
                <w:tab w:val="clear" w:pos="526"/>
                <w:tab w:val="num" w:pos="702"/>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lastRenderedPageBreak/>
              <w:t xml:space="preserve">Establishment of institutional arrangements (e.g., technical and advisory committees or other arrangements) for conducting or reviewing risk assessments </w:t>
            </w:r>
          </w:p>
        </w:tc>
        <w:tc>
          <w:tcPr>
            <w:tcW w:w="6165" w:type="dxa"/>
          </w:tcPr>
          <w:p w:rsidR="00FF58F9" w:rsidRPr="007E654B" w:rsidRDefault="00FF58F9" w:rsidP="00FF58F9">
            <w:pPr>
              <w:spacing w:before="100" w:beforeAutospacing="1" w:after="100" w:afterAutospacing="1"/>
              <w:jc w:val="both"/>
              <w:rPr>
                <w:rFonts w:ascii="Times New Roman" w:hAnsi="Times New Roman"/>
                <w:b/>
              </w:rPr>
            </w:pPr>
            <w:r w:rsidRPr="007E654B">
              <w:rPr>
                <w:rFonts w:ascii="Times New Roman" w:hAnsi="Times New Roman"/>
              </w:rPr>
              <w:t xml:space="preserve">The second additional provision of the Law contemplates the responsible collegiate bodies at the national level, in the exercise of regulated activities. The </w:t>
            </w:r>
            <w:r w:rsidRPr="007E654B">
              <w:rPr>
                <w:rFonts w:ascii="Times New Roman" w:hAnsi="Times New Roman"/>
                <w:b/>
              </w:rPr>
              <w:t>National Biosafety Committee (CNB).</w:t>
            </w:r>
          </w:p>
          <w:p w:rsidR="00FF58F9" w:rsidRPr="007E654B" w:rsidRDefault="00FF58F9" w:rsidP="00FF58F9">
            <w:pPr>
              <w:spacing w:before="100" w:beforeAutospacing="1" w:after="100" w:afterAutospacing="1"/>
              <w:jc w:val="both"/>
              <w:rPr>
                <w:rFonts w:ascii="Times New Roman" w:hAnsi="Times New Roman"/>
              </w:rPr>
            </w:pPr>
            <w:r w:rsidRPr="007E654B">
              <w:rPr>
                <w:rFonts w:ascii="Times New Roman" w:hAnsi="Times New Roman"/>
              </w:rPr>
              <w:t>The CNB is a collegiate consultative body whose role is to report to both the General State Administration and the Autonomous Communities on applications for authorization contained use, deliberate release and marketing of GMOs presented to, and to carry out risks assessments.</w:t>
            </w:r>
          </w:p>
          <w:p w:rsidR="00E55044" w:rsidRPr="007E654B" w:rsidRDefault="00E55044" w:rsidP="0040778B">
            <w:pPr>
              <w:spacing w:before="60" w:after="60" w:line="240" w:lineRule="auto"/>
              <w:ind w:left="72"/>
              <w:rPr>
                <w:rFonts w:ascii="Times New Roman" w:eastAsia="Times New Roman" w:hAnsi="Times New Roman"/>
              </w:rPr>
            </w:pPr>
          </w:p>
        </w:tc>
      </w:tr>
      <w:tr w:rsidR="007E654B" w:rsidRPr="007E654B" w:rsidTr="006C7986">
        <w:trPr>
          <w:trHeight w:val="584"/>
        </w:trPr>
        <w:tc>
          <w:tcPr>
            <w:tcW w:w="2558" w:type="dxa"/>
            <w:vMerge/>
            <w:shd w:val="clear" w:color="auto" w:fill="auto"/>
          </w:tcPr>
          <w:p w:rsidR="00E55044" w:rsidRPr="007E654B" w:rsidRDefault="00E55044" w:rsidP="0040778B">
            <w:pPr>
              <w:numPr>
                <w:ilvl w:val="0"/>
                <w:numId w:val="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numPr>
                <w:ilvl w:val="0"/>
                <w:numId w:val="6"/>
              </w:numPr>
              <w:tabs>
                <w:tab w:val="clear" w:pos="526"/>
                <w:tab w:val="num" w:pos="702"/>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Organization of training</w:t>
            </w:r>
            <w:r w:rsidRPr="007E654B">
              <w:rPr>
                <w:rFonts w:ascii="Times New Roman" w:eastAsia="Times New Roman" w:hAnsi="Times New Roman"/>
                <w:lang w:val="en-CA"/>
              </w:rPr>
              <w:noBreakHyphen/>
              <w:t>of</w:t>
            </w:r>
            <w:r w:rsidRPr="007E654B">
              <w:rPr>
                <w:rFonts w:ascii="Times New Roman" w:eastAsia="Times New Roman" w:hAnsi="Times New Roman"/>
                <w:lang w:val="en-CA"/>
              </w:rPr>
              <w:noBreakHyphen/>
              <w:t>trainers workshops on risk assessment and risk management</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720"/>
        </w:trPr>
        <w:tc>
          <w:tcPr>
            <w:tcW w:w="2558" w:type="dxa"/>
            <w:vMerge/>
            <w:shd w:val="clear" w:color="auto" w:fill="auto"/>
          </w:tcPr>
          <w:p w:rsidR="00E55044" w:rsidRPr="007E654B" w:rsidRDefault="00E55044" w:rsidP="0040778B">
            <w:pPr>
              <w:numPr>
                <w:ilvl w:val="0"/>
                <w:numId w:val="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numPr>
                <w:ilvl w:val="0"/>
                <w:numId w:val="6"/>
              </w:numPr>
              <w:tabs>
                <w:tab w:val="clear" w:pos="526"/>
                <w:tab w:val="num" w:pos="702"/>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Development of guidance documents on risk assessment and risk management</w:t>
            </w:r>
          </w:p>
        </w:tc>
        <w:tc>
          <w:tcPr>
            <w:tcW w:w="6165" w:type="dxa"/>
          </w:tcPr>
          <w:p w:rsidR="00E55044" w:rsidRPr="007E654B" w:rsidRDefault="00E55044" w:rsidP="0040778B">
            <w:pPr>
              <w:spacing w:before="60" w:after="60" w:line="240" w:lineRule="auto"/>
              <w:rPr>
                <w:rFonts w:ascii="Times New Roman" w:eastAsia="Times New Roman" w:hAnsi="Times New Roman"/>
                <w:lang w:val="en-CA"/>
              </w:rPr>
            </w:pPr>
          </w:p>
        </w:tc>
      </w:tr>
      <w:tr w:rsidR="007E654B" w:rsidRPr="007E654B" w:rsidTr="006C7986">
        <w:trPr>
          <w:trHeight w:val="815"/>
        </w:trPr>
        <w:tc>
          <w:tcPr>
            <w:tcW w:w="2558" w:type="dxa"/>
            <w:vMerge/>
            <w:shd w:val="clear" w:color="auto" w:fill="auto"/>
          </w:tcPr>
          <w:p w:rsidR="00E55044" w:rsidRPr="007E654B" w:rsidRDefault="00E55044" w:rsidP="0040778B">
            <w:pPr>
              <w:numPr>
                <w:ilvl w:val="0"/>
                <w:numId w:val="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numPr>
                <w:ilvl w:val="0"/>
                <w:numId w:val="6"/>
              </w:numPr>
              <w:tabs>
                <w:tab w:val="clear" w:pos="526"/>
                <w:tab w:val="num" w:pos="702"/>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Development or strengthening of technical infrastructure for risk assessment and risk management</w:t>
            </w:r>
          </w:p>
        </w:tc>
        <w:tc>
          <w:tcPr>
            <w:tcW w:w="6165" w:type="dxa"/>
          </w:tcPr>
          <w:p w:rsidR="00E55044" w:rsidRPr="007E654B" w:rsidRDefault="00E55044" w:rsidP="0040778B">
            <w:pPr>
              <w:spacing w:before="60" w:after="60" w:line="240" w:lineRule="auto"/>
              <w:ind w:left="72"/>
              <w:jc w:val="center"/>
              <w:rPr>
                <w:rFonts w:ascii="Times New Roman" w:eastAsia="Times New Roman" w:hAnsi="Times New Roman"/>
                <w:lang w:val="en-CA"/>
              </w:rPr>
            </w:pPr>
          </w:p>
        </w:tc>
      </w:tr>
      <w:tr w:rsidR="007E654B" w:rsidRPr="007E654B" w:rsidTr="006C7986">
        <w:trPr>
          <w:trHeight w:val="656"/>
        </w:trPr>
        <w:tc>
          <w:tcPr>
            <w:tcW w:w="2558" w:type="dxa"/>
            <w:vMerge/>
            <w:shd w:val="clear" w:color="auto" w:fill="auto"/>
          </w:tcPr>
          <w:p w:rsidR="00E55044" w:rsidRPr="007E654B" w:rsidRDefault="00E55044" w:rsidP="0040778B">
            <w:pPr>
              <w:numPr>
                <w:ilvl w:val="0"/>
                <w:numId w:val="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numPr>
                <w:ilvl w:val="0"/>
                <w:numId w:val="6"/>
              </w:numPr>
              <w:tabs>
                <w:tab w:val="clear" w:pos="526"/>
                <w:tab w:val="num" w:pos="702"/>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bCs/>
                <w:lang w:val="en-CA"/>
              </w:rPr>
              <w:t>Conducting scientific biosafety research relating to LMOs</w:t>
            </w:r>
          </w:p>
        </w:tc>
        <w:tc>
          <w:tcPr>
            <w:tcW w:w="6165" w:type="dxa"/>
          </w:tcPr>
          <w:p w:rsidR="00E55044" w:rsidRPr="007E654B" w:rsidRDefault="00092A0F" w:rsidP="00092A0F">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 xml:space="preserve">Biosafety research relating to LMOs is included in research projects carried out under national legislation on research and innovation. </w:t>
            </w:r>
          </w:p>
        </w:tc>
      </w:tr>
      <w:tr w:rsidR="007E654B" w:rsidRPr="007E654B" w:rsidTr="006C7986">
        <w:trPr>
          <w:trHeight w:val="815"/>
        </w:trPr>
        <w:tc>
          <w:tcPr>
            <w:tcW w:w="2558" w:type="dxa"/>
            <w:vMerge/>
            <w:shd w:val="clear" w:color="auto" w:fill="auto"/>
          </w:tcPr>
          <w:p w:rsidR="00E55044" w:rsidRPr="007E654B" w:rsidRDefault="00E55044" w:rsidP="0040778B">
            <w:pPr>
              <w:numPr>
                <w:ilvl w:val="0"/>
                <w:numId w:val="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numPr>
                <w:ilvl w:val="0"/>
                <w:numId w:val="6"/>
              </w:numPr>
              <w:tabs>
                <w:tab w:val="clear" w:pos="526"/>
                <w:tab w:val="num" w:pos="702"/>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Review of existing data and/or conducting new research to acquire data on biodiversity for specific ecological areas (e.g., botanical files, consensus documents, national inventories, etc.) relevant to risk assessment and risk management</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815"/>
        </w:trPr>
        <w:tc>
          <w:tcPr>
            <w:tcW w:w="2558" w:type="dxa"/>
            <w:vMerge/>
            <w:shd w:val="clear" w:color="auto" w:fill="auto"/>
          </w:tcPr>
          <w:p w:rsidR="00E55044" w:rsidRPr="007E654B" w:rsidRDefault="00E55044" w:rsidP="0040778B">
            <w:pPr>
              <w:numPr>
                <w:ilvl w:val="0"/>
                <w:numId w:val="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numPr>
                <w:ilvl w:val="0"/>
                <w:numId w:val="6"/>
              </w:numPr>
              <w:tabs>
                <w:tab w:val="clear" w:pos="526"/>
                <w:tab w:val="num" w:pos="702"/>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Establishment and maintenance of user</w:t>
            </w:r>
            <w:r w:rsidRPr="007E654B">
              <w:rPr>
                <w:rFonts w:ascii="Times New Roman" w:eastAsia="Times New Roman" w:hAnsi="Times New Roman"/>
                <w:lang w:val="en-CA"/>
              </w:rPr>
              <w:noBreakHyphen/>
              <w:t>friendly databases to facilitate easy access to data on biodiversity relevant for risk assessment and risk management</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815"/>
        </w:trPr>
        <w:tc>
          <w:tcPr>
            <w:tcW w:w="2558" w:type="dxa"/>
            <w:vMerge/>
            <w:shd w:val="clear" w:color="auto" w:fill="auto"/>
          </w:tcPr>
          <w:p w:rsidR="00E55044" w:rsidRPr="007E654B" w:rsidRDefault="00E55044" w:rsidP="0040778B">
            <w:pPr>
              <w:numPr>
                <w:ilvl w:val="0"/>
                <w:numId w:val="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numPr>
                <w:ilvl w:val="0"/>
                <w:numId w:val="6"/>
              </w:numPr>
              <w:tabs>
                <w:tab w:val="clear" w:pos="526"/>
                <w:tab w:val="num" w:pos="702"/>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Development of LMO monitoring frameworks and programmes, including post-release monitoring of LMOs</w:t>
            </w:r>
          </w:p>
        </w:tc>
        <w:tc>
          <w:tcPr>
            <w:tcW w:w="6165" w:type="dxa"/>
          </w:tcPr>
          <w:p w:rsidR="00E55044" w:rsidRPr="007E654B" w:rsidRDefault="00092A0F" w:rsidP="00092A0F">
            <w:pPr>
              <w:spacing w:before="60" w:after="60" w:line="240" w:lineRule="auto"/>
              <w:ind w:left="72"/>
              <w:rPr>
                <w:rFonts w:ascii="Times New Roman" w:eastAsia="Times New Roman" w:hAnsi="Times New Roman"/>
                <w:lang w:val="en-CA"/>
              </w:rPr>
            </w:pPr>
            <w:r w:rsidRPr="007E654B">
              <w:rPr>
                <w:rFonts w:ascii="Times New Roman" w:eastAsia="Times New Roman" w:hAnsi="Times New Roman"/>
                <w:lang w:val="en-CA"/>
              </w:rPr>
              <w:t xml:space="preserve">Ministry of Agriculture is currently developing a plan to control the deliberate release of LMOs. </w:t>
            </w:r>
          </w:p>
        </w:tc>
      </w:tr>
      <w:tr w:rsidR="007E654B" w:rsidRPr="007E654B" w:rsidTr="006C7986">
        <w:trPr>
          <w:trHeight w:val="1016"/>
        </w:trPr>
        <w:tc>
          <w:tcPr>
            <w:tcW w:w="2558" w:type="dxa"/>
            <w:vMerge/>
            <w:shd w:val="clear" w:color="auto" w:fill="auto"/>
          </w:tcPr>
          <w:p w:rsidR="00E55044" w:rsidRPr="007E654B" w:rsidRDefault="00E55044" w:rsidP="0040778B">
            <w:pPr>
              <w:numPr>
                <w:ilvl w:val="0"/>
                <w:numId w:val="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numPr>
                <w:ilvl w:val="0"/>
                <w:numId w:val="6"/>
              </w:numPr>
              <w:tabs>
                <w:tab w:val="clear" w:pos="526"/>
                <w:tab w:val="num" w:pos="702"/>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Training of scientists, phytosanitary officers, inspectors and other relevant officials on LMO monitoring, enforcement and emergency response</w:t>
            </w:r>
          </w:p>
        </w:tc>
        <w:tc>
          <w:tcPr>
            <w:tcW w:w="6165" w:type="dxa"/>
          </w:tcPr>
          <w:p w:rsidR="00E55044" w:rsidRPr="007E654B" w:rsidRDefault="00E55044" w:rsidP="0040778B">
            <w:pPr>
              <w:spacing w:before="60" w:after="60" w:line="240" w:lineRule="auto"/>
              <w:ind w:left="72"/>
              <w:jc w:val="center"/>
              <w:rPr>
                <w:rFonts w:ascii="Times New Roman" w:eastAsia="Times New Roman" w:hAnsi="Times New Roman"/>
                <w:lang w:val="en-CA"/>
              </w:rPr>
            </w:pPr>
            <w:bookmarkStart w:id="0" w:name="_GoBack"/>
            <w:bookmarkEnd w:id="0"/>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outlineLvl w:val="2"/>
              <w:rPr>
                <w:rFonts w:ascii="Times New Roman Bold Italic" w:eastAsia="Times New Roman" w:hAnsi="Times New Roman Bold Italic"/>
                <w:b/>
                <w:i/>
                <w:iCs/>
                <w:lang w:val="en-CA"/>
              </w:rPr>
            </w:pPr>
            <w:r w:rsidRPr="007E654B">
              <w:rPr>
                <w:rFonts w:ascii="Times New Roman Bold Italic" w:eastAsia="Times New Roman" w:hAnsi="Times New Roman Bold Italic"/>
                <w:b/>
                <w:i/>
                <w:iCs/>
                <w:lang w:val="en-CA"/>
              </w:rPr>
              <w:lastRenderedPageBreak/>
              <w:t xml:space="preserve">Focal area 3: Handling, transport, packaging and identification </w:t>
            </w:r>
          </w:p>
          <w:p w:rsidR="00E55044" w:rsidRPr="007E654B" w:rsidRDefault="00E55044" w:rsidP="0040778B">
            <w:pPr>
              <w:keepNext/>
              <w:spacing w:before="60" w:after="60" w:line="240" w:lineRule="auto"/>
              <w:jc w:val="both"/>
              <w:rPr>
                <w:rFonts w:ascii="Times New Roman" w:eastAsia="Times New Roman" w:hAnsi="Times New Roman"/>
                <w:b/>
                <w:lang w:val="en-GB"/>
              </w:rPr>
            </w:pPr>
            <w:r w:rsidRPr="007E654B">
              <w:rPr>
                <w:rFonts w:ascii="Times New Roman" w:eastAsia="Times New Roman" w:hAnsi="Times New Roman"/>
                <w:b/>
                <w:lang w:val="en-GB"/>
              </w:rPr>
              <w:t>Operational objective 3</w:t>
            </w:r>
          </w:p>
          <w:p w:rsidR="00E55044" w:rsidRPr="007E654B" w:rsidRDefault="00E55044" w:rsidP="0040778B">
            <w:pPr>
              <w:keepNext/>
              <w:spacing w:before="60" w:after="60" w:line="240" w:lineRule="auto"/>
              <w:outlineLvl w:val="2"/>
              <w:rPr>
                <w:rFonts w:ascii="Times New Roman Bold Italic" w:eastAsia="Times New Roman" w:hAnsi="Times New Roman Bold Italic"/>
                <w:b/>
                <w:i/>
                <w:iCs/>
                <w:lang w:val="en-CA"/>
              </w:rPr>
            </w:pPr>
            <w:r w:rsidRPr="007E654B">
              <w:rPr>
                <w:rFonts w:ascii="Times New Roman" w:eastAsia="Arial Unicode MS" w:hAnsi="Times New Roman"/>
                <w:iCs/>
                <w:lang w:val="en-CA"/>
              </w:rPr>
              <w:t>To develop capacity for handling, transport, packaging and identification of living modified organisms.</w:t>
            </w:r>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rPr>
                <w:rFonts w:ascii="Times New Roman" w:eastAsia="Times New Roman" w:hAnsi="Times New Roman"/>
                <w:b/>
                <w:lang w:val="en-GB"/>
              </w:rPr>
            </w:pPr>
            <w:r w:rsidRPr="007E654B">
              <w:rPr>
                <w:rFonts w:ascii="Times New Roman" w:eastAsia="Times New Roman" w:hAnsi="Times New Roman"/>
                <w:b/>
                <w:lang w:val="en-GB"/>
              </w:rPr>
              <w:t>Outcomes</w:t>
            </w:r>
          </w:p>
          <w:p w:rsidR="00E55044" w:rsidRPr="007E654B" w:rsidRDefault="00E55044" w:rsidP="0040778B">
            <w:pPr>
              <w:numPr>
                <w:ilvl w:val="0"/>
                <w:numId w:val="7"/>
              </w:numPr>
              <w:spacing w:after="0" w:line="240" w:lineRule="auto"/>
              <w:ind w:left="360"/>
              <w:jc w:val="both"/>
              <w:rPr>
                <w:rFonts w:ascii="Times New Roman" w:eastAsia="Times New Roman" w:hAnsi="Times New Roman"/>
                <w:lang w:val="en-GB"/>
              </w:rPr>
            </w:pPr>
            <w:r w:rsidRPr="007E654B">
              <w:rPr>
                <w:rFonts w:ascii="Times New Roman" w:eastAsia="Times New Roman" w:hAnsi="Times New Roman"/>
                <w:lang w:val="en-GB"/>
              </w:rPr>
              <w:t>Customs/border control officials and other officials are able to enforce the Protocol’s requirements related to handling, transport, packaging and identification of LMOs;</w:t>
            </w:r>
          </w:p>
          <w:p w:rsidR="00E55044" w:rsidRPr="007E654B" w:rsidRDefault="00E55044" w:rsidP="0040778B">
            <w:pPr>
              <w:numPr>
                <w:ilvl w:val="0"/>
                <w:numId w:val="7"/>
              </w:numPr>
              <w:spacing w:after="0" w:line="240" w:lineRule="auto"/>
              <w:ind w:left="360"/>
              <w:jc w:val="both"/>
              <w:rPr>
                <w:rFonts w:ascii="Times New Roman" w:eastAsia="Times New Roman" w:hAnsi="Times New Roman"/>
                <w:b/>
                <w:lang w:val="en-GB"/>
              </w:rPr>
            </w:pPr>
            <w:r w:rsidRPr="007E654B">
              <w:rPr>
                <w:rFonts w:ascii="Times New Roman" w:eastAsia="Times New Roman" w:hAnsi="Times New Roman"/>
                <w:lang w:val="en-GB"/>
              </w:rPr>
              <w:t xml:space="preserve">Personnel are trained and equipped for sampling, detection and identification of LMOs. </w:t>
            </w:r>
          </w:p>
        </w:tc>
      </w:tr>
      <w:tr w:rsidR="007E654B" w:rsidRPr="007E654B" w:rsidTr="006C7986">
        <w:tc>
          <w:tcPr>
            <w:tcW w:w="2558"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A. </w:t>
            </w:r>
            <w:r w:rsidR="00E55044" w:rsidRPr="007E654B">
              <w:rPr>
                <w:rFonts w:ascii="Times New Roman" w:hAnsi="Times New Roman"/>
                <w:b/>
              </w:rPr>
              <w:t>Results/Outputs</w:t>
            </w:r>
          </w:p>
        </w:tc>
        <w:tc>
          <w:tcPr>
            <w:tcW w:w="4453"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B. </w:t>
            </w:r>
            <w:r w:rsidR="00E55044" w:rsidRPr="007E654B">
              <w:rPr>
                <w:rFonts w:ascii="Times New Roman" w:hAnsi="Times New Roman"/>
                <w:b/>
              </w:rPr>
              <w:t>Planned Activities</w:t>
            </w:r>
          </w:p>
        </w:tc>
        <w:tc>
          <w:tcPr>
            <w:tcW w:w="6165" w:type="dxa"/>
          </w:tcPr>
          <w:p w:rsidR="002C2CAF"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C. </w:t>
            </w:r>
            <w:r w:rsidR="00E55044" w:rsidRPr="007E654B">
              <w:rPr>
                <w:rFonts w:ascii="Times New Roman" w:hAnsi="Times New Roman"/>
                <w:b/>
              </w:rPr>
              <w:t>Summary of results of activities undertaken, good practices and lessons learned</w:t>
            </w:r>
          </w:p>
          <w:p w:rsidR="00E55044" w:rsidRPr="007E654B" w:rsidRDefault="002C2CAF" w:rsidP="0040778B">
            <w:pPr>
              <w:spacing w:before="60" w:after="60" w:line="240" w:lineRule="auto"/>
              <w:jc w:val="center"/>
              <w:rPr>
                <w:rFonts w:ascii="Times New Roman" w:hAnsi="Times New Roman"/>
                <w:b/>
              </w:rPr>
            </w:pPr>
            <w:r w:rsidRPr="007E654B">
              <w:rPr>
                <w:rFonts w:ascii="Times New Roman" w:hAnsi="Times New Roman"/>
                <w:highlight w:val="yellow"/>
              </w:rPr>
              <w:t>[Enter text in column C, next to the relevant activity in column B, as appropriate]</w:t>
            </w:r>
          </w:p>
        </w:tc>
      </w:tr>
      <w:tr w:rsidR="007E654B" w:rsidRPr="007E654B" w:rsidTr="006C7986">
        <w:trPr>
          <w:trHeight w:val="908"/>
        </w:trPr>
        <w:tc>
          <w:tcPr>
            <w:tcW w:w="2558" w:type="dxa"/>
            <w:vMerge w:val="restart"/>
            <w:shd w:val="clear" w:color="auto" w:fill="auto"/>
          </w:tcPr>
          <w:p w:rsidR="00E55044" w:rsidRPr="007E654B" w:rsidRDefault="00E55044" w:rsidP="0040778B">
            <w:pPr>
              <w:numPr>
                <w:ilvl w:val="0"/>
                <w:numId w:val="8"/>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National systems for implementing the Protocol’s requirements on the handling, transport, packaging and identification of LMOs in place and are operational</w:t>
            </w:r>
          </w:p>
          <w:p w:rsidR="00E55044" w:rsidRPr="007E654B" w:rsidRDefault="00E55044" w:rsidP="0040778B">
            <w:pPr>
              <w:numPr>
                <w:ilvl w:val="0"/>
                <w:numId w:val="8"/>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National systems, including standard operating procedures, for detection and identification of LMOs in place</w:t>
            </w:r>
          </w:p>
          <w:p w:rsidR="00E55044" w:rsidRPr="007E654B" w:rsidRDefault="00E55044" w:rsidP="0040778B">
            <w:pPr>
              <w:numPr>
                <w:ilvl w:val="0"/>
                <w:numId w:val="8"/>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Local experts able to detect and identify LMOs in shipments</w:t>
            </w:r>
          </w:p>
          <w:p w:rsidR="00E55044" w:rsidRPr="007E654B" w:rsidRDefault="00E55044" w:rsidP="0040778B">
            <w:pPr>
              <w:numPr>
                <w:ilvl w:val="0"/>
                <w:numId w:val="8"/>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 xml:space="preserve">Capacity for verification and certification of documentation </w:t>
            </w:r>
            <w:r w:rsidRPr="007E654B">
              <w:rPr>
                <w:rFonts w:ascii="Times New Roman" w:eastAsia="Times New Roman" w:hAnsi="Times New Roman"/>
                <w:lang w:val="en-CA"/>
              </w:rPr>
              <w:lastRenderedPageBreak/>
              <w:t>accompanying LMO shipments at the points of entry in place</w:t>
            </w:r>
          </w:p>
          <w:p w:rsidR="00E55044" w:rsidRPr="007E654B" w:rsidRDefault="00E55044" w:rsidP="0040778B">
            <w:pPr>
              <w:numPr>
                <w:ilvl w:val="0"/>
                <w:numId w:val="8"/>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Certified LMO testing facilities established at national and (sub)regional levels</w:t>
            </w:r>
          </w:p>
          <w:p w:rsidR="00E55044" w:rsidRPr="007E654B" w:rsidRDefault="00E55044" w:rsidP="0040778B">
            <w:pPr>
              <w:numPr>
                <w:ilvl w:val="0"/>
                <w:numId w:val="8"/>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Systems for traceability and labelling of LMOs in place</w:t>
            </w:r>
          </w:p>
          <w:p w:rsidR="00E55044" w:rsidRPr="007E654B" w:rsidRDefault="00E55044" w:rsidP="0040778B">
            <w:pPr>
              <w:numPr>
                <w:ilvl w:val="0"/>
                <w:numId w:val="8"/>
              </w:numPr>
              <w:tabs>
                <w:tab w:val="clear" w:pos="360"/>
                <w:tab w:val="num" w:pos="450"/>
              </w:tabs>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 xml:space="preserve">Regional and </w:t>
            </w:r>
            <w:proofErr w:type="spellStart"/>
            <w:r w:rsidRPr="007E654B">
              <w:rPr>
                <w:rFonts w:ascii="Times New Roman" w:eastAsia="Times New Roman" w:hAnsi="Times New Roman"/>
                <w:lang w:val="en-CA"/>
              </w:rPr>
              <w:t>subregional</w:t>
            </w:r>
            <w:proofErr w:type="spellEnd"/>
            <w:r w:rsidRPr="007E654B">
              <w:rPr>
                <w:rFonts w:ascii="Times New Roman" w:eastAsia="Times New Roman" w:hAnsi="Times New Roman"/>
                <w:lang w:val="en-CA"/>
              </w:rPr>
              <w:t xml:space="preserve"> networks of laboratories for LMO detection and identification established</w:t>
            </w:r>
          </w:p>
          <w:p w:rsidR="00E55044" w:rsidRPr="007E654B" w:rsidRDefault="00E55044" w:rsidP="0040778B">
            <w:pPr>
              <w:spacing w:before="60" w:after="60" w:line="240" w:lineRule="auto"/>
              <w:rPr>
                <w:rFonts w:ascii="Times New Roman" w:hAnsi="Times New Roman"/>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lastRenderedPageBreak/>
              <w:t>3.1</w:t>
            </w:r>
            <w:r w:rsidRPr="007E654B">
              <w:rPr>
                <w:rFonts w:ascii="Times New Roman" w:eastAsia="Times New Roman" w:hAnsi="Times New Roman"/>
                <w:lang w:val="en-CA"/>
              </w:rPr>
              <w:tab/>
              <w:t>Establishment of national systems for implementing the Protocol’s requirements on the handling, transport, packaging and identification of LMOs</w:t>
            </w:r>
          </w:p>
        </w:tc>
        <w:tc>
          <w:tcPr>
            <w:tcW w:w="6165" w:type="dxa"/>
          </w:tcPr>
          <w:p w:rsidR="00E55044" w:rsidRPr="007E654B" w:rsidRDefault="00E55044" w:rsidP="0040778B">
            <w:pPr>
              <w:spacing w:before="60" w:after="60" w:line="240" w:lineRule="auto"/>
              <w:rPr>
                <w:rFonts w:ascii="Times New Roman" w:eastAsia="Times New Roman" w:hAnsi="Times New Roman"/>
                <w:lang w:val="en-CA"/>
              </w:rPr>
            </w:pPr>
          </w:p>
        </w:tc>
      </w:tr>
      <w:tr w:rsidR="007E654B" w:rsidRPr="007E654B" w:rsidTr="006C7986">
        <w:trPr>
          <w:trHeight w:val="904"/>
        </w:trPr>
        <w:tc>
          <w:tcPr>
            <w:tcW w:w="2558" w:type="dxa"/>
            <w:vMerge/>
            <w:shd w:val="clear" w:color="auto" w:fill="auto"/>
          </w:tcPr>
          <w:p w:rsidR="00E55044" w:rsidRPr="007E654B" w:rsidRDefault="00E55044" w:rsidP="0040778B">
            <w:pPr>
              <w:numPr>
                <w:ilvl w:val="0"/>
                <w:numId w:val="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3.2</w:t>
            </w:r>
            <w:r w:rsidRPr="007E654B">
              <w:rPr>
                <w:rFonts w:ascii="Times New Roman" w:eastAsia="Times New Roman" w:hAnsi="Times New Roman"/>
                <w:lang w:val="en-CA"/>
              </w:rPr>
              <w:tab/>
              <w:t>Development of national systems to implement international rules and standards for sampling and detection of LMOs to facilitate mutual recognition of LMO identification results within and between countries</w:t>
            </w:r>
          </w:p>
        </w:tc>
        <w:tc>
          <w:tcPr>
            <w:tcW w:w="6165" w:type="dxa"/>
          </w:tcPr>
          <w:p w:rsidR="00E55044" w:rsidRPr="007E654B" w:rsidRDefault="002F2EE5" w:rsidP="002F2EE5">
            <w:pPr>
              <w:jc w:val="both"/>
              <w:rPr>
                <w:rFonts w:ascii="Times New Roman" w:hAnsi="Times New Roman"/>
              </w:rPr>
            </w:pPr>
            <w:r w:rsidRPr="007E654B">
              <w:rPr>
                <w:rFonts w:ascii="Times New Roman" w:hAnsi="Times New Roman"/>
              </w:rPr>
              <w:t xml:space="preserve">Analysis carried out at </w:t>
            </w:r>
            <w:proofErr w:type="spellStart"/>
            <w:r w:rsidRPr="007E654B">
              <w:rPr>
                <w:rFonts w:ascii="Times New Roman" w:hAnsi="Times New Roman"/>
              </w:rPr>
              <w:t>L</w:t>
            </w:r>
            <w:r w:rsidRPr="007E654B">
              <w:rPr>
                <w:rFonts w:ascii="Times New Roman" w:hAnsi="Times New Roman"/>
                <w:b/>
              </w:rPr>
              <w:t>aboratorio</w:t>
            </w:r>
            <w:proofErr w:type="spellEnd"/>
            <w:r w:rsidRPr="007E654B">
              <w:rPr>
                <w:rFonts w:ascii="Times New Roman" w:hAnsi="Times New Roman"/>
                <w:b/>
              </w:rPr>
              <w:t xml:space="preserve"> Central de </w:t>
            </w:r>
            <w:proofErr w:type="spellStart"/>
            <w:r w:rsidRPr="007E654B">
              <w:rPr>
                <w:rFonts w:ascii="Times New Roman" w:hAnsi="Times New Roman"/>
                <w:b/>
              </w:rPr>
              <w:t>Veterinaria</w:t>
            </w:r>
            <w:proofErr w:type="spellEnd"/>
            <w:r w:rsidRPr="007E654B">
              <w:rPr>
                <w:rFonts w:ascii="Times New Roman" w:hAnsi="Times New Roman"/>
                <w:b/>
              </w:rPr>
              <w:t xml:space="preserve"> </w:t>
            </w:r>
            <w:r w:rsidRPr="007E654B">
              <w:rPr>
                <w:rFonts w:ascii="Times New Roman" w:hAnsi="Times New Roman"/>
              </w:rPr>
              <w:t xml:space="preserve">in </w:t>
            </w:r>
            <w:proofErr w:type="spellStart"/>
            <w:r w:rsidRPr="007E654B">
              <w:rPr>
                <w:rFonts w:ascii="Times New Roman" w:hAnsi="Times New Roman"/>
              </w:rPr>
              <w:t>Algete</w:t>
            </w:r>
            <w:proofErr w:type="spellEnd"/>
            <w:r w:rsidRPr="007E654B">
              <w:rPr>
                <w:rFonts w:ascii="Times New Roman" w:hAnsi="Times New Roman"/>
              </w:rPr>
              <w:t xml:space="preserve"> are those recommended by EURL for GMOs, both for screening or event identification and quantification. Analysis accredited under rule UNE-EN ISO/IEC 17025 are certified by the Spanish National Accreditation Body (ENAC) and included in technical annex nº 692/LE1530 rev.10. LCV is also involved in GMOs control in feed grain for the MAPAMA.</w:t>
            </w:r>
          </w:p>
        </w:tc>
      </w:tr>
      <w:tr w:rsidR="007E654B" w:rsidRPr="007E654B" w:rsidTr="006C7986">
        <w:trPr>
          <w:trHeight w:val="904"/>
        </w:trPr>
        <w:tc>
          <w:tcPr>
            <w:tcW w:w="2558" w:type="dxa"/>
            <w:vMerge/>
            <w:shd w:val="clear" w:color="auto" w:fill="auto"/>
          </w:tcPr>
          <w:p w:rsidR="00E55044" w:rsidRPr="007E654B" w:rsidRDefault="00E55044" w:rsidP="0040778B">
            <w:pPr>
              <w:numPr>
                <w:ilvl w:val="0"/>
                <w:numId w:val="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3.3</w:t>
            </w:r>
            <w:r w:rsidRPr="007E654B">
              <w:rPr>
                <w:rFonts w:ascii="Times New Roman" w:eastAsia="Times New Roman" w:hAnsi="Times New Roman"/>
                <w:lang w:val="en-CA"/>
              </w:rPr>
              <w:tab/>
              <w:t>Establishment of mechanisms for auditing the efficacy of the national systems for handling, transport, packaging and identification of LMOs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904"/>
        </w:trPr>
        <w:tc>
          <w:tcPr>
            <w:tcW w:w="2558" w:type="dxa"/>
            <w:vMerge/>
            <w:shd w:val="clear" w:color="auto" w:fill="auto"/>
          </w:tcPr>
          <w:p w:rsidR="00E55044" w:rsidRPr="007E654B" w:rsidRDefault="00E55044" w:rsidP="0040778B">
            <w:pPr>
              <w:numPr>
                <w:ilvl w:val="0"/>
                <w:numId w:val="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3.4</w:t>
            </w:r>
            <w:r w:rsidRPr="007E654B">
              <w:rPr>
                <w:rFonts w:ascii="Times New Roman" w:eastAsia="Times New Roman" w:hAnsi="Times New Roman"/>
                <w:lang w:val="en-CA"/>
              </w:rPr>
              <w:tab/>
              <w:t xml:space="preserve">Organization of national and (sub)regional training workshops on LMO documentation and identification requirements </w:t>
            </w:r>
            <w:r w:rsidRPr="007E654B">
              <w:rPr>
                <w:rFonts w:ascii="Times New Roman" w:eastAsia="Times New Roman" w:hAnsi="Times New Roman"/>
                <w:lang w:val="en-CA"/>
              </w:rPr>
              <w:lastRenderedPageBreak/>
              <w:t>for customs and border control officials and other relevant stakeholders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904"/>
        </w:trPr>
        <w:tc>
          <w:tcPr>
            <w:tcW w:w="2558" w:type="dxa"/>
            <w:vMerge/>
            <w:shd w:val="clear" w:color="auto" w:fill="auto"/>
          </w:tcPr>
          <w:p w:rsidR="00E55044" w:rsidRPr="007E654B" w:rsidRDefault="00E55044" w:rsidP="0040778B">
            <w:pPr>
              <w:numPr>
                <w:ilvl w:val="0"/>
                <w:numId w:val="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3.5</w:t>
            </w:r>
            <w:r w:rsidRPr="007E654B">
              <w:rPr>
                <w:rFonts w:ascii="Times New Roman" w:eastAsia="Times New Roman" w:hAnsi="Times New Roman"/>
                <w:lang w:val="en-CA"/>
              </w:rPr>
              <w:tab/>
              <w:t>Development of standardized forms and checklists on identification requirements for use in verification of the documentation accompanying LMO shipments</w:t>
            </w:r>
          </w:p>
        </w:tc>
        <w:tc>
          <w:tcPr>
            <w:tcW w:w="6165" w:type="dxa"/>
          </w:tcPr>
          <w:p w:rsidR="00E55044" w:rsidRPr="007E654B" w:rsidRDefault="00E55044" w:rsidP="002F2EE5">
            <w:pPr>
              <w:jc w:val="both"/>
              <w:rPr>
                <w:rFonts w:ascii="Times New Roman" w:eastAsia="Times New Roman" w:hAnsi="Times New Roman"/>
                <w:highlight w:val="yellow"/>
                <w:lang w:val="en-CA"/>
              </w:rPr>
            </w:pPr>
          </w:p>
        </w:tc>
      </w:tr>
      <w:tr w:rsidR="007E654B" w:rsidRPr="007E654B" w:rsidTr="006C7986">
        <w:trPr>
          <w:trHeight w:val="904"/>
        </w:trPr>
        <w:tc>
          <w:tcPr>
            <w:tcW w:w="2558" w:type="dxa"/>
            <w:vMerge/>
            <w:shd w:val="clear" w:color="auto" w:fill="auto"/>
          </w:tcPr>
          <w:p w:rsidR="00E55044" w:rsidRPr="007E654B" w:rsidRDefault="00E55044" w:rsidP="0040778B">
            <w:pPr>
              <w:numPr>
                <w:ilvl w:val="0"/>
                <w:numId w:val="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3.6</w:t>
            </w:r>
            <w:r w:rsidRPr="007E654B">
              <w:rPr>
                <w:rFonts w:ascii="Times New Roman" w:eastAsia="Times New Roman" w:hAnsi="Times New Roman"/>
                <w:lang w:val="en-CA"/>
              </w:rPr>
              <w:tab/>
              <w:t>Development of methodologies and protocols for sampling and detection of LMOs and/or adapting existing ones</w:t>
            </w:r>
          </w:p>
        </w:tc>
        <w:tc>
          <w:tcPr>
            <w:tcW w:w="6165" w:type="dxa"/>
          </w:tcPr>
          <w:p w:rsidR="00E55044" w:rsidRPr="007E654B" w:rsidRDefault="00881752" w:rsidP="00881752">
            <w:pPr>
              <w:jc w:val="both"/>
              <w:rPr>
                <w:rFonts w:ascii="Times New Roman" w:hAnsi="Times New Roman"/>
              </w:rPr>
            </w:pPr>
            <w:proofErr w:type="spellStart"/>
            <w:r w:rsidRPr="007E654B">
              <w:rPr>
                <w:rFonts w:ascii="Times New Roman" w:hAnsi="Times New Roman"/>
                <w:b/>
              </w:rPr>
              <w:t>Laboratorio</w:t>
            </w:r>
            <w:proofErr w:type="spellEnd"/>
            <w:r w:rsidRPr="007E654B">
              <w:rPr>
                <w:rFonts w:ascii="Times New Roman" w:hAnsi="Times New Roman"/>
                <w:b/>
              </w:rPr>
              <w:t xml:space="preserve"> Arbitral </w:t>
            </w:r>
            <w:proofErr w:type="spellStart"/>
            <w:r w:rsidRPr="007E654B">
              <w:rPr>
                <w:rFonts w:ascii="Times New Roman" w:hAnsi="Times New Roman"/>
                <w:b/>
              </w:rPr>
              <w:t>Agroalimentario</w:t>
            </w:r>
            <w:proofErr w:type="spellEnd"/>
            <w:r w:rsidRPr="007E654B">
              <w:rPr>
                <w:rFonts w:ascii="Times New Roman" w:hAnsi="Times New Roman"/>
              </w:rPr>
              <w:t xml:space="preserve"> works under the supervision of the MAPAMA and is a member of the European Network of GMO Laboratories (ENGL). It has been accredited for GMO analyses by the Spanish National Accreditation Body. Samples analyzed for official control purposes include samples of food, feed and its vegetable raw materials, in addition to the analysis of seed for the OEVV. For routine analysis of detection and quantification of vegetable GMOs, the laboratory applies validated ISO standards Methods of Analysis for the Detection of Genetically Derived Products and validated EURL-GMFF methods.</w:t>
            </w:r>
          </w:p>
        </w:tc>
      </w:tr>
      <w:tr w:rsidR="007E654B" w:rsidRPr="007E654B" w:rsidTr="006C7986">
        <w:trPr>
          <w:trHeight w:val="904"/>
        </w:trPr>
        <w:tc>
          <w:tcPr>
            <w:tcW w:w="2558" w:type="dxa"/>
            <w:vMerge/>
            <w:shd w:val="clear" w:color="auto" w:fill="auto"/>
          </w:tcPr>
          <w:p w:rsidR="00E55044" w:rsidRPr="007E654B" w:rsidRDefault="00E55044" w:rsidP="0040778B">
            <w:pPr>
              <w:numPr>
                <w:ilvl w:val="0"/>
                <w:numId w:val="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3.7</w:t>
            </w:r>
            <w:r w:rsidRPr="007E654B">
              <w:rPr>
                <w:rFonts w:ascii="Times New Roman" w:eastAsia="Times New Roman" w:hAnsi="Times New Roman"/>
                <w:lang w:val="en-CA"/>
              </w:rPr>
              <w:tab/>
              <w:t>Organization of trainings for local scientists and laboratory technicians in LMO detection and analysis</w:t>
            </w:r>
          </w:p>
        </w:tc>
        <w:tc>
          <w:tcPr>
            <w:tcW w:w="6165" w:type="dxa"/>
          </w:tcPr>
          <w:p w:rsidR="00E55044" w:rsidRPr="007E654B" w:rsidRDefault="005222D4" w:rsidP="002F2EE5">
            <w:pPr>
              <w:adjustRightInd w:val="0"/>
              <w:jc w:val="both"/>
              <w:rPr>
                <w:rFonts w:ascii="Times New Roman" w:hAnsi="Times New Roman"/>
              </w:rPr>
            </w:pPr>
            <w:proofErr w:type="spellStart"/>
            <w:r w:rsidRPr="007E654B">
              <w:rPr>
                <w:rFonts w:ascii="Times New Roman" w:hAnsi="Times New Roman"/>
                <w:b/>
              </w:rPr>
              <w:t>Laboratorio</w:t>
            </w:r>
            <w:proofErr w:type="spellEnd"/>
            <w:r w:rsidRPr="007E654B">
              <w:rPr>
                <w:rFonts w:ascii="Times New Roman" w:hAnsi="Times New Roman"/>
                <w:b/>
              </w:rPr>
              <w:t xml:space="preserve"> Arbitral </w:t>
            </w:r>
            <w:proofErr w:type="spellStart"/>
            <w:r w:rsidRPr="007E654B">
              <w:rPr>
                <w:rFonts w:ascii="Times New Roman" w:hAnsi="Times New Roman"/>
                <w:b/>
              </w:rPr>
              <w:t>Agroalimentario</w:t>
            </w:r>
            <w:proofErr w:type="spellEnd"/>
            <w:r w:rsidRPr="007E654B">
              <w:rPr>
                <w:rFonts w:ascii="Times New Roman" w:hAnsi="Times New Roman"/>
              </w:rPr>
              <w:t xml:space="preserve"> together with </w:t>
            </w:r>
            <w:r w:rsidRPr="007E654B">
              <w:rPr>
                <w:rFonts w:ascii="Times New Roman" w:hAnsi="Times New Roman"/>
                <w:b/>
              </w:rPr>
              <w:t>Centro National de Alimentación</w:t>
            </w:r>
            <w:r w:rsidRPr="007E654B">
              <w:rPr>
                <w:rFonts w:ascii="Times New Roman" w:hAnsi="Times New Roman"/>
              </w:rPr>
              <w:t xml:space="preserve"> jointly co-ordinate the activities of official GMO laboratories in Spain and provide training. They also organize comparative tests and transfer information from the EURL-GMFF to the Spanish official GMO laboratories.</w:t>
            </w:r>
          </w:p>
        </w:tc>
      </w:tr>
      <w:tr w:rsidR="007E654B" w:rsidRPr="007E654B" w:rsidTr="006C7986">
        <w:trPr>
          <w:trHeight w:val="904"/>
        </w:trPr>
        <w:tc>
          <w:tcPr>
            <w:tcW w:w="2558" w:type="dxa"/>
            <w:vMerge/>
            <w:shd w:val="clear" w:color="auto" w:fill="auto"/>
          </w:tcPr>
          <w:p w:rsidR="00E55044" w:rsidRPr="007E654B" w:rsidRDefault="00E55044" w:rsidP="0040778B">
            <w:pPr>
              <w:numPr>
                <w:ilvl w:val="0"/>
                <w:numId w:val="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3.8</w:t>
            </w:r>
            <w:r w:rsidRPr="007E654B">
              <w:rPr>
                <w:rFonts w:ascii="Times New Roman" w:eastAsia="Times New Roman" w:hAnsi="Times New Roman"/>
                <w:lang w:val="en-CA"/>
              </w:rPr>
              <w:tab/>
              <w:t>Establishment of infrastructure for detection and identification of LMOs, including accredited laboratories</w:t>
            </w:r>
          </w:p>
        </w:tc>
        <w:tc>
          <w:tcPr>
            <w:tcW w:w="6165" w:type="dxa"/>
          </w:tcPr>
          <w:p w:rsidR="005222D4" w:rsidRPr="007E654B" w:rsidRDefault="005222D4" w:rsidP="005222D4">
            <w:pPr>
              <w:adjustRightInd w:val="0"/>
              <w:jc w:val="both"/>
              <w:rPr>
                <w:rFonts w:ascii="Times New Roman" w:hAnsi="Times New Roman"/>
                <w:sz w:val="20"/>
                <w:szCs w:val="20"/>
                <w:lang w:eastAsia="es-ES"/>
              </w:rPr>
            </w:pPr>
            <w:r w:rsidRPr="007E654B">
              <w:rPr>
                <w:rFonts w:ascii="Times New Roman" w:hAnsi="Times New Roman"/>
              </w:rPr>
              <w:t>In Spain, 21 laboratories were stated to be involved in official control activities regarding GM presence in food, feed and seeds.</w:t>
            </w:r>
          </w:p>
          <w:p w:rsidR="005222D4" w:rsidRPr="007E654B" w:rsidRDefault="005222D4" w:rsidP="005222D4">
            <w:pPr>
              <w:adjustRightInd w:val="0"/>
              <w:jc w:val="both"/>
              <w:rPr>
                <w:rFonts w:ascii="Times New Roman" w:hAnsi="Times New Roman"/>
              </w:rPr>
            </w:pPr>
            <w:proofErr w:type="spellStart"/>
            <w:r w:rsidRPr="007E654B">
              <w:rPr>
                <w:rFonts w:ascii="Times New Roman" w:hAnsi="Times New Roman"/>
                <w:b/>
              </w:rPr>
              <w:t>Laboratorio</w:t>
            </w:r>
            <w:proofErr w:type="spellEnd"/>
            <w:r w:rsidRPr="007E654B">
              <w:rPr>
                <w:rFonts w:ascii="Times New Roman" w:hAnsi="Times New Roman"/>
                <w:b/>
              </w:rPr>
              <w:t xml:space="preserve"> Arbitral </w:t>
            </w:r>
            <w:proofErr w:type="spellStart"/>
            <w:r w:rsidRPr="007E654B">
              <w:rPr>
                <w:rFonts w:ascii="Times New Roman" w:hAnsi="Times New Roman"/>
                <w:b/>
              </w:rPr>
              <w:t>Agroalimentario</w:t>
            </w:r>
            <w:proofErr w:type="spellEnd"/>
            <w:r w:rsidRPr="007E654B">
              <w:rPr>
                <w:rFonts w:ascii="Times New Roman" w:hAnsi="Times New Roman"/>
              </w:rPr>
              <w:t xml:space="preserve"> together with </w:t>
            </w:r>
            <w:r w:rsidRPr="007E654B">
              <w:rPr>
                <w:rFonts w:ascii="Times New Roman" w:hAnsi="Times New Roman"/>
                <w:b/>
              </w:rPr>
              <w:t>Centro National de Alimentación</w:t>
            </w:r>
            <w:r w:rsidRPr="007E654B">
              <w:rPr>
                <w:rFonts w:ascii="Times New Roman" w:hAnsi="Times New Roman"/>
              </w:rPr>
              <w:t xml:space="preserve"> are the two national reference laboratories (NRL) appointed under article 33 of Regulation (EC) No. 882/2004 in Spain. </w:t>
            </w:r>
          </w:p>
          <w:p w:rsidR="00E55044" w:rsidRPr="007E654B" w:rsidRDefault="005222D4" w:rsidP="00881752">
            <w:pPr>
              <w:jc w:val="both"/>
              <w:rPr>
                <w:rFonts w:ascii="Times New Roman" w:hAnsi="Times New Roman"/>
              </w:rPr>
            </w:pPr>
            <w:proofErr w:type="spellStart"/>
            <w:r w:rsidRPr="007E654B">
              <w:rPr>
                <w:rFonts w:ascii="Times New Roman" w:hAnsi="Times New Roman"/>
                <w:b/>
              </w:rPr>
              <w:lastRenderedPageBreak/>
              <w:t>Laboratorio</w:t>
            </w:r>
            <w:proofErr w:type="spellEnd"/>
            <w:r w:rsidRPr="007E654B">
              <w:rPr>
                <w:rFonts w:ascii="Times New Roman" w:hAnsi="Times New Roman"/>
                <w:b/>
              </w:rPr>
              <w:t xml:space="preserve"> Central de </w:t>
            </w:r>
            <w:proofErr w:type="spellStart"/>
            <w:r w:rsidRPr="007E654B">
              <w:rPr>
                <w:rFonts w:ascii="Times New Roman" w:hAnsi="Times New Roman"/>
                <w:b/>
              </w:rPr>
              <w:t>Veterinaria</w:t>
            </w:r>
            <w:proofErr w:type="spellEnd"/>
            <w:r w:rsidRPr="007E654B">
              <w:rPr>
                <w:rFonts w:ascii="Times New Roman" w:hAnsi="Times New Roman"/>
                <w:b/>
              </w:rPr>
              <w:t xml:space="preserve"> </w:t>
            </w:r>
            <w:r w:rsidRPr="007E654B">
              <w:rPr>
                <w:rFonts w:ascii="Times New Roman" w:hAnsi="Times New Roman"/>
              </w:rPr>
              <w:t xml:space="preserve">in </w:t>
            </w:r>
            <w:proofErr w:type="spellStart"/>
            <w:r w:rsidRPr="007E654B">
              <w:rPr>
                <w:rFonts w:ascii="Times New Roman" w:hAnsi="Times New Roman"/>
              </w:rPr>
              <w:t>Algete</w:t>
            </w:r>
            <w:proofErr w:type="spellEnd"/>
            <w:r w:rsidRPr="007E654B">
              <w:rPr>
                <w:rFonts w:ascii="Times New Roman" w:hAnsi="Times New Roman"/>
              </w:rPr>
              <w:t xml:space="preserve"> (Madrid), which is appointed to carry out analysis of GMOs in seed for cultivation is part of the GMO working group together with the previous two, which co-ordinates GMO analysis at national level. </w:t>
            </w:r>
          </w:p>
        </w:tc>
      </w:tr>
      <w:tr w:rsidR="007E654B" w:rsidRPr="007E654B" w:rsidTr="006C7986">
        <w:trPr>
          <w:trHeight w:val="904"/>
        </w:trPr>
        <w:tc>
          <w:tcPr>
            <w:tcW w:w="2558" w:type="dxa"/>
            <w:vMerge/>
            <w:shd w:val="clear" w:color="auto" w:fill="auto"/>
          </w:tcPr>
          <w:p w:rsidR="00E55044" w:rsidRPr="007E654B" w:rsidRDefault="00E55044" w:rsidP="0040778B">
            <w:pPr>
              <w:numPr>
                <w:ilvl w:val="0"/>
                <w:numId w:val="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3.9</w:t>
            </w:r>
            <w:r w:rsidRPr="007E654B">
              <w:rPr>
                <w:rFonts w:ascii="Times New Roman" w:eastAsia="Times New Roman" w:hAnsi="Times New Roman"/>
                <w:lang w:val="en-CA"/>
              </w:rPr>
              <w:tab/>
              <w:t>Establishment of (sub)regional networks of laboratories for LMO detection</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outlineLvl w:val="2"/>
              <w:rPr>
                <w:rFonts w:ascii="Times New Roman" w:eastAsia="Times New Roman" w:hAnsi="Times New Roman"/>
                <w:b/>
                <w:i/>
                <w:iCs/>
                <w:lang w:val="en-CA"/>
              </w:rPr>
            </w:pPr>
            <w:r w:rsidRPr="007E654B">
              <w:rPr>
                <w:rFonts w:ascii="Times New Roman" w:eastAsia="Times New Roman" w:hAnsi="Times New Roman"/>
                <w:b/>
                <w:i/>
                <w:iCs/>
                <w:lang w:val="en-CA"/>
              </w:rPr>
              <w:t>Focal area 4: Liability and redress</w:t>
            </w:r>
          </w:p>
          <w:p w:rsidR="00E55044" w:rsidRPr="007E654B" w:rsidRDefault="00E55044" w:rsidP="0040778B">
            <w:pPr>
              <w:keepNext/>
              <w:spacing w:before="60" w:after="60" w:line="240" w:lineRule="auto"/>
              <w:jc w:val="both"/>
              <w:rPr>
                <w:rFonts w:ascii="Times New Roman" w:eastAsia="Times New Roman" w:hAnsi="Times New Roman"/>
                <w:b/>
                <w:lang w:val="en-GB"/>
              </w:rPr>
            </w:pPr>
            <w:r w:rsidRPr="007E654B">
              <w:rPr>
                <w:rFonts w:ascii="Times New Roman" w:eastAsia="Times New Roman" w:hAnsi="Times New Roman"/>
                <w:b/>
                <w:lang w:val="en-GB"/>
              </w:rPr>
              <w:t>Operational objective 4</w:t>
            </w:r>
          </w:p>
          <w:p w:rsidR="00E55044" w:rsidRPr="007E654B" w:rsidRDefault="00E55044" w:rsidP="0040778B">
            <w:pPr>
              <w:keepNext/>
              <w:spacing w:before="60" w:after="60" w:line="240" w:lineRule="auto"/>
              <w:outlineLvl w:val="2"/>
              <w:rPr>
                <w:rFonts w:ascii="Times New Roman" w:eastAsia="Times New Roman" w:hAnsi="Times New Roman"/>
                <w:b/>
                <w:i/>
                <w:iCs/>
                <w:lang w:val="en-CA"/>
              </w:rPr>
            </w:pPr>
            <w:r w:rsidRPr="007E654B">
              <w:rPr>
                <w:rFonts w:ascii="Times New Roman" w:eastAsia="Arial Unicode MS" w:hAnsi="Times New Roman"/>
                <w:iCs/>
                <w:lang w:val="en-CA"/>
              </w:rPr>
              <w:t>To assist Parties to the Protocol to establish and apply rules and procedures on liability and redress for damage resulting from the transboundary movements of living modified organisms, in accordance with the Nagoya – Kuala Lumpur Supplementary Protocol on Liability and Redress.</w:t>
            </w:r>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jc w:val="both"/>
              <w:rPr>
                <w:rFonts w:ascii="Times New Roman" w:eastAsia="Times New Roman" w:hAnsi="Times New Roman"/>
                <w:b/>
                <w:lang w:val="en-GB"/>
              </w:rPr>
            </w:pPr>
            <w:r w:rsidRPr="007E654B">
              <w:rPr>
                <w:rFonts w:ascii="Times New Roman" w:eastAsia="Times New Roman" w:hAnsi="Times New Roman"/>
                <w:b/>
                <w:lang w:val="en-GB"/>
              </w:rPr>
              <w:t>Outcomes</w:t>
            </w:r>
          </w:p>
          <w:p w:rsidR="00E55044" w:rsidRPr="007E654B" w:rsidRDefault="00E55044" w:rsidP="0040778B">
            <w:pPr>
              <w:keepNext/>
              <w:numPr>
                <w:ilvl w:val="0"/>
                <w:numId w:val="21"/>
              </w:numPr>
              <w:spacing w:before="60" w:after="60" w:line="240" w:lineRule="auto"/>
              <w:jc w:val="both"/>
              <w:rPr>
                <w:rFonts w:ascii="Times New Roman" w:eastAsia="Times New Roman" w:hAnsi="Times New Roman"/>
                <w:b/>
                <w:lang w:val="en-GB"/>
              </w:rPr>
            </w:pPr>
            <w:r w:rsidRPr="007E654B">
              <w:rPr>
                <w:rFonts w:ascii="Times New Roman" w:eastAsia="Times New Roman" w:hAnsi="Times New Roman"/>
                <w:lang w:val="en-GB"/>
              </w:rPr>
              <w:t>Institutional mechanisms or processes identified or established to facilitate the implementation of the Nagoya – Kuala Lumpur Supplementary Protocol on Liability and Redress.</w:t>
            </w:r>
          </w:p>
        </w:tc>
      </w:tr>
      <w:tr w:rsidR="007E654B" w:rsidRPr="007E654B" w:rsidTr="006C7986">
        <w:tc>
          <w:tcPr>
            <w:tcW w:w="2558"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A. </w:t>
            </w:r>
            <w:r w:rsidR="00E55044" w:rsidRPr="007E654B">
              <w:rPr>
                <w:rFonts w:ascii="Times New Roman" w:hAnsi="Times New Roman"/>
                <w:b/>
              </w:rPr>
              <w:t>Results/Outputs</w:t>
            </w:r>
          </w:p>
        </w:tc>
        <w:tc>
          <w:tcPr>
            <w:tcW w:w="4453"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B. </w:t>
            </w:r>
            <w:r w:rsidR="00E55044" w:rsidRPr="007E654B">
              <w:rPr>
                <w:rFonts w:ascii="Times New Roman" w:hAnsi="Times New Roman"/>
                <w:b/>
              </w:rPr>
              <w:t>Planned Activities</w:t>
            </w:r>
          </w:p>
        </w:tc>
        <w:tc>
          <w:tcPr>
            <w:tcW w:w="6165" w:type="dxa"/>
          </w:tcPr>
          <w:p w:rsidR="002C2CAF"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C. </w:t>
            </w:r>
            <w:r w:rsidR="00E55044" w:rsidRPr="007E654B">
              <w:rPr>
                <w:rFonts w:ascii="Times New Roman" w:hAnsi="Times New Roman"/>
                <w:b/>
              </w:rPr>
              <w:t>Summary of results of activities undertaken, good practices and lessons learned</w:t>
            </w:r>
          </w:p>
          <w:p w:rsidR="00E55044" w:rsidRPr="007E654B" w:rsidRDefault="002C2CAF" w:rsidP="0040778B">
            <w:pPr>
              <w:spacing w:before="60" w:after="60" w:line="240" w:lineRule="auto"/>
              <w:jc w:val="center"/>
              <w:rPr>
                <w:rFonts w:ascii="Times New Roman" w:hAnsi="Times New Roman"/>
                <w:b/>
              </w:rPr>
            </w:pPr>
            <w:r w:rsidRPr="007E654B">
              <w:rPr>
                <w:rFonts w:ascii="Times New Roman" w:hAnsi="Times New Roman"/>
                <w:highlight w:val="yellow"/>
              </w:rPr>
              <w:t>[Enter text in column C, next to the relevant activity in column B, as appropriate]</w:t>
            </w:r>
          </w:p>
        </w:tc>
      </w:tr>
      <w:tr w:rsidR="007E654B" w:rsidRPr="007E654B" w:rsidTr="006C7986">
        <w:trPr>
          <w:trHeight w:val="1109"/>
        </w:trPr>
        <w:tc>
          <w:tcPr>
            <w:tcW w:w="2558" w:type="dxa"/>
            <w:vMerge w:val="restart"/>
            <w:shd w:val="clear" w:color="auto" w:fill="auto"/>
          </w:tcPr>
          <w:p w:rsidR="00E55044" w:rsidRPr="007E654B" w:rsidRDefault="00E55044" w:rsidP="0040778B">
            <w:pPr>
              <w:numPr>
                <w:ilvl w:val="0"/>
                <w:numId w:val="10"/>
              </w:numPr>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Existing national policies, laws and administrative systems identified and used, and/or amended, to implement the Supplementary Protocol requirements</w:t>
            </w:r>
          </w:p>
          <w:p w:rsidR="00E55044" w:rsidRPr="007E654B" w:rsidRDefault="00E55044" w:rsidP="0040778B">
            <w:pPr>
              <w:numPr>
                <w:ilvl w:val="0"/>
                <w:numId w:val="10"/>
              </w:numPr>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 xml:space="preserve">Guidance available and being used by competent authorities in the discharge of their </w:t>
            </w:r>
            <w:r w:rsidRPr="007E654B">
              <w:rPr>
                <w:rFonts w:ascii="Times New Roman" w:eastAsia="Times New Roman" w:hAnsi="Times New Roman"/>
                <w:lang w:val="en-CA"/>
              </w:rPr>
              <w:lastRenderedPageBreak/>
              <w:t>responsibilities under the Supplementary Protocol</w:t>
            </w:r>
          </w:p>
          <w:p w:rsidR="00E55044" w:rsidRPr="007E654B" w:rsidRDefault="00E55044" w:rsidP="0040778B">
            <w:pPr>
              <w:numPr>
                <w:ilvl w:val="0"/>
                <w:numId w:val="10"/>
              </w:numPr>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National capacity for determining appropriate response measures in the event of damage developed</w:t>
            </w:r>
          </w:p>
          <w:p w:rsidR="00E55044" w:rsidRPr="007E654B" w:rsidRDefault="00E55044" w:rsidP="0040778B">
            <w:pPr>
              <w:numPr>
                <w:ilvl w:val="0"/>
                <w:numId w:val="10"/>
              </w:numPr>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User-friendly databases/ knowledge management systems in place and being used to establish baselines and to monitor the status of biodiversity</w:t>
            </w:r>
          </w:p>
          <w:p w:rsidR="00E55044" w:rsidRPr="007E654B" w:rsidRDefault="00E55044" w:rsidP="0040778B">
            <w:pPr>
              <w:numPr>
                <w:ilvl w:val="0"/>
                <w:numId w:val="10"/>
              </w:numPr>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Financial and other support being provided by the GEF, bilateral and multilateral donors and relevant organizations for the ratification and implementation of the Supplementary Protocol</w:t>
            </w:r>
          </w:p>
          <w:p w:rsidR="00E55044" w:rsidRPr="007E654B" w:rsidRDefault="00E55044" w:rsidP="0040778B">
            <w:pPr>
              <w:numPr>
                <w:ilvl w:val="0"/>
                <w:numId w:val="10"/>
              </w:numPr>
              <w:spacing w:before="60" w:after="60" w:line="240" w:lineRule="auto"/>
              <w:ind w:left="0" w:firstLine="0"/>
              <w:rPr>
                <w:rFonts w:ascii="Times New Roman" w:eastAsia="Times New Roman" w:hAnsi="Times New Roman"/>
                <w:lang w:val="en-CA"/>
              </w:rPr>
            </w:pPr>
            <w:r w:rsidRPr="007E654B">
              <w:rPr>
                <w:rFonts w:ascii="Times New Roman" w:eastAsia="Times New Roman" w:hAnsi="Times New Roman"/>
                <w:lang w:val="en-CA"/>
              </w:rPr>
              <w:t>Best practices and lessons learned in the implementation of the Supplementary Protocol available through the BCH</w:t>
            </w: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lastRenderedPageBreak/>
              <w:t>4.1</w:t>
            </w:r>
            <w:r w:rsidRPr="007E654B">
              <w:rPr>
                <w:rFonts w:ascii="Times New Roman" w:eastAsia="Times New Roman" w:hAnsi="Times New Roman"/>
                <w:lang w:val="en-CA"/>
              </w:rPr>
              <w:tab/>
              <w:t>Analysis of existing national policies, laws and institutional mechanisms to determine how they address or could address the requirements of the Supplementary Protocol</w:t>
            </w:r>
          </w:p>
        </w:tc>
        <w:tc>
          <w:tcPr>
            <w:tcW w:w="6165" w:type="dxa"/>
          </w:tcPr>
          <w:p w:rsidR="00E55044" w:rsidRPr="007E654B" w:rsidRDefault="00E55044" w:rsidP="0040778B">
            <w:pPr>
              <w:spacing w:before="60" w:after="60" w:line="240" w:lineRule="auto"/>
              <w:ind w:left="180"/>
              <w:jc w:val="center"/>
              <w:rPr>
                <w:rFonts w:ascii="Times New Roman" w:eastAsia="Times New Roman" w:hAnsi="Times New Roman"/>
                <w:lang w:val="es-ES"/>
              </w:rPr>
            </w:pPr>
          </w:p>
        </w:tc>
      </w:tr>
      <w:tr w:rsidR="007E654B" w:rsidRPr="007E654B" w:rsidTr="006C7986">
        <w:trPr>
          <w:trHeight w:val="1103"/>
        </w:trPr>
        <w:tc>
          <w:tcPr>
            <w:tcW w:w="2558" w:type="dxa"/>
            <w:vMerge/>
            <w:shd w:val="clear" w:color="auto" w:fill="auto"/>
          </w:tcPr>
          <w:p w:rsidR="00E55044" w:rsidRPr="007E654B" w:rsidRDefault="00E55044" w:rsidP="0040778B">
            <w:pPr>
              <w:numPr>
                <w:ilvl w:val="0"/>
                <w:numId w:val="10"/>
              </w:numPr>
              <w:spacing w:before="60" w:after="60" w:line="240" w:lineRule="auto"/>
              <w:rPr>
                <w:rFonts w:ascii="Times New Roman" w:eastAsia="Times New Roman" w:hAnsi="Times New Roman"/>
                <w:lang w:val="es-ES"/>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4.2</w:t>
            </w:r>
            <w:r w:rsidRPr="007E654B">
              <w:rPr>
                <w:rFonts w:ascii="Times New Roman" w:eastAsia="Times New Roman" w:hAnsi="Times New Roman"/>
                <w:lang w:val="en-CA"/>
              </w:rPr>
              <w:tab/>
              <w:t>Establishment of new, or amendment of existing, domestic legal and administrative frameworks to implement the requirements of the Supplementary Protocol</w:t>
            </w:r>
          </w:p>
        </w:tc>
        <w:tc>
          <w:tcPr>
            <w:tcW w:w="6165" w:type="dxa"/>
          </w:tcPr>
          <w:p w:rsidR="00E55044" w:rsidRPr="007E654B" w:rsidRDefault="00E55044" w:rsidP="0040778B">
            <w:pPr>
              <w:spacing w:before="60" w:after="60" w:line="240" w:lineRule="auto"/>
              <w:ind w:left="180"/>
              <w:jc w:val="center"/>
              <w:rPr>
                <w:rFonts w:ascii="Times New Roman" w:eastAsia="Times New Roman" w:hAnsi="Times New Roman"/>
                <w:lang w:val="en-CA"/>
              </w:rPr>
            </w:pPr>
          </w:p>
        </w:tc>
      </w:tr>
      <w:tr w:rsidR="007E654B" w:rsidRPr="007E654B" w:rsidTr="006C7986">
        <w:trPr>
          <w:trHeight w:val="1103"/>
        </w:trPr>
        <w:tc>
          <w:tcPr>
            <w:tcW w:w="2558" w:type="dxa"/>
            <w:vMerge/>
            <w:shd w:val="clear" w:color="auto" w:fill="auto"/>
          </w:tcPr>
          <w:p w:rsidR="00E55044" w:rsidRPr="007E654B" w:rsidRDefault="00E55044" w:rsidP="0040778B">
            <w:pPr>
              <w:numPr>
                <w:ilvl w:val="0"/>
                <w:numId w:val="10"/>
              </w:numPr>
              <w:spacing w:before="60" w:after="60" w:line="240" w:lineRule="auto"/>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4.3</w:t>
            </w:r>
            <w:r w:rsidRPr="007E654B">
              <w:rPr>
                <w:rFonts w:ascii="Times New Roman" w:eastAsia="Times New Roman" w:hAnsi="Times New Roman"/>
                <w:lang w:val="en-CA"/>
              </w:rPr>
              <w:tab/>
              <w:t>Development of guidance to assist competent authorities in discharging their responsibilities under the Supplementary Protocol</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1103"/>
        </w:trPr>
        <w:tc>
          <w:tcPr>
            <w:tcW w:w="2558" w:type="dxa"/>
            <w:vMerge/>
            <w:shd w:val="clear" w:color="auto" w:fill="auto"/>
          </w:tcPr>
          <w:p w:rsidR="00E55044" w:rsidRPr="007E654B" w:rsidRDefault="00E55044" w:rsidP="0040778B">
            <w:pPr>
              <w:numPr>
                <w:ilvl w:val="0"/>
                <w:numId w:val="10"/>
              </w:numPr>
              <w:spacing w:before="60" w:after="60" w:line="240" w:lineRule="auto"/>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4.4</w:t>
            </w:r>
            <w:r w:rsidRPr="007E654B">
              <w:rPr>
                <w:rFonts w:ascii="Times New Roman" w:eastAsia="Times New Roman" w:hAnsi="Times New Roman"/>
                <w:lang w:val="en-CA"/>
              </w:rPr>
              <w:tab/>
              <w:t>Organization of training activities to strengthen the scientific and technical capacity of the competent authorities to be able to evaluate damage, establish causal links and determine appropriate response measures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1103"/>
        </w:trPr>
        <w:tc>
          <w:tcPr>
            <w:tcW w:w="2558" w:type="dxa"/>
            <w:vMerge/>
            <w:shd w:val="clear" w:color="auto" w:fill="auto"/>
          </w:tcPr>
          <w:p w:rsidR="00E55044" w:rsidRPr="007E654B" w:rsidRDefault="00E55044" w:rsidP="0040778B">
            <w:pPr>
              <w:numPr>
                <w:ilvl w:val="0"/>
                <w:numId w:val="10"/>
              </w:numPr>
              <w:spacing w:before="60" w:after="60" w:line="240" w:lineRule="auto"/>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4.5</w:t>
            </w:r>
            <w:r w:rsidRPr="007E654B">
              <w:rPr>
                <w:rFonts w:ascii="Times New Roman" w:eastAsia="Times New Roman" w:hAnsi="Times New Roman"/>
                <w:lang w:val="en-CA"/>
              </w:rPr>
              <w:tab/>
              <w:t>Establishment of databases and knowledge management systems to facilitate the establishment of baselines and monitoring of the status of biodiversity at genetic, species and ecosystem levels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1103"/>
        </w:trPr>
        <w:tc>
          <w:tcPr>
            <w:tcW w:w="2558" w:type="dxa"/>
            <w:vMerge/>
            <w:shd w:val="clear" w:color="auto" w:fill="auto"/>
          </w:tcPr>
          <w:p w:rsidR="00E55044" w:rsidRPr="007E654B" w:rsidRDefault="00E55044" w:rsidP="0040778B">
            <w:pPr>
              <w:numPr>
                <w:ilvl w:val="0"/>
                <w:numId w:val="10"/>
              </w:numPr>
              <w:spacing w:before="60" w:after="60" w:line="240" w:lineRule="auto"/>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4.6</w:t>
            </w:r>
            <w:r w:rsidRPr="007E654B">
              <w:rPr>
                <w:rFonts w:ascii="Times New Roman" w:eastAsia="Times New Roman" w:hAnsi="Times New Roman"/>
                <w:lang w:val="en-CA"/>
              </w:rPr>
              <w:tab/>
              <w:t>Strengthening national capacity to provide for administrative or judicial review of decisions on response measures to be taken by the operator in accordance with Article 5.6 of the Supplementary Protocol</w:t>
            </w:r>
          </w:p>
        </w:tc>
        <w:tc>
          <w:tcPr>
            <w:tcW w:w="6165" w:type="dxa"/>
          </w:tcPr>
          <w:p w:rsidR="00E55044" w:rsidRPr="007E654B" w:rsidRDefault="00E55044" w:rsidP="0040778B">
            <w:pPr>
              <w:spacing w:before="60" w:after="60" w:line="240" w:lineRule="auto"/>
              <w:ind w:left="180"/>
              <w:jc w:val="center"/>
              <w:rPr>
                <w:rFonts w:ascii="Times New Roman" w:eastAsia="Times New Roman" w:hAnsi="Times New Roman"/>
                <w:lang w:val="en-CA"/>
              </w:rPr>
            </w:pPr>
          </w:p>
        </w:tc>
      </w:tr>
      <w:tr w:rsidR="007E654B" w:rsidRPr="007E654B" w:rsidTr="006C7986">
        <w:trPr>
          <w:trHeight w:val="1103"/>
        </w:trPr>
        <w:tc>
          <w:tcPr>
            <w:tcW w:w="2558" w:type="dxa"/>
            <w:vMerge/>
            <w:shd w:val="clear" w:color="auto" w:fill="auto"/>
          </w:tcPr>
          <w:p w:rsidR="00E55044" w:rsidRPr="007E654B" w:rsidRDefault="00E55044" w:rsidP="0040778B">
            <w:pPr>
              <w:numPr>
                <w:ilvl w:val="0"/>
                <w:numId w:val="10"/>
              </w:numPr>
              <w:spacing w:before="60" w:after="60" w:line="240" w:lineRule="auto"/>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4.7</w:t>
            </w:r>
            <w:r w:rsidRPr="007E654B">
              <w:rPr>
                <w:rFonts w:ascii="Times New Roman" w:eastAsia="Times New Roman" w:hAnsi="Times New Roman"/>
                <w:lang w:val="en-CA"/>
              </w:rPr>
              <w:tab/>
              <w:t>Compilation and exchange of information on experiences and lessons learned in the implementation of the Supplementary Protocol through the BCH</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1103"/>
        </w:trPr>
        <w:tc>
          <w:tcPr>
            <w:tcW w:w="2558" w:type="dxa"/>
            <w:vMerge/>
            <w:shd w:val="clear" w:color="auto" w:fill="auto"/>
          </w:tcPr>
          <w:p w:rsidR="00E55044" w:rsidRPr="007E654B" w:rsidRDefault="00E55044" w:rsidP="0040778B">
            <w:pPr>
              <w:numPr>
                <w:ilvl w:val="0"/>
                <w:numId w:val="10"/>
              </w:numPr>
              <w:spacing w:before="60" w:after="60" w:line="240" w:lineRule="auto"/>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eastAsia="Times New Roman" w:hAnsi="Times New Roman"/>
                <w:lang w:val="en-CA"/>
              </w:rPr>
            </w:pPr>
            <w:r w:rsidRPr="007E654B">
              <w:rPr>
                <w:rFonts w:ascii="Times New Roman" w:eastAsia="Times New Roman" w:hAnsi="Times New Roman"/>
                <w:lang w:val="en-CA"/>
              </w:rPr>
              <w:t>4.8</w:t>
            </w:r>
            <w:r w:rsidRPr="007E654B">
              <w:rPr>
                <w:rFonts w:ascii="Times New Roman" w:eastAsia="Times New Roman" w:hAnsi="Times New Roman"/>
                <w:lang w:val="en-CA"/>
              </w:rPr>
              <w:tab/>
              <w:t>Mobilization of financial and other support for ratification and implementation of the Supplementary Protocol</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outlineLvl w:val="2"/>
              <w:rPr>
                <w:rFonts w:ascii="Times New Roman" w:eastAsia="Times New Roman" w:hAnsi="Times New Roman"/>
                <w:b/>
                <w:i/>
                <w:iCs/>
                <w:lang w:val="en-CA"/>
              </w:rPr>
            </w:pPr>
            <w:r w:rsidRPr="007E654B">
              <w:rPr>
                <w:rFonts w:ascii="Times New Roman" w:eastAsia="Times New Roman" w:hAnsi="Times New Roman"/>
                <w:b/>
                <w:i/>
                <w:iCs/>
                <w:lang w:val="en-CA"/>
              </w:rPr>
              <w:lastRenderedPageBreak/>
              <w:t xml:space="preserve">Focal area 5: Public awareness, education and participation </w:t>
            </w:r>
          </w:p>
          <w:p w:rsidR="00E55044" w:rsidRPr="007E654B" w:rsidRDefault="00E55044" w:rsidP="0040778B">
            <w:pPr>
              <w:keepNext/>
              <w:spacing w:before="60" w:after="60" w:line="240" w:lineRule="auto"/>
              <w:jc w:val="both"/>
              <w:rPr>
                <w:rFonts w:ascii="Times New Roman" w:eastAsia="Times New Roman" w:hAnsi="Times New Roman"/>
                <w:b/>
                <w:lang w:val="en-GB"/>
              </w:rPr>
            </w:pPr>
            <w:r w:rsidRPr="007E654B">
              <w:rPr>
                <w:rFonts w:ascii="Times New Roman" w:eastAsia="Times New Roman" w:hAnsi="Times New Roman"/>
                <w:b/>
                <w:lang w:val="en-GB"/>
              </w:rPr>
              <w:t xml:space="preserve">Operational objective 5 </w:t>
            </w:r>
          </w:p>
          <w:p w:rsidR="00E55044" w:rsidRPr="007E654B" w:rsidRDefault="00E55044" w:rsidP="0040778B">
            <w:pPr>
              <w:keepNext/>
              <w:spacing w:before="60" w:after="60" w:line="240" w:lineRule="auto"/>
              <w:outlineLvl w:val="2"/>
              <w:rPr>
                <w:rFonts w:ascii="Times New Roman" w:eastAsia="Times New Roman" w:hAnsi="Times New Roman"/>
                <w:b/>
                <w:i/>
                <w:iCs/>
                <w:lang w:val="en-CA"/>
              </w:rPr>
            </w:pPr>
            <w:r w:rsidRPr="007E654B">
              <w:rPr>
                <w:rFonts w:ascii="Times New Roman" w:eastAsia="Arial Unicode MS" w:hAnsi="Times New Roman"/>
                <w:iCs/>
                <w:lang w:val="en-CA"/>
              </w:rPr>
              <w:t>To enhance capacity at the national, regional and international levels that would facilitate efforts to raise public awareness, and promote education and participation concerning the safe transfer, handling and use of living modified organisms.</w:t>
            </w:r>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jc w:val="both"/>
              <w:rPr>
                <w:rFonts w:ascii="Times New Roman" w:eastAsia="Times New Roman" w:hAnsi="Times New Roman"/>
                <w:b/>
                <w:lang w:val="en-GB"/>
              </w:rPr>
            </w:pPr>
            <w:r w:rsidRPr="007E654B">
              <w:rPr>
                <w:rFonts w:ascii="Times New Roman" w:eastAsia="Times New Roman" w:hAnsi="Times New Roman"/>
                <w:b/>
                <w:lang w:val="en-GB"/>
              </w:rPr>
              <w:t>Outcomes</w:t>
            </w:r>
          </w:p>
          <w:p w:rsidR="00E55044" w:rsidRPr="007E654B" w:rsidRDefault="00E55044" w:rsidP="0040778B">
            <w:pPr>
              <w:numPr>
                <w:ilvl w:val="0"/>
                <w:numId w:val="12"/>
              </w:numPr>
              <w:spacing w:after="0" w:line="240" w:lineRule="auto"/>
              <w:jc w:val="both"/>
              <w:rPr>
                <w:rFonts w:ascii="Times New Roman" w:eastAsia="Times New Roman" w:hAnsi="Times New Roman"/>
                <w:lang w:val="en-GB"/>
              </w:rPr>
            </w:pPr>
            <w:r w:rsidRPr="007E654B">
              <w:rPr>
                <w:rFonts w:ascii="Times New Roman" w:eastAsia="Times New Roman" w:hAnsi="Times New Roman"/>
                <w:lang w:val="en-GB"/>
              </w:rPr>
              <w:t>Parties have access to guidance and training materials on public awareness, education and participation concerning the safe transfer, handling and use of LMOs;</w:t>
            </w:r>
          </w:p>
          <w:p w:rsidR="00E55044" w:rsidRPr="007E654B" w:rsidRDefault="00E55044" w:rsidP="0040778B">
            <w:pPr>
              <w:numPr>
                <w:ilvl w:val="0"/>
                <w:numId w:val="12"/>
              </w:numPr>
              <w:spacing w:after="0" w:line="240" w:lineRule="auto"/>
              <w:jc w:val="both"/>
              <w:rPr>
                <w:rFonts w:ascii="Times New Roman" w:eastAsia="Times New Roman" w:hAnsi="Times New Roman"/>
                <w:b/>
                <w:lang w:val="en-GB"/>
              </w:rPr>
            </w:pPr>
            <w:r w:rsidRPr="007E654B">
              <w:rPr>
                <w:rFonts w:ascii="Times New Roman" w:eastAsia="Times New Roman" w:hAnsi="Times New Roman"/>
                <w:lang w:val="en-GB"/>
              </w:rPr>
              <w:t>Parties are enabled to promote and facilitate public awareness, education and participation in biosafety.</w:t>
            </w:r>
          </w:p>
        </w:tc>
      </w:tr>
      <w:tr w:rsidR="007E654B" w:rsidRPr="007E654B" w:rsidTr="006C7986">
        <w:tc>
          <w:tcPr>
            <w:tcW w:w="2558"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A. </w:t>
            </w:r>
            <w:r w:rsidR="00E55044" w:rsidRPr="007E654B">
              <w:rPr>
                <w:rFonts w:ascii="Times New Roman" w:hAnsi="Times New Roman"/>
                <w:b/>
              </w:rPr>
              <w:t>Results/Outputs</w:t>
            </w:r>
          </w:p>
        </w:tc>
        <w:tc>
          <w:tcPr>
            <w:tcW w:w="4453"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B. </w:t>
            </w:r>
            <w:r w:rsidR="00E55044" w:rsidRPr="007E654B">
              <w:rPr>
                <w:rFonts w:ascii="Times New Roman" w:hAnsi="Times New Roman"/>
                <w:b/>
              </w:rPr>
              <w:t>Planned Activities</w:t>
            </w:r>
          </w:p>
        </w:tc>
        <w:tc>
          <w:tcPr>
            <w:tcW w:w="6165" w:type="dxa"/>
          </w:tcPr>
          <w:p w:rsidR="00E55044" w:rsidRPr="007E654B" w:rsidRDefault="00671526" w:rsidP="0040778B">
            <w:pPr>
              <w:spacing w:before="60" w:after="60" w:line="240" w:lineRule="auto"/>
              <w:jc w:val="center"/>
              <w:rPr>
                <w:rFonts w:ascii="Times New Roman" w:hAnsi="Times New Roman"/>
              </w:rPr>
            </w:pPr>
            <w:r w:rsidRPr="007E654B">
              <w:rPr>
                <w:rFonts w:ascii="Times New Roman" w:hAnsi="Times New Roman"/>
                <w:b/>
              </w:rPr>
              <w:t xml:space="preserve">C. </w:t>
            </w:r>
            <w:r w:rsidR="00E55044" w:rsidRPr="007E654B">
              <w:rPr>
                <w:rFonts w:ascii="Times New Roman" w:hAnsi="Times New Roman"/>
                <w:b/>
              </w:rPr>
              <w:t>Summary of results of activities undertaken, good practices and lessons learned</w:t>
            </w:r>
          </w:p>
          <w:p w:rsidR="002C2CAF" w:rsidRPr="007E654B" w:rsidRDefault="002C2CAF" w:rsidP="0040778B">
            <w:pPr>
              <w:spacing w:before="60" w:after="60" w:line="240" w:lineRule="auto"/>
              <w:jc w:val="center"/>
              <w:rPr>
                <w:rFonts w:ascii="Times New Roman" w:hAnsi="Times New Roman"/>
                <w:b/>
              </w:rPr>
            </w:pPr>
            <w:r w:rsidRPr="007E654B">
              <w:rPr>
                <w:rFonts w:ascii="Times New Roman" w:hAnsi="Times New Roman"/>
                <w:highlight w:val="yellow"/>
              </w:rPr>
              <w:t>[Enter text in column C, next to the relevant activity in column B, as appropriate]</w:t>
            </w:r>
          </w:p>
        </w:tc>
      </w:tr>
      <w:tr w:rsidR="007E654B" w:rsidRPr="007E654B" w:rsidTr="006C7986">
        <w:trPr>
          <w:trHeight w:val="854"/>
        </w:trPr>
        <w:tc>
          <w:tcPr>
            <w:tcW w:w="2558" w:type="dxa"/>
            <w:vMerge w:val="restart"/>
            <w:shd w:val="clear" w:color="auto" w:fill="auto"/>
          </w:tcPr>
          <w:p w:rsidR="00E55044" w:rsidRPr="007E654B" w:rsidRDefault="00E55044" w:rsidP="0040778B">
            <w:pPr>
              <w:numPr>
                <w:ilvl w:val="0"/>
                <w:numId w:val="13"/>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Programmes for promoting public awareness are being implemented</w:t>
            </w:r>
          </w:p>
          <w:p w:rsidR="00E55044" w:rsidRPr="007E654B" w:rsidRDefault="00E55044" w:rsidP="0040778B">
            <w:pPr>
              <w:numPr>
                <w:ilvl w:val="0"/>
                <w:numId w:val="13"/>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Guidance materials and toolkits including methodologies and best practices for promoting public awareness, and promote education and participation in place and being used by Parties</w:t>
            </w:r>
          </w:p>
          <w:p w:rsidR="00E55044" w:rsidRPr="007E654B" w:rsidRDefault="00E55044" w:rsidP="0040778B">
            <w:pPr>
              <w:numPr>
                <w:ilvl w:val="0"/>
                <w:numId w:val="13"/>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Improved mechanisms for public awareness, and promote education and participation</w:t>
            </w:r>
          </w:p>
          <w:p w:rsidR="00E55044" w:rsidRPr="007E654B" w:rsidRDefault="00E55044" w:rsidP="0040778B">
            <w:pPr>
              <w:numPr>
                <w:ilvl w:val="0"/>
                <w:numId w:val="13"/>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 xml:space="preserve">Effective implementation of </w:t>
            </w:r>
            <w:r w:rsidRPr="007E654B">
              <w:rPr>
                <w:rFonts w:ascii="Times New Roman" w:eastAsia="Times New Roman" w:hAnsi="Times New Roman"/>
                <w:lang w:val="en-CA"/>
              </w:rPr>
              <w:lastRenderedPageBreak/>
              <w:t xml:space="preserve">public awareness, and promote education and participation at national, regional and international level </w:t>
            </w:r>
          </w:p>
          <w:p w:rsidR="00E55044" w:rsidRPr="007E654B" w:rsidRDefault="00E55044" w:rsidP="0040778B">
            <w:pPr>
              <w:spacing w:before="60" w:after="60" w:line="240" w:lineRule="auto"/>
              <w:rPr>
                <w:rFonts w:ascii="Times New Roman" w:hAnsi="Times New Roman"/>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lastRenderedPageBreak/>
              <w:t>5.1      Collection of information on legal frameworks and mechanisms put in place and actual experiences on public awareness, education and participation</w:t>
            </w:r>
          </w:p>
        </w:tc>
        <w:tc>
          <w:tcPr>
            <w:tcW w:w="6165" w:type="dxa"/>
          </w:tcPr>
          <w:p w:rsidR="00E55044" w:rsidRPr="007E654B" w:rsidRDefault="00E55044" w:rsidP="0040778B">
            <w:pPr>
              <w:spacing w:before="60" w:after="60" w:line="240" w:lineRule="auto"/>
              <w:jc w:val="center"/>
              <w:rPr>
                <w:rFonts w:ascii="Times New Roman" w:hAnsi="Times New Roman"/>
              </w:rPr>
            </w:pPr>
          </w:p>
        </w:tc>
      </w:tr>
      <w:tr w:rsidR="007E654B" w:rsidRPr="007E654B" w:rsidTr="006C7986">
        <w:trPr>
          <w:trHeight w:val="872"/>
        </w:trPr>
        <w:tc>
          <w:tcPr>
            <w:tcW w:w="2558" w:type="dxa"/>
            <w:vMerge/>
            <w:shd w:val="clear" w:color="auto" w:fill="auto"/>
          </w:tcPr>
          <w:p w:rsidR="00E55044" w:rsidRPr="007E654B" w:rsidRDefault="00E55044" w:rsidP="0040778B">
            <w:pPr>
              <w:numPr>
                <w:ilvl w:val="0"/>
                <w:numId w:val="13"/>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5.2</w:t>
            </w:r>
            <w:r w:rsidRPr="007E654B">
              <w:rPr>
                <w:rFonts w:ascii="Times New Roman" w:hAnsi="Times New Roman"/>
              </w:rPr>
              <w:tab/>
              <w:t>Development and dissemination of training packages/online modules, guidance materials and other tools for different target groups</w:t>
            </w:r>
          </w:p>
        </w:tc>
        <w:tc>
          <w:tcPr>
            <w:tcW w:w="6165" w:type="dxa"/>
          </w:tcPr>
          <w:p w:rsidR="00E55044" w:rsidRPr="007E654B" w:rsidRDefault="00E55044" w:rsidP="0040778B">
            <w:pPr>
              <w:spacing w:before="60" w:after="60" w:line="240" w:lineRule="auto"/>
              <w:jc w:val="center"/>
              <w:rPr>
                <w:rFonts w:ascii="Times New Roman" w:hAnsi="Times New Roman"/>
              </w:rPr>
            </w:pPr>
          </w:p>
        </w:tc>
      </w:tr>
      <w:tr w:rsidR="007E654B" w:rsidRPr="007E654B" w:rsidTr="006C7986">
        <w:trPr>
          <w:trHeight w:val="851"/>
        </w:trPr>
        <w:tc>
          <w:tcPr>
            <w:tcW w:w="2558" w:type="dxa"/>
            <w:vMerge/>
            <w:shd w:val="clear" w:color="auto" w:fill="auto"/>
          </w:tcPr>
          <w:p w:rsidR="00E55044" w:rsidRPr="007E654B" w:rsidRDefault="00E55044" w:rsidP="0040778B">
            <w:pPr>
              <w:numPr>
                <w:ilvl w:val="0"/>
                <w:numId w:val="13"/>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5.3</w:t>
            </w:r>
            <w:r w:rsidRPr="007E654B">
              <w:rPr>
                <w:rFonts w:ascii="Times New Roman" w:hAnsi="Times New Roman"/>
              </w:rPr>
              <w:tab/>
              <w:t>Organization of regional and national workshops on the implementation of the above guidance/toolkit in order to strengthen or establish national mechanisms for public awareness, education and participation, interlinking with complementary international agreements</w:t>
            </w:r>
          </w:p>
        </w:tc>
        <w:tc>
          <w:tcPr>
            <w:tcW w:w="6165" w:type="dxa"/>
          </w:tcPr>
          <w:p w:rsidR="00E55044" w:rsidRPr="007E654B" w:rsidRDefault="00E55044" w:rsidP="0040778B">
            <w:pPr>
              <w:spacing w:before="60" w:after="60" w:line="240" w:lineRule="auto"/>
              <w:jc w:val="center"/>
              <w:rPr>
                <w:rFonts w:ascii="Times New Roman" w:hAnsi="Times New Roman"/>
              </w:rPr>
            </w:pPr>
          </w:p>
        </w:tc>
      </w:tr>
      <w:tr w:rsidR="007E654B" w:rsidRPr="007E654B" w:rsidTr="006C7986">
        <w:trPr>
          <w:trHeight w:val="851"/>
        </w:trPr>
        <w:tc>
          <w:tcPr>
            <w:tcW w:w="2558" w:type="dxa"/>
            <w:vMerge/>
            <w:shd w:val="clear" w:color="auto" w:fill="auto"/>
          </w:tcPr>
          <w:p w:rsidR="00E55044" w:rsidRPr="007E654B" w:rsidRDefault="00E55044" w:rsidP="0040778B">
            <w:pPr>
              <w:numPr>
                <w:ilvl w:val="0"/>
                <w:numId w:val="13"/>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5.4</w:t>
            </w:r>
            <w:r w:rsidRPr="007E654B">
              <w:rPr>
                <w:rFonts w:ascii="Times New Roman" w:hAnsi="Times New Roman"/>
              </w:rPr>
              <w:tab/>
              <w:t>Organization of training-of-trainers workshops for biosafety educators, communicators and other government and non-government personnel at national and (sub)regional levels</w:t>
            </w:r>
          </w:p>
        </w:tc>
        <w:tc>
          <w:tcPr>
            <w:tcW w:w="6165" w:type="dxa"/>
          </w:tcPr>
          <w:p w:rsidR="00E55044" w:rsidRPr="007E654B" w:rsidRDefault="00E55044" w:rsidP="0040778B">
            <w:pPr>
              <w:spacing w:before="60" w:after="60" w:line="240" w:lineRule="auto"/>
              <w:jc w:val="center"/>
              <w:rPr>
                <w:rFonts w:ascii="Times New Roman" w:hAnsi="Times New Roman"/>
              </w:rPr>
            </w:pPr>
          </w:p>
        </w:tc>
      </w:tr>
      <w:tr w:rsidR="007E654B" w:rsidRPr="007E654B" w:rsidTr="006C7986">
        <w:trPr>
          <w:trHeight w:val="851"/>
        </w:trPr>
        <w:tc>
          <w:tcPr>
            <w:tcW w:w="2558" w:type="dxa"/>
            <w:vMerge/>
            <w:shd w:val="clear" w:color="auto" w:fill="auto"/>
          </w:tcPr>
          <w:p w:rsidR="00E55044" w:rsidRPr="007E654B" w:rsidRDefault="00E55044" w:rsidP="0040778B">
            <w:pPr>
              <w:numPr>
                <w:ilvl w:val="0"/>
                <w:numId w:val="13"/>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5.5</w:t>
            </w:r>
            <w:r w:rsidRPr="007E654B">
              <w:rPr>
                <w:rFonts w:ascii="Times New Roman" w:hAnsi="Times New Roman"/>
              </w:rPr>
              <w:tab/>
              <w:t>Establishment of mechanisms to inform the public about existing opportunities and modalities for participation</w:t>
            </w:r>
          </w:p>
        </w:tc>
        <w:tc>
          <w:tcPr>
            <w:tcW w:w="6165" w:type="dxa"/>
          </w:tcPr>
          <w:p w:rsidR="00E55044" w:rsidRPr="007E654B" w:rsidRDefault="00E55044" w:rsidP="0040778B">
            <w:pPr>
              <w:spacing w:before="60" w:after="60" w:line="240" w:lineRule="auto"/>
              <w:jc w:val="center"/>
              <w:rPr>
                <w:rFonts w:ascii="Times New Roman" w:hAnsi="Times New Roman"/>
              </w:rPr>
            </w:pPr>
          </w:p>
        </w:tc>
      </w:tr>
      <w:tr w:rsidR="007E654B" w:rsidRPr="007E654B" w:rsidTr="006C7986">
        <w:trPr>
          <w:trHeight w:val="851"/>
        </w:trPr>
        <w:tc>
          <w:tcPr>
            <w:tcW w:w="2558" w:type="dxa"/>
            <w:vMerge/>
            <w:shd w:val="clear" w:color="auto" w:fill="auto"/>
          </w:tcPr>
          <w:p w:rsidR="00E55044" w:rsidRPr="007E654B" w:rsidRDefault="00E55044" w:rsidP="0040778B">
            <w:pPr>
              <w:numPr>
                <w:ilvl w:val="0"/>
                <w:numId w:val="13"/>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5.6</w:t>
            </w:r>
            <w:r w:rsidRPr="007E654B">
              <w:rPr>
                <w:rFonts w:ascii="Times New Roman" w:hAnsi="Times New Roman"/>
              </w:rPr>
              <w:tab/>
              <w:t xml:space="preserve">Establishment of national biosafety websites, searchable databases and national resource </w:t>
            </w:r>
            <w:proofErr w:type="spellStart"/>
            <w:r w:rsidRPr="007E654B">
              <w:rPr>
                <w:rFonts w:ascii="Times New Roman" w:hAnsi="Times New Roman"/>
              </w:rPr>
              <w:t>centres</w:t>
            </w:r>
            <w:proofErr w:type="spellEnd"/>
          </w:p>
        </w:tc>
        <w:tc>
          <w:tcPr>
            <w:tcW w:w="6165" w:type="dxa"/>
          </w:tcPr>
          <w:p w:rsidR="00E55044" w:rsidRPr="007E654B" w:rsidRDefault="00E55044" w:rsidP="0040778B">
            <w:pPr>
              <w:spacing w:before="60" w:after="60" w:line="240" w:lineRule="auto"/>
              <w:jc w:val="center"/>
              <w:rPr>
                <w:rFonts w:ascii="Times New Roman" w:hAnsi="Times New Roman"/>
              </w:rPr>
            </w:pPr>
          </w:p>
        </w:tc>
      </w:tr>
      <w:tr w:rsidR="007E654B" w:rsidRPr="007E654B" w:rsidTr="006C7986">
        <w:trPr>
          <w:trHeight w:val="851"/>
        </w:trPr>
        <w:tc>
          <w:tcPr>
            <w:tcW w:w="2558" w:type="dxa"/>
            <w:vMerge/>
            <w:shd w:val="clear" w:color="auto" w:fill="auto"/>
          </w:tcPr>
          <w:p w:rsidR="00E55044" w:rsidRPr="007E654B" w:rsidRDefault="00E55044" w:rsidP="0040778B">
            <w:pPr>
              <w:numPr>
                <w:ilvl w:val="0"/>
                <w:numId w:val="13"/>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rPr>
                <w:rFonts w:ascii="Times New Roman" w:hAnsi="Times New Roman"/>
              </w:rPr>
            </w:pPr>
            <w:r w:rsidRPr="007E654B">
              <w:rPr>
                <w:rFonts w:ascii="Times New Roman" w:hAnsi="Times New Roman"/>
              </w:rPr>
              <w:t>5.7</w:t>
            </w:r>
            <w:r w:rsidRPr="007E654B">
              <w:rPr>
                <w:rFonts w:ascii="Times New Roman" w:hAnsi="Times New Roman"/>
              </w:rPr>
              <w:tab/>
              <w:t xml:space="preserve">Development and implementation of biosafety public-awareness </w:t>
            </w:r>
            <w:proofErr w:type="spellStart"/>
            <w:r w:rsidRPr="007E654B">
              <w:rPr>
                <w:rFonts w:ascii="Times New Roman" w:hAnsi="Times New Roman"/>
              </w:rPr>
              <w:t>programmes</w:t>
            </w:r>
            <w:proofErr w:type="spellEnd"/>
          </w:p>
        </w:tc>
        <w:tc>
          <w:tcPr>
            <w:tcW w:w="6165" w:type="dxa"/>
          </w:tcPr>
          <w:p w:rsidR="00E55044" w:rsidRPr="007E654B" w:rsidRDefault="00E55044" w:rsidP="0040778B">
            <w:pPr>
              <w:spacing w:before="60" w:after="60" w:line="240" w:lineRule="auto"/>
              <w:jc w:val="center"/>
              <w:rPr>
                <w:rFonts w:ascii="Times New Roman" w:hAnsi="Times New Roman"/>
              </w:rPr>
            </w:pPr>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outlineLvl w:val="2"/>
              <w:rPr>
                <w:rFonts w:ascii="Times New Roman" w:eastAsia="Times New Roman" w:hAnsi="Times New Roman"/>
                <w:b/>
                <w:i/>
                <w:iCs/>
                <w:lang w:val="en-CA"/>
              </w:rPr>
            </w:pPr>
            <w:r w:rsidRPr="007E654B">
              <w:rPr>
                <w:rFonts w:ascii="Times New Roman" w:eastAsia="Times New Roman" w:hAnsi="Times New Roman"/>
                <w:b/>
                <w:i/>
                <w:iCs/>
                <w:lang w:val="en-CA"/>
              </w:rPr>
              <w:t>Focal area 6: Information-sharing</w:t>
            </w:r>
          </w:p>
          <w:p w:rsidR="00E55044" w:rsidRPr="007E654B" w:rsidRDefault="00E55044" w:rsidP="0040778B">
            <w:pPr>
              <w:keepNext/>
              <w:spacing w:before="60" w:after="60" w:line="240" w:lineRule="auto"/>
              <w:rPr>
                <w:rFonts w:ascii="Times New Roman" w:eastAsia="Times New Roman" w:hAnsi="Times New Roman"/>
                <w:b/>
                <w:lang w:val="en-GB"/>
              </w:rPr>
            </w:pPr>
            <w:r w:rsidRPr="007E654B">
              <w:rPr>
                <w:rFonts w:ascii="Times New Roman" w:eastAsia="Times New Roman" w:hAnsi="Times New Roman"/>
                <w:b/>
                <w:lang w:val="en-GB"/>
              </w:rPr>
              <w:t>Operational objective 6</w:t>
            </w:r>
          </w:p>
          <w:p w:rsidR="00E55044" w:rsidRPr="007E654B" w:rsidRDefault="00E55044" w:rsidP="0040778B">
            <w:pPr>
              <w:keepNext/>
              <w:spacing w:before="60" w:after="60" w:line="240" w:lineRule="auto"/>
              <w:outlineLvl w:val="2"/>
              <w:rPr>
                <w:rFonts w:ascii="Times New Roman" w:eastAsia="Times New Roman" w:hAnsi="Times New Roman"/>
                <w:b/>
                <w:i/>
                <w:iCs/>
                <w:lang w:val="en-CA"/>
              </w:rPr>
            </w:pPr>
            <w:r w:rsidRPr="007E654B">
              <w:rPr>
                <w:rFonts w:ascii="Times New Roman" w:eastAsia="Arial Unicode MS" w:hAnsi="Times New Roman"/>
                <w:iCs/>
                <w:lang w:val="en-CA"/>
              </w:rPr>
              <w:t>To ensure that the BCH is easily accessed by all established stakeholders, in particular in developing countries and countries with economies in transition.</w:t>
            </w:r>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rPr>
                <w:rFonts w:ascii="Times New Roman" w:eastAsia="Times New Roman" w:hAnsi="Times New Roman"/>
                <w:b/>
                <w:lang w:val="en-GB"/>
              </w:rPr>
            </w:pPr>
            <w:r w:rsidRPr="007E654B">
              <w:rPr>
                <w:rFonts w:ascii="Times New Roman" w:eastAsia="Times New Roman" w:hAnsi="Times New Roman"/>
                <w:b/>
                <w:lang w:val="en-GB"/>
              </w:rPr>
              <w:t>Outcomes</w:t>
            </w:r>
          </w:p>
          <w:p w:rsidR="00E55044" w:rsidRPr="007E654B" w:rsidRDefault="00E55044" w:rsidP="0040778B">
            <w:pPr>
              <w:numPr>
                <w:ilvl w:val="0"/>
                <w:numId w:val="12"/>
              </w:numPr>
              <w:spacing w:after="0" w:line="240" w:lineRule="auto"/>
              <w:rPr>
                <w:rFonts w:ascii="Times New Roman" w:eastAsia="Times New Roman" w:hAnsi="Times New Roman"/>
                <w:lang w:val="en-GB"/>
              </w:rPr>
            </w:pPr>
            <w:r w:rsidRPr="007E654B">
              <w:rPr>
                <w:rFonts w:ascii="Times New Roman" w:eastAsia="Times New Roman" w:hAnsi="Times New Roman"/>
                <w:lang w:val="en-GB"/>
              </w:rPr>
              <w:t>Increased access to information in the BCH and sharing of information through the BCH by users in developing countries and countries with economies in transition;</w:t>
            </w:r>
          </w:p>
          <w:p w:rsidR="00E55044" w:rsidRPr="007E654B" w:rsidRDefault="00E55044" w:rsidP="0040778B">
            <w:pPr>
              <w:numPr>
                <w:ilvl w:val="0"/>
                <w:numId w:val="12"/>
              </w:numPr>
              <w:spacing w:after="0" w:line="240" w:lineRule="auto"/>
              <w:rPr>
                <w:rFonts w:ascii="Times New Roman" w:eastAsia="Times New Roman" w:hAnsi="Times New Roman"/>
                <w:lang w:val="en-GB"/>
              </w:rPr>
            </w:pPr>
            <w:r w:rsidRPr="007E654B">
              <w:rPr>
                <w:rFonts w:ascii="Times New Roman" w:eastAsia="Times New Roman" w:hAnsi="Times New Roman"/>
                <w:lang w:val="en-GB"/>
              </w:rPr>
              <w:t>Tools to facilitate implementation of the Protocol are easily accessible through the BCH;</w:t>
            </w:r>
          </w:p>
          <w:p w:rsidR="00E55044" w:rsidRPr="007E654B" w:rsidRDefault="00E55044" w:rsidP="0040778B">
            <w:pPr>
              <w:numPr>
                <w:ilvl w:val="0"/>
                <w:numId w:val="12"/>
              </w:numPr>
              <w:spacing w:after="0" w:line="240" w:lineRule="auto"/>
              <w:rPr>
                <w:rFonts w:ascii="Times New Roman" w:hAnsi="Times New Roman"/>
              </w:rPr>
            </w:pPr>
            <w:r w:rsidRPr="007E654B">
              <w:rPr>
                <w:rFonts w:ascii="Times New Roman" w:eastAsia="Times New Roman" w:hAnsi="Times New Roman"/>
                <w:lang w:val="en-GB"/>
              </w:rPr>
              <w:t>Information on the BCH is easily accessible to stakeholders, including the general public.</w:t>
            </w:r>
          </w:p>
        </w:tc>
      </w:tr>
      <w:tr w:rsidR="007E654B" w:rsidRPr="007E654B" w:rsidTr="006C7986">
        <w:tc>
          <w:tcPr>
            <w:tcW w:w="2558"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A. </w:t>
            </w:r>
            <w:r w:rsidR="00E55044" w:rsidRPr="007E654B">
              <w:rPr>
                <w:rFonts w:ascii="Times New Roman" w:hAnsi="Times New Roman"/>
                <w:b/>
              </w:rPr>
              <w:t>Results/Outputs</w:t>
            </w:r>
          </w:p>
        </w:tc>
        <w:tc>
          <w:tcPr>
            <w:tcW w:w="4453"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B. </w:t>
            </w:r>
            <w:r w:rsidR="00E55044" w:rsidRPr="007E654B">
              <w:rPr>
                <w:rFonts w:ascii="Times New Roman" w:hAnsi="Times New Roman"/>
                <w:b/>
              </w:rPr>
              <w:t>Planned Activities</w:t>
            </w:r>
          </w:p>
        </w:tc>
        <w:tc>
          <w:tcPr>
            <w:tcW w:w="6165" w:type="dxa"/>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C. </w:t>
            </w:r>
            <w:r w:rsidR="00E55044" w:rsidRPr="007E654B">
              <w:rPr>
                <w:rFonts w:ascii="Times New Roman" w:hAnsi="Times New Roman"/>
                <w:b/>
              </w:rPr>
              <w:t>Summary of results of activities undertaken, good practices and lessons learned</w:t>
            </w:r>
          </w:p>
          <w:p w:rsidR="002C2CAF" w:rsidRPr="007E654B" w:rsidRDefault="002C2CAF" w:rsidP="0040778B">
            <w:pPr>
              <w:spacing w:before="60" w:after="60" w:line="240" w:lineRule="auto"/>
              <w:jc w:val="center"/>
              <w:rPr>
                <w:rFonts w:ascii="Times New Roman" w:hAnsi="Times New Roman"/>
                <w:b/>
              </w:rPr>
            </w:pPr>
            <w:r w:rsidRPr="007E654B">
              <w:rPr>
                <w:rFonts w:ascii="Times New Roman" w:hAnsi="Times New Roman"/>
                <w:highlight w:val="yellow"/>
              </w:rPr>
              <w:t>[Enter text in column C, next to the relevant activity in column B, as appropriate]</w:t>
            </w:r>
          </w:p>
        </w:tc>
      </w:tr>
      <w:tr w:rsidR="007E654B" w:rsidRPr="007E654B" w:rsidTr="006C7986">
        <w:trPr>
          <w:trHeight w:val="776"/>
        </w:trPr>
        <w:tc>
          <w:tcPr>
            <w:tcW w:w="2558" w:type="dxa"/>
            <w:vMerge w:val="restart"/>
            <w:shd w:val="clear" w:color="auto" w:fill="auto"/>
          </w:tcPr>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Parties able to register mandatory information in the BCH</w:t>
            </w:r>
          </w:p>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 xml:space="preserve">Parties, non-Parties and other stakeholders are able to post non-mandatory </w:t>
            </w:r>
            <w:r w:rsidRPr="007E654B">
              <w:rPr>
                <w:rFonts w:ascii="Times New Roman" w:eastAsia="Times New Roman" w:hAnsi="Times New Roman"/>
                <w:lang w:val="en-CA"/>
              </w:rPr>
              <w:lastRenderedPageBreak/>
              <w:t>information to the BCH</w:t>
            </w:r>
          </w:p>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Improved coordination and sharing of experiences on the BCH at national, (sub)regional, and global levels</w:t>
            </w:r>
          </w:p>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Increased awareness and capacity of relevant stakeholders and general public to access information through BCH</w:t>
            </w:r>
          </w:p>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National systems set up to gather, manage and upload onto the BCH all the information required under the Protocol</w:t>
            </w: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lastRenderedPageBreak/>
              <w:t>6.1</w:t>
            </w:r>
            <w:r w:rsidRPr="007E654B">
              <w:rPr>
                <w:rFonts w:ascii="Times New Roman" w:eastAsia="Times New Roman" w:hAnsi="Times New Roman"/>
                <w:lang w:val="en-CA"/>
              </w:rPr>
              <w:tab/>
              <w:t>Establishment/maintenance of national and regional infrastructure for accessing the BCH</w:t>
            </w:r>
          </w:p>
        </w:tc>
        <w:tc>
          <w:tcPr>
            <w:tcW w:w="6165" w:type="dxa"/>
          </w:tcPr>
          <w:p w:rsidR="008E5ECD" w:rsidRPr="007E654B" w:rsidRDefault="008E5ECD" w:rsidP="008E5ECD">
            <w:pPr>
              <w:spacing w:before="60" w:after="60"/>
              <w:jc w:val="both"/>
              <w:rPr>
                <w:rFonts w:ascii="Times New Roman" w:eastAsia="Times New Roman" w:hAnsi="Times New Roman"/>
              </w:rPr>
            </w:pPr>
            <w:r w:rsidRPr="007E654B">
              <w:rPr>
                <w:rFonts w:ascii="Times New Roman" w:eastAsia="Times New Roman" w:hAnsi="Times New Roman"/>
              </w:rPr>
              <w:t xml:space="preserve"> National website provides information on legislation, Domestic law and EU regulation on LMOs. We can also find Information about environmental risk assessment reports and procedure of public information about deliberate release and contained use of activities risk class 3 and 4. </w:t>
            </w:r>
          </w:p>
          <w:p w:rsidR="00E55044" w:rsidRPr="007E654B" w:rsidRDefault="008E5ECD" w:rsidP="008E5ECD">
            <w:pPr>
              <w:spacing w:before="60" w:after="60" w:line="240" w:lineRule="auto"/>
              <w:jc w:val="both"/>
              <w:rPr>
                <w:rFonts w:ascii="Times New Roman" w:eastAsia="Times New Roman" w:hAnsi="Times New Roman"/>
                <w:lang w:val="es-ES"/>
              </w:rPr>
            </w:pPr>
            <w:r w:rsidRPr="007E654B">
              <w:rPr>
                <w:rFonts w:ascii="Times New Roman" w:eastAsia="Times New Roman" w:hAnsi="Times New Roman"/>
              </w:rPr>
              <w:t>We have all the information we need to update the BCH, so it is important to keep this information up to date.</w:t>
            </w:r>
            <w:r w:rsidRPr="007E654B">
              <w:rPr>
                <w:rFonts w:ascii="Times New Roman" w:eastAsia="Times New Roman" w:hAnsi="Times New Roman"/>
                <w:lang w:val="es-ES"/>
              </w:rPr>
              <w:t xml:space="preserve"> </w:t>
            </w:r>
            <w:r w:rsidRPr="007E654B">
              <w:rPr>
                <w:rFonts w:ascii="Times New Roman" w:eastAsia="Times New Roman" w:hAnsi="Times New Roman"/>
              </w:rPr>
              <w:t xml:space="preserve">In the case of Spain there are different types of documents in BCH. We have loaded 181 </w:t>
            </w:r>
            <w:r w:rsidRPr="007E654B">
              <w:rPr>
                <w:rFonts w:ascii="Times New Roman" w:eastAsia="Times New Roman" w:hAnsi="Times New Roman"/>
              </w:rPr>
              <w:lastRenderedPageBreak/>
              <w:t xml:space="preserve">documents either country´s decision or any other communication and we have loaded 184 risk assessment as well. </w:t>
            </w:r>
          </w:p>
        </w:tc>
      </w:tr>
      <w:tr w:rsidR="007E654B" w:rsidRPr="007E654B" w:rsidTr="006C7986">
        <w:trPr>
          <w:trHeight w:val="773"/>
        </w:trPr>
        <w:tc>
          <w:tcPr>
            <w:tcW w:w="2558" w:type="dxa"/>
            <w:vMerge/>
            <w:shd w:val="clear" w:color="auto" w:fill="auto"/>
          </w:tcPr>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6.2</w:t>
            </w:r>
            <w:r w:rsidRPr="007E654B">
              <w:rPr>
                <w:rFonts w:ascii="Times New Roman" w:eastAsia="Times New Roman" w:hAnsi="Times New Roman"/>
                <w:lang w:val="en-CA"/>
              </w:rPr>
              <w:tab/>
              <w:t>Development of national and (sub)regional systems for gathering/managing information for submission to the BCH</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773"/>
        </w:trPr>
        <w:tc>
          <w:tcPr>
            <w:tcW w:w="2558" w:type="dxa"/>
            <w:vMerge/>
            <w:shd w:val="clear" w:color="auto" w:fill="auto"/>
          </w:tcPr>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6.3</w:t>
            </w:r>
            <w:r w:rsidRPr="007E654B">
              <w:rPr>
                <w:rFonts w:ascii="Times New Roman" w:eastAsia="Times New Roman" w:hAnsi="Times New Roman"/>
                <w:lang w:val="en-CA"/>
              </w:rPr>
              <w:tab/>
              <w:t>Creation of national websites using, as appropriate, AJAX and Hermes tools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773"/>
        </w:trPr>
        <w:tc>
          <w:tcPr>
            <w:tcW w:w="2558" w:type="dxa"/>
            <w:vMerge/>
            <w:shd w:val="clear" w:color="auto" w:fill="auto"/>
          </w:tcPr>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6.4</w:t>
            </w:r>
            <w:r w:rsidRPr="007E654B">
              <w:rPr>
                <w:rFonts w:ascii="Times New Roman" w:eastAsia="Times New Roman" w:hAnsi="Times New Roman"/>
                <w:lang w:val="en-CA"/>
              </w:rPr>
              <w:tab/>
              <w:t>Organization of BCH training for specific target groups, using the BCH Regional Advisors’ network</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773"/>
        </w:trPr>
        <w:tc>
          <w:tcPr>
            <w:tcW w:w="2558" w:type="dxa"/>
            <w:vMerge/>
            <w:shd w:val="clear" w:color="auto" w:fill="auto"/>
          </w:tcPr>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6.5</w:t>
            </w:r>
            <w:r w:rsidRPr="007E654B">
              <w:rPr>
                <w:rFonts w:ascii="Times New Roman" w:eastAsia="Times New Roman" w:hAnsi="Times New Roman"/>
                <w:lang w:val="en-CA"/>
              </w:rPr>
              <w:tab/>
              <w:t>Enhancement of cooperation between relevant international organizations on the further development and population of the BCH to maximize use of existing resources, experiences and expertise and to minimize duplication of activities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773"/>
        </w:trPr>
        <w:tc>
          <w:tcPr>
            <w:tcW w:w="2558" w:type="dxa"/>
            <w:vMerge/>
            <w:shd w:val="clear" w:color="auto" w:fill="auto"/>
          </w:tcPr>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6.6</w:t>
            </w:r>
            <w:r w:rsidRPr="007E654B">
              <w:rPr>
                <w:rFonts w:ascii="Times New Roman" w:eastAsia="Times New Roman" w:hAnsi="Times New Roman"/>
                <w:lang w:val="en-CA"/>
              </w:rPr>
              <w:tab/>
              <w:t>Organization of training for information management experts on the BCH and putting in place mechanisms to facilitate use of the BCH by various stakeholders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773"/>
        </w:trPr>
        <w:tc>
          <w:tcPr>
            <w:tcW w:w="2558" w:type="dxa"/>
            <w:vMerge/>
            <w:shd w:val="clear" w:color="auto" w:fill="auto"/>
          </w:tcPr>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6.7</w:t>
            </w:r>
            <w:r w:rsidRPr="007E654B">
              <w:rPr>
                <w:rFonts w:ascii="Times New Roman" w:eastAsia="Times New Roman" w:hAnsi="Times New Roman"/>
                <w:lang w:val="en-CA"/>
              </w:rPr>
              <w:tab/>
              <w:t>Establishment of mechanisms to enable countries to monitor the use of the BCH at the national level and to address gaps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773"/>
        </w:trPr>
        <w:tc>
          <w:tcPr>
            <w:tcW w:w="2558" w:type="dxa"/>
            <w:vMerge/>
            <w:shd w:val="clear" w:color="auto" w:fill="auto"/>
          </w:tcPr>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6.8</w:t>
            </w:r>
            <w:r w:rsidRPr="007E654B">
              <w:rPr>
                <w:rFonts w:ascii="Times New Roman" w:eastAsia="Times New Roman" w:hAnsi="Times New Roman"/>
                <w:lang w:val="en-CA"/>
              </w:rPr>
              <w:tab/>
              <w:t>Continuation of the BCH capacity-building projects at national and (sub)regional levels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773"/>
        </w:trPr>
        <w:tc>
          <w:tcPr>
            <w:tcW w:w="2558" w:type="dxa"/>
            <w:vMerge/>
            <w:shd w:val="clear" w:color="auto" w:fill="auto"/>
          </w:tcPr>
          <w:p w:rsidR="00E55044" w:rsidRPr="007E654B" w:rsidRDefault="00E55044" w:rsidP="0040778B">
            <w:pPr>
              <w:numPr>
                <w:ilvl w:val="0"/>
                <w:numId w:val="15"/>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6.9</w:t>
            </w:r>
            <w:r w:rsidRPr="007E654B">
              <w:rPr>
                <w:rFonts w:ascii="Times New Roman" w:eastAsia="Times New Roman" w:hAnsi="Times New Roman"/>
                <w:lang w:val="en-CA"/>
              </w:rPr>
              <w:tab/>
              <w:t xml:space="preserve">Enhancement of the BCH coordination mechanism at the national level, including </w:t>
            </w:r>
            <w:proofErr w:type="spellStart"/>
            <w:r w:rsidRPr="007E654B">
              <w:rPr>
                <w:rFonts w:ascii="Times New Roman" w:eastAsia="Times New Roman" w:hAnsi="Times New Roman"/>
                <w:lang w:val="en-CA"/>
              </w:rPr>
              <w:t>interministerial</w:t>
            </w:r>
            <w:proofErr w:type="spellEnd"/>
            <w:r w:rsidRPr="007E654B">
              <w:rPr>
                <w:rFonts w:ascii="Times New Roman" w:eastAsia="Times New Roman" w:hAnsi="Times New Roman"/>
                <w:lang w:val="en-CA"/>
              </w:rPr>
              <w:t xml:space="preserve"> and interagency collaboration with relevant stakeholders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outlineLvl w:val="2"/>
              <w:rPr>
                <w:rFonts w:ascii="Times New Roman" w:eastAsia="Times New Roman" w:hAnsi="Times New Roman"/>
                <w:b/>
                <w:i/>
                <w:iCs/>
                <w:lang w:val="en-CA"/>
              </w:rPr>
            </w:pPr>
            <w:r w:rsidRPr="007E654B">
              <w:rPr>
                <w:rFonts w:ascii="Times New Roman" w:eastAsia="Times New Roman" w:hAnsi="Times New Roman"/>
                <w:b/>
                <w:i/>
                <w:iCs/>
                <w:lang w:val="en-CA"/>
              </w:rPr>
              <w:lastRenderedPageBreak/>
              <w:t xml:space="preserve">Focal area 7: Biosafety education and training </w:t>
            </w:r>
          </w:p>
          <w:p w:rsidR="00E55044" w:rsidRPr="007E654B" w:rsidRDefault="00E55044" w:rsidP="0040778B">
            <w:pPr>
              <w:keepNext/>
              <w:spacing w:before="60" w:after="60" w:line="240" w:lineRule="auto"/>
              <w:jc w:val="both"/>
              <w:rPr>
                <w:rFonts w:ascii="Times New Roman" w:eastAsia="Times New Roman" w:hAnsi="Times New Roman"/>
                <w:b/>
                <w:lang w:val="en-GB"/>
              </w:rPr>
            </w:pPr>
            <w:r w:rsidRPr="007E654B">
              <w:rPr>
                <w:rFonts w:ascii="Times New Roman" w:eastAsia="Times New Roman" w:hAnsi="Times New Roman"/>
                <w:b/>
                <w:lang w:val="en-GB"/>
              </w:rPr>
              <w:t xml:space="preserve">Operational objective 7 </w:t>
            </w:r>
          </w:p>
          <w:p w:rsidR="00E55044" w:rsidRPr="007E654B" w:rsidRDefault="00E55044" w:rsidP="0040778B">
            <w:pPr>
              <w:keepNext/>
              <w:spacing w:before="60" w:after="60" w:line="240" w:lineRule="auto"/>
              <w:outlineLvl w:val="2"/>
              <w:rPr>
                <w:rFonts w:ascii="Times New Roman" w:eastAsia="Times New Roman" w:hAnsi="Times New Roman"/>
                <w:b/>
                <w:i/>
                <w:iCs/>
                <w:lang w:val="en-CA"/>
              </w:rPr>
            </w:pPr>
            <w:r w:rsidRPr="007E654B">
              <w:rPr>
                <w:rFonts w:ascii="Times New Roman" w:eastAsia="Arial Unicode MS" w:hAnsi="Times New Roman"/>
                <w:iCs/>
                <w:lang w:val="en-CA"/>
              </w:rPr>
              <w:t>To promote education and training of biosafety professionals through greater coordination and collaboration among academic institutions and relevant organizations.</w:t>
            </w:r>
          </w:p>
        </w:tc>
      </w:tr>
      <w:tr w:rsidR="007E654B" w:rsidRPr="007E654B" w:rsidTr="0040778B">
        <w:tc>
          <w:tcPr>
            <w:tcW w:w="13176" w:type="dxa"/>
            <w:gridSpan w:val="3"/>
            <w:shd w:val="clear" w:color="auto" w:fill="auto"/>
          </w:tcPr>
          <w:p w:rsidR="00E55044" w:rsidRPr="007E654B" w:rsidRDefault="00E55044" w:rsidP="0040778B">
            <w:pPr>
              <w:keepNext/>
              <w:spacing w:before="60" w:after="60" w:line="240" w:lineRule="auto"/>
              <w:jc w:val="both"/>
              <w:rPr>
                <w:rFonts w:ascii="Times New Roman" w:eastAsia="Times New Roman" w:hAnsi="Times New Roman"/>
                <w:b/>
                <w:lang w:val="en-GB"/>
              </w:rPr>
            </w:pPr>
            <w:r w:rsidRPr="007E654B">
              <w:rPr>
                <w:rFonts w:ascii="Times New Roman" w:eastAsia="Times New Roman" w:hAnsi="Times New Roman"/>
                <w:b/>
                <w:lang w:val="en-GB"/>
              </w:rPr>
              <w:t>Outcomes</w:t>
            </w:r>
          </w:p>
          <w:p w:rsidR="00E55044" w:rsidRPr="007E654B" w:rsidRDefault="00E55044" w:rsidP="0040778B">
            <w:pPr>
              <w:numPr>
                <w:ilvl w:val="0"/>
                <w:numId w:val="17"/>
              </w:numPr>
              <w:spacing w:after="0" w:line="240" w:lineRule="auto"/>
              <w:jc w:val="both"/>
              <w:rPr>
                <w:rFonts w:ascii="Times New Roman" w:eastAsia="Times New Roman" w:hAnsi="Times New Roman"/>
                <w:lang w:val="en-GB"/>
              </w:rPr>
            </w:pPr>
            <w:r w:rsidRPr="007E654B">
              <w:rPr>
                <w:rFonts w:ascii="Times New Roman" w:eastAsia="Times New Roman" w:hAnsi="Times New Roman"/>
                <w:lang w:val="en-GB"/>
              </w:rPr>
              <w:t>A sustainable pool of biosafety professionals with various competencies available at national/ international levels;</w:t>
            </w:r>
          </w:p>
          <w:p w:rsidR="00E55044" w:rsidRPr="007E654B" w:rsidRDefault="00E55044" w:rsidP="0040778B">
            <w:pPr>
              <w:numPr>
                <w:ilvl w:val="0"/>
                <w:numId w:val="17"/>
              </w:numPr>
              <w:spacing w:after="0" w:line="240" w:lineRule="auto"/>
              <w:jc w:val="both"/>
              <w:rPr>
                <w:rFonts w:ascii="Times New Roman" w:eastAsia="Times New Roman" w:hAnsi="Times New Roman"/>
                <w:lang w:val="en-GB"/>
              </w:rPr>
            </w:pPr>
            <w:r w:rsidRPr="007E654B">
              <w:rPr>
                <w:rFonts w:ascii="Times New Roman" w:eastAsia="Times New Roman" w:hAnsi="Times New Roman"/>
                <w:lang w:val="en-GB"/>
              </w:rPr>
              <w:t>Improved biosafety education and training programmes;</w:t>
            </w:r>
          </w:p>
          <w:p w:rsidR="00E55044" w:rsidRPr="007E654B" w:rsidRDefault="00E55044" w:rsidP="0040778B">
            <w:pPr>
              <w:numPr>
                <w:ilvl w:val="0"/>
                <w:numId w:val="17"/>
              </w:numPr>
              <w:spacing w:after="0" w:line="240" w:lineRule="auto"/>
              <w:jc w:val="both"/>
              <w:rPr>
                <w:rFonts w:ascii="Times New Roman" w:eastAsia="Times New Roman" w:hAnsi="Times New Roman"/>
                <w:b/>
                <w:lang w:val="en-GB"/>
              </w:rPr>
            </w:pPr>
            <w:r w:rsidRPr="007E654B">
              <w:rPr>
                <w:rFonts w:ascii="Times New Roman" w:eastAsia="Times New Roman" w:hAnsi="Times New Roman"/>
                <w:lang w:val="en-GB"/>
              </w:rPr>
              <w:t>Increased exchange of information, training materials and staff and students among academic institutions and relevant organizations.</w:t>
            </w:r>
          </w:p>
        </w:tc>
      </w:tr>
      <w:tr w:rsidR="007E654B" w:rsidRPr="007E654B" w:rsidTr="006C7986">
        <w:tc>
          <w:tcPr>
            <w:tcW w:w="2558"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A. </w:t>
            </w:r>
            <w:r w:rsidR="00E55044" w:rsidRPr="007E654B">
              <w:rPr>
                <w:rFonts w:ascii="Times New Roman" w:hAnsi="Times New Roman"/>
                <w:b/>
              </w:rPr>
              <w:t>Results/Outputs</w:t>
            </w:r>
          </w:p>
        </w:tc>
        <w:tc>
          <w:tcPr>
            <w:tcW w:w="4453" w:type="dxa"/>
            <w:shd w:val="clear" w:color="auto" w:fill="auto"/>
          </w:tcPr>
          <w:p w:rsidR="00E55044"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B. </w:t>
            </w:r>
            <w:r w:rsidR="00E55044" w:rsidRPr="007E654B">
              <w:rPr>
                <w:rFonts w:ascii="Times New Roman" w:hAnsi="Times New Roman"/>
                <w:b/>
              </w:rPr>
              <w:t>Planned Activities</w:t>
            </w:r>
          </w:p>
        </w:tc>
        <w:tc>
          <w:tcPr>
            <w:tcW w:w="6165" w:type="dxa"/>
          </w:tcPr>
          <w:p w:rsidR="002C2CAF" w:rsidRPr="007E654B" w:rsidRDefault="00671526" w:rsidP="0040778B">
            <w:pPr>
              <w:spacing w:before="60" w:after="60" w:line="240" w:lineRule="auto"/>
              <w:jc w:val="center"/>
              <w:rPr>
                <w:rFonts w:ascii="Times New Roman" w:hAnsi="Times New Roman"/>
                <w:b/>
              </w:rPr>
            </w:pPr>
            <w:r w:rsidRPr="007E654B">
              <w:rPr>
                <w:rFonts w:ascii="Times New Roman" w:hAnsi="Times New Roman"/>
                <w:b/>
              </w:rPr>
              <w:t xml:space="preserve">C. </w:t>
            </w:r>
            <w:r w:rsidR="00E55044" w:rsidRPr="007E654B">
              <w:rPr>
                <w:rFonts w:ascii="Times New Roman" w:hAnsi="Times New Roman"/>
                <w:b/>
              </w:rPr>
              <w:t>Summary of results of activities undertaken, good practices and lessons learned</w:t>
            </w:r>
          </w:p>
          <w:p w:rsidR="00E55044" w:rsidRPr="007E654B" w:rsidRDefault="002C2CAF" w:rsidP="0040778B">
            <w:pPr>
              <w:spacing w:before="60" w:after="60" w:line="240" w:lineRule="auto"/>
              <w:jc w:val="center"/>
              <w:rPr>
                <w:rFonts w:ascii="Times New Roman" w:hAnsi="Times New Roman"/>
                <w:b/>
              </w:rPr>
            </w:pPr>
            <w:r w:rsidRPr="007E654B">
              <w:rPr>
                <w:rFonts w:ascii="Times New Roman" w:hAnsi="Times New Roman"/>
                <w:highlight w:val="yellow"/>
              </w:rPr>
              <w:t>[Enter text in column C, next to the appropriate activity in column B, if applicable]</w:t>
            </w:r>
          </w:p>
        </w:tc>
      </w:tr>
      <w:tr w:rsidR="007E654B" w:rsidRPr="007E654B" w:rsidTr="006C7986">
        <w:trPr>
          <w:trHeight w:val="882"/>
        </w:trPr>
        <w:tc>
          <w:tcPr>
            <w:tcW w:w="2558" w:type="dxa"/>
            <w:vMerge w:val="restart"/>
            <w:shd w:val="clear" w:color="auto" w:fill="auto"/>
          </w:tcPr>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Improved identification of training needs and target audiences</w:t>
            </w:r>
          </w:p>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Information on the current situation with regard to existing biosafety-related education and training initiatives available</w:t>
            </w:r>
          </w:p>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Relevant documentation (including real-life dossiers and full risk assessment reports) made available for biosafety education and education purposes</w:t>
            </w:r>
          </w:p>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lastRenderedPageBreak/>
              <w:t>Compilations of existing biosafety training and education initiatives and trainers are made available</w:t>
            </w:r>
          </w:p>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E-learning courses and other distance education and training programs on biosafety are available</w:t>
            </w:r>
          </w:p>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Scientific and professional conferences and workshops support exchange of information and experiences</w:t>
            </w:r>
          </w:p>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Biosafety regulators continuously trained through on-the-job and off-the-job training programmes</w:t>
            </w: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lastRenderedPageBreak/>
              <w:t>7.1</w:t>
            </w:r>
            <w:r w:rsidRPr="007E654B">
              <w:rPr>
                <w:rFonts w:ascii="Times New Roman" w:eastAsia="Times New Roman" w:hAnsi="Times New Roman"/>
                <w:lang w:val="en-CA"/>
              </w:rPr>
              <w:tab/>
              <w:t>Undertaking of periodic training needs assessments to ascertain the demand for biosafety education and training programme, and to identify target audiences</w:t>
            </w:r>
          </w:p>
        </w:tc>
        <w:tc>
          <w:tcPr>
            <w:tcW w:w="6165" w:type="dxa"/>
          </w:tcPr>
          <w:p w:rsidR="00E55044" w:rsidRPr="007E654B" w:rsidRDefault="00E55044" w:rsidP="0040778B">
            <w:pPr>
              <w:spacing w:before="60" w:after="60" w:line="240" w:lineRule="auto"/>
              <w:jc w:val="center"/>
              <w:rPr>
                <w:rFonts w:ascii="Times New Roman" w:hAnsi="Times New Roman"/>
                <w:highlight w:val="yellow"/>
              </w:rPr>
            </w:pPr>
          </w:p>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876"/>
        </w:trPr>
        <w:tc>
          <w:tcPr>
            <w:tcW w:w="2558" w:type="dxa"/>
            <w:vMerge/>
            <w:shd w:val="clear" w:color="auto" w:fill="auto"/>
          </w:tcPr>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7.2</w:t>
            </w:r>
            <w:r w:rsidRPr="007E654B">
              <w:rPr>
                <w:rFonts w:ascii="Times New Roman" w:eastAsia="Times New Roman" w:hAnsi="Times New Roman"/>
                <w:lang w:val="en-CA"/>
              </w:rPr>
              <w:tab/>
              <w:t>Development and/or strengthening of biosafety education and training programs at national and (sub)regional levels, including online and continuing education programs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876"/>
        </w:trPr>
        <w:tc>
          <w:tcPr>
            <w:tcW w:w="2558" w:type="dxa"/>
            <w:vMerge/>
            <w:shd w:val="clear" w:color="auto" w:fill="auto"/>
          </w:tcPr>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7.3</w:t>
            </w:r>
            <w:r w:rsidRPr="007E654B">
              <w:rPr>
                <w:rFonts w:ascii="Times New Roman" w:eastAsia="Times New Roman" w:hAnsi="Times New Roman"/>
                <w:lang w:val="en-CA"/>
              </w:rPr>
              <w:tab/>
              <w:t>Exchange of information on existing biosafety education and training courses and programmes through the BCH</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692"/>
        </w:trPr>
        <w:tc>
          <w:tcPr>
            <w:tcW w:w="2558" w:type="dxa"/>
            <w:vMerge/>
            <w:shd w:val="clear" w:color="auto" w:fill="auto"/>
          </w:tcPr>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7.4</w:t>
            </w:r>
            <w:r w:rsidRPr="007E654B">
              <w:rPr>
                <w:rFonts w:ascii="Times New Roman" w:eastAsia="Times New Roman" w:hAnsi="Times New Roman"/>
                <w:lang w:val="en-CA"/>
              </w:rPr>
              <w:tab/>
              <w:t>Integration of biosafety into the curricula of existing relevant academic programs and courses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876"/>
        </w:trPr>
        <w:tc>
          <w:tcPr>
            <w:tcW w:w="2558" w:type="dxa"/>
            <w:vMerge/>
            <w:shd w:val="clear" w:color="auto" w:fill="auto"/>
          </w:tcPr>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7.5</w:t>
            </w:r>
            <w:r w:rsidRPr="007E654B">
              <w:rPr>
                <w:rFonts w:ascii="Times New Roman" w:eastAsia="Times New Roman" w:hAnsi="Times New Roman"/>
                <w:lang w:val="en-CA"/>
              </w:rPr>
              <w:tab/>
              <w:t>Establishment of national and (sub)regional coordination mechanisms or networks for institutions involved in biosafety education and training to facilitate the sharing experiences and best practices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876"/>
        </w:trPr>
        <w:tc>
          <w:tcPr>
            <w:tcW w:w="2558" w:type="dxa"/>
            <w:vMerge/>
            <w:shd w:val="clear" w:color="auto" w:fill="auto"/>
          </w:tcPr>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7.6</w:t>
            </w:r>
            <w:r w:rsidRPr="007E654B">
              <w:rPr>
                <w:rFonts w:ascii="Times New Roman" w:eastAsia="Times New Roman" w:hAnsi="Times New Roman"/>
                <w:lang w:val="en-CA"/>
              </w:rPr>
              <w:tab/>
              <w:t>Exchange of biosafety training and research materials among academic institutions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876"/>
        </w:trPr>
        <w:tc>
          <w:tcPr>
            <w:tcW w:w="2558" w:type="dxa"/>
            <w:vMerge/>
            <w:shd w:val="clear" w:color="auto" w:fill="auto"/>
          </w:tcPr>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7.7</w:t>
            </w:r>
            <w:r w:rsidRPr="007E654B">
              <w:rPr>
                <w:rFonts w:ascii="Times New Roman" w:eastAsia="Times New Roman" w:hAnsi="Times New Roman"/>
                <w:lang w:val="en-CA"/>
              </w:rPr>
              <w:tab/>
              <w:t>Development of academic exchange and fellowship programs to facilitate the sharing of expertise, including through North-South and South-South cooperation</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7E654B" w:rsidRPr="007E654B" w:rsidTr="006C7986">
        <w:trPr>
          <w:trHeight w:val="876"/>
        </w:trPr>
        <w:tc>
          <w:tcPr>
            <w:tcW w:w="2558" w:type="dxa"/>
            <w:vMerge/>
            <w:shd w:val="clear" w:color="auto" w:fill="auto"/>
          </w:tcPr>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7.8</w:t>
            </w:r>
            <w:r w:rsidRPr="007E654B">
              <w:rPr>
                <w:rFonts w:ascii="Times New Roman" w:eastAsia="Times New Roman" w:hAnsi="Times New Roman"/>
                <w:lang w:val="en-CA"/>
              </w:rPr>
              <w:tab/>
              <w:t>Expansion and maintenance of the database in the BCH on existing biosafety training and education programmes/courses, academic staff/experts on relevant subjects and training materials.</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r w:rsidR="00E55044" w:rsidRPr="007E654B" w:rsidTr="006C7986">
        <w:trPr>
          <w:trHeight w:val="876"/>
        </w:trPr>
        <w:tc>
          <w:tcPr>
            <w:tcW w:w="2558" w:type="dxa"/>
            <w:vMerge/>
            <w:shd w:val="clear" w:color="auto" w:fill="auto"/>
          </w:tcPr>
          <w:p w:rsidR="00E55044" w:rsidRPr="007E654B" w:rsidRDefault="00E55044" w:rsidP="0040778B">
            <w:pPr>
              <w:numPr>
                <w:ilvl w:val="0"/>
                <w:numId w:val="18"/>
              </w:numPr>
              <w:spacing w:before="60" w:after="60" w:line="240" w:lineRule="auto"/>
              <w:jc w:val="both"/>
              <w:rPr>
                <w:rFonts w:ascii="Times New Roman" w:eastAsia="Times New Roman" w:hAnsi="Times New Roman"/>
                <w:lang w:val="en-CA"/>
              </w:rPr>
            </w:pPr>
          </w:p>
        </w:tc>
        <w:tc>
          <w:tcPr>
            <w:tcW w:w="4453" w:type="dxa"/>
            <w:shd w:val="clear" w:color="auto" w:fill="auto"/>
          </w:tcPr>
          <w:p w:rsidR="00E55044" w:rsidRPr="007E654B" w:rsidRDefault="00E55044" w:rsidP="0040778B">
            <w:pPr>
              <w:spacing w:before="60" w:after="60" w:line="240" w:lineRule="auto"/>
              <w:jc w:val="both"/>
              <w:rPr>
                <w:rFonts w:ascii="Times New Roman" w:eastAsia="Times New Roman" w:hAnsi="Times New Roman"/>
                <w:lang w:val="en-CA"/>
              </w:rPr>
            </w:pPr>
            <w:r w:rsidRPr="007E654B">
              <w:rPr>
                <w:rFonts w:ascii="Times New Roman" w:eastAsia="Times New Roman" w:hAnsi="Times New Roman"/>
                <w:lang w:val="en-CA"/>
              </w:rPr>
              <w:t>7.9</w:t>
            </w:r>
            <w:r w:rsidRPr="007E654B">
              <w:rPr>
                <w:rFonts w:ascii="Times New Roman" w:eastAsia="Times New Roman" w:hAnsi="Times New Roman"/>
                <w:lang w:val="en-CA"/>
              </w:rPr>
              <w:tab/>
              <w:t>Strengthening the capacity of existing universities, research institutes and centres of excellence to deliver biosafety education and training</w:t>
            </w:r>
          </w:p>
        </w:tc>
        <w:tc>
          <w:tcPr>
            <w:tcW w:w="6165" w:type="dxa"/>
          </w:tcPr>
          <w:p w:rsidR="00E55044" w:rsidRPr="007E654B" w:rsidRDefault="00E55044" w:rsidP="0040778B">
            <w:pPr>
              <w:spacing w:before="60" w:after="60" w:line="240" w:lineRule="auto"/>
              <w:jc w:val="center"/>
              <w:rPr>
                <w:rFonts w:ascii="Times New Roman" w:eastAsia="Times New Roman" w:hAnsi="Times New Roman"/>
                <w:lang w:val="en-CA"/>
              </w:rPr>
            </w:pPr>
          </w:p>
        </w:tc>
      </w:tr>
    </w:tbl>
    <w:p w:rsidR="00B17694" w:rsidRPr="007E654B" w:rsidRDefault="00B17694" w:rsidP="0040778B">
      <w:pPr>
        <w:spacing w:after="0" w:line="240" w:lineRule="auto"/>
        <w:rPr>
          <w:rFonts w:ascii="Times New Roman" w:eastAsia="Times New Roman" w:hAnsi="Times New Roman"/>
          <w:lang w:eastAsia="en-US"/>
        </w:rPr>
      </w:pPr>
    </w:p>
    <w:sectPr w:rsidR="00B17694" w:rsidRPr="007E654B" w:rsidSect="0040778B">
      <w:type w:val="continuous"/>
      <w:pgSz w:w="15840" w:h="12240" w:orient="landscape"/>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F7" w:rsidRDefault="005A61F7" w:rsidP="00CE4258">
      <w:pPr>
        <w:spacing w:after="0" w:line="240" w:lineRule="auto"/>
      </w:pPr>
      <w:r>
        <w:separator/>
      </w:r>
    </w:p>
  </w:endnote>
  <w:endnote w:type="continuationSeparator" w:id="0">
    <w:p w:rsidR="005A61F7" w:rsidRDefault="005A61F7" w:rsidP="00CE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Italic">
    <w:altName w:val="MV Boli"/>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02" w:rsidRDefault="007D7C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02" w:rsidRDefault="007D7C02" w:rsidP="008641CB">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7D7C02" w:rsidRPr="00A44147" w:rsidTr="008641CB">
      <w:trPr>
        <w:trHeight w:val="287"/>
      </w:trPr>
      <w:tc>
        <w:tcPr>
          <w:tcW w:w="11057" w:type="dxa"/>
          <w:gridSpan w:val="4"/>
          <w:tcBorders>
            <w:top w:val="nil"/>
            <w:bottom w:val="single" w:sz="4" w:space="0" w:color="auto"/>
          </w:tcBorders>
          <w:shd w:val="clear" w:color="auto" w:fill="auto"/>
          <w:vAlign w:val="bottom"/>
        </w:tcPr>
        <w:p w:rsidR="007D7C02" w:rsidRPr="003F73F1" w:rsidRDefault="007D7C02" w:rsidP="003F73F1">
          <w:pPr>
            <w:spacing w:after="0" w:line="240" w:lineRule="auto"/>
            <w:ind w:left="1193" w:right="738" w:hanging="450"/>
            <w:jc w:val="both"/>
            <w:rPr>
              <w:rFonts w:ascii="Times New Roman" w:eastAsia="Times New Roman" w:hAnsi="Times New Roman"/>
              <w:lang w:eastAsia="en-CA"/>
            </w:rPr>
          </w:pPr>
          <w:r w:rsidRPr="0040778B">
            <w:rPr>
              <w:rFonts w:ascii="Times New Roman" w:eastAsia="Times New Roman" w:hAnsi="Times New Roman"/>
              <w:lang w:eastAsia="en-CA"/>
            </w:rPr>
            <w:t>To: Cartagena Protocol Focal Points, BCH Focal Points, relevant partner organizations, indigenous peoples and local communities organizations</w:t>
          </w:r>
        </w:p>
      </w:tc>
    </w:tr>
    <w:tr w:rsidR="007D7C02" w:rsidRPr="00A44147" w:rsidTr="00B067B2">
      <w:trPr>
        <w:trHeight w:val="1205"/>
      </w:trPr>
      <w:tc>
        <w:tcPr>
          <w:tcW w:w="1418" w:type="dxa"/>
          <w:tcBorders>
            <w:top w:val="single" w:sz="4" w:space="0" w:color="auto"/>
          </w:tcBorders>
          <w:shd w:val="clear" w:color="auto" w:fill="auto"/>
          <w:vAlign w:val="bottom"/>
        </w:tcPr>
        <w:p w:rsidR="007D7C02" w:rsidRPr="00A44147" w:rsidRDefault="00092A0F" w:rsidP="00A44147">
          <w:pPr>
            <w:spacing w:after="0" w:line="240" w:lineRule="auto"/>
            <w:rPr>
              <w:rFonts w:ascii="Times New Roman" w:eastAsia="Times New Roman" w:hAnsi="Times New Roman"/>
              <w:sz w:val="24"/>
              <w:szCs w:val="24"/>
              <w:lang w:val="fr-CA" w:eastAsia="en-CA"/>
            </w:rPr>
          </w:pPr>
          <w:r>
            <w:rPr>
              <w:rFonts w:ascii="Times New Roman" w:eastAsia="Times New Roman" w:hAnsi="Times New Roman"/>
              <w:noProof/>
              <w:sz w:val="24"/>
              <w:szCs w:val="24"/>
              <w:lang w:val="es-ES" w:eastAsia="es-ES"/>
            </w:rPr>
            <w:drawing>
              <wp:inline distT="0" distB="0" distL="0" distR="0">
                <wp:extent cx="685800" cy="657225"/>
                <wp:effectExtent l="0" t="0" r="0" b="9525"/>
                <wp:docPr id="2" name="Imagen 2" descr="UN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rsidR="007D7C02" w:rsidRPr="00A44147" w:rsidRDefault="00092A0F" w:rsidP="00A44147">
          <w:pPr>
            <w:spacing w:after="0" w:line="240" w:lineRule="auto"/>
            <w:jc w:val="right"/>
            <w:rPr>
              <w:rFonts w:ascii="Times New Roman" w:eastAsia="Times New Roman" w:hAnsi="Times New Roman"/>
              <w:sz w:val="24"/>
              <w:szCs w:val="24"/>
              <w:lang w:val="fr-CA" w:eastAsia="en-CA"/>
            </w:rPr>
          </w:pPr>
          <w:r>
            <w:rPr>
              <w:rFonts w:ascii="Times New Roman" w:eastAsia="Times New Roman" w:hAnsi="Times New Roman"/>
              <w:noProof/>
              <w:sz w:val="24"/>
              <w:szCs w:val="24"/>
              <w:lang w:val="es-ES" w:eastAsia="es-ES"/>
            </w:rPr>
            <w:drawing>
              <wp:inline distT="0" distB="0" distL="0" distR="0">
                <wp:extent cx="1695450" cy="638175"/>
                <wp:effectExtent l="0" t="0" r="0" b="9525"/>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rsidR="007D7C02" w:rsidRPr="00A44147" w:rsidRDefault="007D7C02" w:rsidP="00A44147">
          <w:pPr>
            <w:tabs>
              <w:tab w:val="center" w:pos="4320"/>
              <w:tab w:val="right" w:pos="8640"/>
            </w:tabs>
            <w:spacing w:after="0" w:line="240" w:lineRule="auto"/>
            <w:ind w:left="317" w:hanging="284"/>
            <w:rPr>
              <w:rFonts w:ascii="Arial" w:eastAsia="Times New Roman" w:hAnsi="Arial" w:cs="Arial"/>
              <w:color w:val="7F7F7F"/>
              <w:sz w:val="16"/>
              <w:szCs w:val="16"/>
              <w:lang w:eastAsia="en-CA"/>
            </w:rPr>
          </w:pPr>
          <w:r w:rsidRPr="00A44147">
            <w:rPr>
              <w:rFonts w:ascii="Arial" w:eastAsia="Times New Roman" w:hAnsi="Arial" w:cs="Arial"/>
              <w:color w:val="7F7F7F"/>
              <w:sz w:val="16"/>
              <w:szCs w:val="16"/>
              <w:lang w:eastAsia="en-CA"/>
            </w:rPr>
            <w:t>Secretariat of the Convention on Biological Diversity</w:t>
          </w:r>
        </w:p>
        <w:p w:rsidR="007D7C02" w:rsidRPr="00A44147" w:rsidRDefault="007D7C02" w:rsidP="00A44147">
          <w:pPr>
            <w:tabs>
              <w:tab w:val="center" w:pos="4320"/>
              <w:tab w:val="right" w:pos="8640"/>
            </w:tabs>
            <w:spacing w:after="0" w:line="240" w:lineRule="auto"/>
            <w:ind w:left="317" w:hanging="284"/>
            <w:rPr>
              <w:rFonts w:ascii="Arial" w:eastAsia="Times New Roman" w:hAnsi="Arial" w:cs="Arial"/>
              <w:color w:val="7F7F7F"/>
              <w:sz w:val="16"/>
              <w:szCs w:val="16"/>
              <w:lang w:eastAsia="en-CA"/>
            </w:rPr>
          </w:pPr>
          <w:r w:rsidRPr="00A44147">
            <w:rPr>
              <w:rFonts w:ascii="Arial" w:eastAsia="Times New Roman" w:hAnsi="Arial" w:cs="Arial"/>
              <w:color w:val="7F7F7F"/>
              <w:sz w:val="16"/>
              <w:szCs w:val="16"/>
              <w:lang w:eastAsia="en-CA"/>
            </w:rPr>
            <w:t xml:space="preserve">United Nations Environment </w:t>
          </w:r>
          <w:proofErr w:type="spellStart"/>
          <w:r w:rsidRPr="00A44147">
            <w:rPr>
              <w:rFonts w:ascii="Arial" w:eastAsia="Times New Roman" w:hAnsi="Arial" w:cs="Arial"/>
              <w:color w:val="7F7F7F"/>
              <w:sz w:val="16"/>
              <w:szCs w:val="16"/>
              <w:lang w:eastAsia="en-CA"/>
            </w:rPr>
            <w:t>Programme</w:t>
          </w:r>
          <w:proofErr w:type="spellEnd"/>
        </w:p>
        <w:p w:rsidR="007D7C02" w:rsidRPr="00A44147" w:rsidRDefault="007D7C02" w:rsidP="00A44147">
          <w:pPr>
            <w:tabs>
              <w:tab w:val="center" w:pos="4320"/>
              <w:tab w:val="right" w:pos="8640"/>
            </w:tabs>
            <w:spacing w:after="0" w:line="240" w:lineRule="auto"/>
            <w:ind w:left="317" w:hanging="284"/>
            <w:rPr>
              <w:rFonts w:ascii="Arial" w:eastAsia="Times New Roman" w:hAnsi="Arial" w:cs="Arial"/>
              <w:color w:val="7F7F7F"/>
              <w:sz w:val="16"/>
              <w:szCs w:val="16"/>
              <w:lang w:eastAsia="en-CA"/>
            </w:rPr>
          </w:pPr>
          <w:r w:rsidRPr="00A44147">
            <w:rPr>
              <w:rFonts w:ascii="Arial" w:eastAsia="Times New Roman" w:hAnsi="Arial" w:cs="Arial"/>
              <w:color w:val="7F7F7F"/>
              <w:sz w:val="16"/>
              <w:szCs w:val="16"/>
              <w:lang w:eastAsia="en-CA"/>
            </w:rPr>
            <w:t>413 Saint-Jacques Street, Suite 800,  Montreal, QC, H2Y 1N9, Canada</w:t>
          </w:r>
        </w:p>
        <w:p w:rsidR="007D7C02" w:rsidRPr="00A44147" w:rsidRDefault="007D7C02" w:rsidP="00A44147">
          <w:pPr>
            <w:tabs>
              <w:tab w:val="center" w:pos="4320"/>
              <w:tab w:val="right" w:pos="8640"/>
            </w:tabs>
            <w:spacing w:after="0" w:line="240" w:lineRule="auto"/>
            <w:ind w:left="317" w:hanging="284"/>
            <w:rPr>
              <w:rFonts w:ascii="Arial" w:eastAsia="Times New Roman" w:hAnsi="Arial" w:cs="Arial"/>
              <w:color w:val="7F7F7F"/>
              <w:sz w:val="16"/>
              <w:szCs w:val="16"/>
              <w:lang w:eastAsia="en-CA"/>
            </w:rPr>
          </w:pPr>
          <w:r w:rsidRPr="00A44147">
            <w:rPr>
              <w:rFonts w:ascii="Arial" w:eastAsia="Times New Roman" w:hAnsi="Arial" w:cs="Arial"/>
              <w:color w:val="7F7F7F"/>
              <w:sz w:val="16"/>
              <w:szCs w:val="16"/>
              <w:lang w:eastAsia="en-CA"/>
            </w:rPr>
            <w:t>Tel : +1 514 288 2220             Fax : +1 514 288 6588</w:t>
          </w:r>
        </w:p>
        <w:p w:rsidR="007D7C02" w:rsidRPr="00A44147" w:rsidRDefault="007E654B" w:rsidP="00A44147">
          <w:pPr>
            <w:spacing w:after="0" w:line="240" w:lineRule="auto"/>
            <w:ind w:left="317" w:hanging="284"/>
            <w:rPr>
              <w:rFonts w:ascii="Times New Roman" w:eastAsia="Times New Roman" w:hAnsi="Times New Roman"/>
              <w:sz w:val="24"/>
              <w:szCs w:val="24"/>
              <w:lang w:eastAsia="en-CA"/>
            </w:rPr>
          </w:pPr>
          <w:hyperlink r:id="rId3" w:history="1">
            <w:r w:rsidR="007D7C02" w:rsidRPr="00A44147">
              <w:rPr>
                <w:rFonts w:ascii="Arial" w:eastAsia="Times New Roman" w:hAnsi="Arial" w:cs="Arial"/>
                <w:color w:val="0000FF"/>
                <w:sz w:val="16"/>
                <w:szCs w:val="16"/>
                <w:u w:val="single"/>
                <w:lang w:eastAsia="en-CA"/>
              </w:rPr>
              <w:t>secretariat@cbd.int</w:t>
            </w:r>
          </w:hyperlink>
          <w:r w:rsidR="007D7C02" w:rsidRPr="00A44147">
            <w:rPr>
              <w:rFonts w:ascii="Arial" w:eastAsia="Times New Roman" w:hAnsi="Arial" w:cs="Arial"/>
              <w:color w:val="7F7F7F"/>
              <w:sz w:val="16"/>
              <w:szCs w:val="16"/>
              <w:lang w:eastAsia="en-CA"/>
            </w:rPr>
            <w:t xml:space="preserve">                 </w:t>
          </w:r>
          <w:hyperlink r:id="rId4" w:history="1">
            <w:r w:rsidR="007D7C02" w:rsidRPr="00A44147">
              <w:rPr>
                <w:rFonts w:ascii="Arial" w:eastAsia="Times New Roman" w:hAnsi="Arial" w:cs="Arial"/>
                <w:bCs/>
                <w:color w:val="0000FF"/>
                <w:sz w:val="16"/>
                <w:szCs w:val="16"/>
                <w:u w:val="single"/>
                <w:lang w:eastAsia="en-CA"/>
              </w:rPr>
              <w:t>www.cbd.int</w:t>
            </w:r>
          </w:hyperlink>
        </w:p>
      </w:tc>
      <w:tc>
        <w:tcPr>
          <w:tcW w:w="1386" w:type="dxa"/>
          <w:tcBorders>
            <w:top w:val="single" w:sz="4" w:space="0" w:color="auto"/>
          </w:tcBorders>
          <w:shd w:val="clear" w:color="auto" w:fill="auto"/>
          <w:vAlign w:val="bottom"/>
        </w:tcPr>
        <w:p w:rsidR="007D7C02" w:rsidRPr="00A44147" w:rsidRDefault="00092A0F" w:rsidP="00A44147">
          <w:pPr>
            <w:spacing w:after="0" w:line="240" w:lineRule="auto"/>
            <w:jc w:val="center"/>
            <w:rPr>
              <w:rFonts w:ascii="Times New Roman" w:eastAsia="Times New Roman" w:hAnsi="Times New Roman"/>
              <w:sz w:val="24"/>
              <w:szCs w:val="24"/>
              <w:lang w:val="fr-CA" w:eastAsia="en-CA"/>
            </w:rPr>
          </w:pPr>
          <w:r>
            <w:rPr>
              <w:rFonts w:ascii="Times New Roman" w:eastAsia="Times New Roman" w:hAnsi="Times New Roman"/>
              <w:noProof/>
              <w:sz w:val="24"/>
              <w:szCs w:val="24"/>
              <w:lang w:val="es-ES" w:eastAsia="es-ES"/>
            </w:rPr>
            <w:drawing>
              <wp:inline distT="0" distB="0" distL="0" distR="0">
                <wp:extent cx="485775" cy="657225"/>
                <wp:effectExtent l="0" t="0" r="9525" b="9525"/>
                <wp:docPr id="4" name="Imagen 4" descr="CB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tc>
    </w:tr>
  </w:tbl>
  <w:p w:rsidR="007D7C02" w:rsidRDefault="007D7C0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02" w:rsidRDefault="007D7C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F7" w:rsidRDefault="005A61F7" w:rsidP="00CE4258">
      <w:pPr>
        <w:spacing w:after="0" w:line="240" w:lineRule="auto"/>
      </w:pPr>
      <w:r>
        <w:separator/>
      </w:r>
    </w:p>
  </w:footnote>
  <w:footnote w:type="continuationSeparator" w:id="0">
    <w:p w:rsidR="005A61F7" w:rsidRDefault="005A61F7" w:rsidP="00CE4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02" w:rsidRDefault="00092A0F">
    <w:pPr>
      <w:pStyle w:val="Encabezado"/>
    </w:pPr>
    <w:r>
      <w:rPr>
        <w:rFonts w:ascii="Arial" w:hAnsi="Arial" w:cs="Arial"/>
        <w:noProof/>
        <w:sz w:val="12"/>
        <w:szCs w:val="12"/>
        <w:lang w:val="es-ES" w:eastAsia="es-ES"/>
      </w:rPr>
      <w:drawing>
        <wp:inline distT="0" distB="0" distL="0" distR="0">
          <wp:extent cx="5486400" cy="1019175"/>
          <wp:effectExtent l="0" t="0" r="0" b="9525"/>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191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02" w:rsidRPr="0040778B" w:rsidRDefault="007D7C02" w:rsidP="00B17694">
    <w:pPr>
      <w:pStyle w:val="Encabezado"/>
      <w:jc w:val="center"/>
      <w:rPr>
        <w:rFonts w:ascii="Times New Roman" w:hAnsi="Times New Roman"/>
        <w:i/>
        <w:sz w:val="24"/>
        <w:szCs w:val="24"/>
      </w:rPr>
    </w:pPr>
    <w:r w:rsidRPr="0040778B">
      <w:rPr>
        <w:rFonts w:ascii="Times New Roman" w:hAnsi="Times New Roman"/>
        <w:i/>
        <w:sz w:val="24"/>
        <w:szCs w:val="24"/>
      </w:rPr>
      <w:t>Annex</w:t>
    </w:r>
  </w:p>
  <w:p w:rsidR="007D7C02" w:rsidRPr="0040778B" w:rsidRDefault="007D7C02" w:rsidP="0040778B">
    <w:pPr>
      <w:pStyle w:val="Encabezado"/>
      <w:jc w:val="center"/>
      <w:rPr>
        <w:rFonts w:ascii="Times New Roman" w:hAnsi="Times New Roman"/>
        <w:b/>
        <w:caps/>
        <w:sz w:val="24"/>
        <w:szCs w:val="24"/>
      </w:rPr>
    </w:pPr>
    <w:r w:rsidRPr="0040778B">
      <w:rPr>
        <w:rFonts w:ascii="Times New Roman" w:hAnsi="Times New Roman"/>
        <w:b/>
        <w:caps/>
        <w:sz w:val="24"/>
        <w:szCs w:val="24"/>
      </w:rPr>
      <w:t>template for SUBMISSION OF INFORMATION on the STATUS of IMPLEMENTATION of the Framework and Action Plan for Capacity-Building for the Effective Implementation of the Cartagena Protocol on Biosafety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91E"/>
    <w:multiLevelType w:val="hybridMultilevel"/>
    <w:tmpl w:val="E9561B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10C1EB7"/>
    <w:multiLevelType w:val="hybridMultilevel"/>
    <w:tmpl w:val="FD02BC4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Symbo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Symbo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A5C94"/>
    <w:multiLevelType w:val="hybridMultilevel"/>
    <w:tmpl w:val="E8B2A494"/>
    <w:lvl w:ilvl="0" w:tplc="6F322D14">
      <w:start w:val="1"/>
      <w:numFmt w:val="decimal"/>
      <w:lvlText w:val="3.%1"/>
      <w:lvlJc w:val="left"/>
      <w:pPr>
        <w:tabs>
          <w:tab w:val="num" w:pos="454"/>
        </w:tabs>
        <w:ind w:left="454" w:hanging="454"/>
      </w:pPr>
      <w:rPr>
        <w:rFonts w:cs="Wingding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9D23847"/>
    <w:multiLevelType w:val="hybridMultilevel"/>
    <w:tmpl w:val="9AFC2C56"/>
    <w:lvl w:ilvl="0" w:tplc="6CC2C042">
      <w:start w:val="1"/>
      <w:numFmt w:val="decimal"/>
      <w:lvlText w:val="5.%1"/>
      <w:lvlJc w:val="left"/>
      <w:pPr>
        <w:tabs>
          <w:tab w:val="num" w:pos="454"/>
        </w:tabs>
        <w:ind w:left="454" w:hanging="454"/>
      </w:pPr>
      <w:rPr>
        <w:rFonts w:cs="Wingding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A54392C"/>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F0A77B6"/>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4D7CD8"/>
    <w:multiLevelType w:val="hybridMultilevel"/>
    <w:tmpl w:val="71124CE8"/>
    <w:lvl w:ilvl="0" w:tplc="F3B0600E">
      <w:start w:val="1"/>
      <w:numFmt w:val="decimal"/>
      <w:lvlText w:val="6.%1"/>
      <w:lvlJc w:val="left"/>
      <w:pPr>
        <w:tabs>
          <w:tab w:val="num" w:pos="454"/>
        </w:tabs>
        <w:ind w:left="454" w:hanging="454"/>
      </w:pPr>
      <w:rPr>
        <w:rFonts w:cs="Wingding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FC910EF"/>
    <w:multiLevelType w:val="hybridMultilevel"/>
    <w:tmpl w:val="A9D4C46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Symbo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Symbo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1155F1"/>
    <w:multiLevelType w:val="hybridMultilevel"/>
    <w:tmpl w:val="932215C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Symbol"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Symbo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Symbol"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B34994"/>
    <w:multiLevelType w:val="hybridMultilevel"/>
    <w:tmpl w:val="DB4A3A64"/>
    <w:lvl w:ilvl="0" w:tplc="3304A4CE">
      <w:start w:val="1"/>
      <w:numFmt w:val="decimal"/>
      <w:lvlText w:val="7.%1"/>
      <w:lvlJc w:val="left"/>
      <w:pPr>
        <w:tabs>
          <w:tab w:val="num" w:pos="454"/>
        </w:tabs>
        <w:ind w:left="454" w:hanging="454"/>
      </w:pPr>
      <w:rPr>
        <w:rFonts w:cs="Wingding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C1F5DBE"/>
    <w:multiLevelType w:val="hybridMultilevel"/>
    <w:tmpl w:val="0A84C56A"/>
    <w:lvl w:ilvl="0" w:tplc="F490F5B4">
      <w:start w:val="1"/>
      <w:numFmt w:val="decimal"/>
      <w:lvlText w:val="2.%1"/>
      <w:lvlJc w:val="left"/>
      <w:pPr>
        <w:tabs>
          <w:tab w:val="num" w:pos="526"/>
        </w:tabs>
        <w:ind w:left="526" w:hanging="454"/>
      </w:pPr>
      <w:rPr>
        <w:rFonts w:cs="Wingdings" w:hint="default"/>
      </w:rPr>
    </w:lvl>
    <w:lvl w:ilvl="1" w:tplc="179C2CCA">
      <w:start w:val="1"/>
      <w:numFmt w:val="bullet"/>
      <w:lvlText w:val="o"/>
      <w:lvlJc w:val="left"/>
      <w:pPr>
        <w:tabs>
          <w:tab w:val="num" w:pos="1440"/>
        </w:tabs>
        <w:ind w:left="1440" w:hanging="360"/>
      </w:pPr>
      <w:rPr>
        <w:rFonts w:ascii="Courier New" w:hAnsi="Courier New" w:cs="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02E54"/>
    <w:multiLevelType w:val="hybridMultilevel"/>
    <w:tmpl w:val="2BAC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2045"/>
    <w:multiLevelType w:val="hybridMultilevel"/>
    <w:tmpl w:val="82D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6438F"/>
    <w:multiLevelType w:val="hybridMultilevel"/>
    <w:tmpl w:val="F1281DC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6A37DD6"/>
    <w:multiLevelType w:val="hybridMultilevel"/>
    <w:tmpl w:val="9DDEB632"/>
    <w:lvl w:ilvl="0" w:tplc="34B69AA2">
      <w:start w:val="1"/>
      <w:numFmt w:val="decimal"/>
      <w:lvlText w:val="4.%1"/>
      <w:lvlJc w:val="left"/>
      <w:pPr>
        <w:tabs>
          <w:tab w:val="num" w:pos="454"/>
        </w:tabs>
        <w:ind w:left="454" w:hanging="454"/>
      </w:pPr>
      <w:rPr>
        <w:rFonts w:cs="Wingding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5FFE687C"/>
    <w:multiLevelType w:val="hybridMultilevel"/>
    <w:tmpl w:val="69FEBEB2"/>
    <w:lvl w:ilvl="0" w:tplc="358483CE">
      <w:start w:val="1"/>
      <w:numFmt w:val="decimal"/>
      <w:lvlText w:val="%1."/>
      <w:lvlJc w:val="left"/>
      <w:pPr>
        <w:ind w:left="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0A37CD0"/>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1F0446F"/>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2881FD5"/>
    <w:multiLevelType w:val="hybridMultilevel"/>
    <w:tmpl w:val="CD14F23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9" w15:restartNumberingAfterBreak="0">
    <w:nsid w:val="741E79D8"/>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4C276D3"/>
    <w:multiLevelType w:val="multilevel"/>
    <w:tmpl w:val="E05CDD4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5"/>
  </w:num>
  <w:num w:numId="2">
    <w:abstractNumId w:val="13"/>
  </w:num>
  <w:num w:numId="3">
    <w:abstractNumId w:val="11"/>
  </w:num>
  <w:num w:numId="4">
    <w:abstractNumId w:val="1"/>
  </w:num>
  <w:num w:numId="5">
    <w:abstractNumId w:val="16"/>
  </w:num>
  <w:num w:numId="6">
    <w:abstractNumId w:val="10"/>
  </w:num>
  <w:num w:numId="7">
    <w:abstractNumId w:val="18"/>
  </w:num>
  <w:num w:numId="8">
    <w:abstractNumId w:val="19"/>
  </w:num>
  <w:num w:numId="9">
    <w:abstractNumId w:val="2"/>
  </w:num>
  <w:num w:numId="10">
    <w:abstractNumId w:val="20"/>
  </w:num>
  <w:num w:numId="11">
    <w:abstractNumId w:val="14"/>
  </w:num>
  <w:num w:numId="12">
    <w:abstractNumId w:val="7"/>
  </w:num>
  <w:num w:numId="13">
    <w:abstractNumId w:val="17"/>
  </w:num>
  <w:num w:numId="14">
    <w:abstractNumId w:val="3"/>
  </w:num>
  <w:num w:numId="15">
    <w:abstractNumId w:val="5"/>
  </w:num>
  <w:num w:numId="16">
    <w:abstractNumId w:val="6"/>
  </w:num>
  <w:num w:numId="17">
    <w:abstractNumId w:val="8"/>
  </w:num>
  <w:num w:numId="18">
    <w:abstractNumId w:val="4"/>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C0"/>
    <w:rsid w:val="00016B40"/>
    <w:rsid w:val="0002278F"/>
    <w:rsid w:val="00092A0F"/>
    <w:rsid w:val="000965F8"/>
    <w:rsid w:val="000B6EDD"/>
    <w:rsid w:val="000C5F7A"/>
    <w:rsid w:val="000D5017"/>
    <w:rsid w:val="000D5BEB"/>
    <w:rsid w:val="00121236"/>
    <w:rsid w:val="001310CD"/>
    <w:rsid w:val="00165AEE"/>
    <w:rsid w:val="001706CC"/>
    <w:rsid w:val="00177300"/>
    <w:rsid w:val="001845EC"/>
    <w:rsid w:val="00192986"/>
    <w:rsid w:val="00197F8D"/>
    <w:rsid w:val="001A3488"/>
    <w:rsid w:val="001B3327"/>
    <w:rsid w:val="001C2A70"/>
    <w:rsid w:val="001D0E8C"/>
    <w:rsid w:val="001D6AE4"/>
    <w:rsid w:val="001F16D7"/>
    <w:rsid w:val="001F7722"/>
    <w:rsid w:val="00220C2F"/>
    <w:rsid w:val="002262E5"/>
    <w:rsid w:val="00292613"/>
    <w:rsid w:val="002928C6"/>
    <w:rsid w:val="002A34B3"/>
    <w:rsid w:val="002A4372"/>
    <w:rsid w:val="002C2CAF"/>
    <w:rsid w:val="002C4D43"/>
    <w:rsid w:val="002C5BB9"/>
    <w:rsid w:val="002D314E"/>
    <w:rsid w:val="002F2EE5"/>
    <w:rsid w:val="00310086"/>
    <w:rsid w:val="00316B82"/>
    <w:rsid w:val="00333B33"/>
    <w:rsid w:val="00343AFB"/>
    <w:rsid w:val="0036261D"/>
    <w:rsid w:val="003B330C"/>
    <w:rsid w:val="003F73F1"/>
    <w:rsid w:val="0040778B"/>
    <w:rsid w:val="00435CDB"/>
    <w:rsid w:val="00455273"/>
    <w:rsid w:val="004920B4"/>
    <w:rsid w:val="004B660E"/>
    <w:rsid w:val="004D1D8D"/>
    <w:rsid w:val="004F029C"/>
    <w:rsid w:val="004F641A"/>
    <w:rsid w:val="005222D4"/>
    <w:rsid w:val="00557365"/>
    <w:rsid w:val="00582544"/>
    <w:rsid w:val="005975B7"/>
    <w:rsid w:val="005A61F7"/>
    <w:rsid w:val="005C3EAE"/>
    <w:rsid w:val="005C6E35"/>
    <w:rsid w:val="005E433E"/>
    <w:rsid w:val="005E5586"/>
    <w:rsid w:val="0060169C"/>
    <w:rsid w:val="006163DE"/>
    <w:rsid w:val="006247BB"/>
    <w:rsid w:val="00647378"/>
    <w:rsid w:val="00650F8A"/>
    <w:rsid w:val="00660A3F"/>
    <w:rsid w:val="0066113B"/>
    <w:rsid w:val="00671526"/>
    <w:rsid w:val="0068265E"/>
    <w:rsid w:val="006A4EB2"/>
    <w:rsid w:val="006A618F"/>
    <w:rsid w:val="006C67C5"/>
    <w:rsid w:val="006C7986"/>
    <w:rsid w:val="00704F60"/>
    <w:rsid w:val="00721349"/>
    <w:rsid w:val="0076403B"/>
    <w:rsid w:val="007A6729"/>
    <w:rsid w:val="007C1A05"/>
    <w:rsid w:val="007C3405"/>
    <w:rsid w:val="007C6F89"/>
    <w:rsid w:val="007D7C02"/>
    <w:rsid w:val="007E2EA4"/>
    <w:rsid w:val="007E654B"/>
    <w:rsid w:val="00805751"/>
    <w:rsid w:val="0084766F"/>
    <w:rsid w:val="008641CB"/>
    <w:rsid w:val="00865407"/>
    <w:rsid w:val="00877189"/>
    <w:rsid w:val="00881752"/>
    <w:rsid w:val="00883CD1"/>
    <w:rsid w:val="00885263"/>
    <w:rsid w:val="00886F87"/>
    <w:rsid w:val="00890A6C"/>
    <w:rsid w:val="008B158C"/>
    <w:rsid w:val="008C0784"/>
    <w:rsid w:val="008E128F"/>
    <w:rsid w:val="008E5ECD"/>
    <w:rsid w:val="008F13DB"/>
    <w:rsid w:val="00935A6B"/>
    <w:rsid w:val="009438CF"/>
    <w:rsid w:val="009616E6"/>
    <w:rsid w:val="00966CE3"/>
    <w:rsid w:val="00971BE4"/>
    <w:rsid w:val="00977FC0"/>
    <w:rsid w:val="009867AC"/>
    <w:rsid w:val="009A283B"/>
    <w:rsid w:val="009E1112"/>
    <w:rsid w:val="009F2430"/>
    <w:rsid w:val="00A00D07"/>
    <w:rsid w:val="00A15DE8"/>
    <w:rsid w:val="00A24862"/>
    <w:rsid w:val="00A276F1"/>
    <w:rsid w:val="00A3234F"/>
    <w:rsid w:val="00A44147"/>
    <w:rsid w:val="00A45412"/>
    <w:rsid w:val="00A53EC8"/>
    <w:rsid w:val="00A66181"/>
    <w:rsid w:val="00A66E56"/>
    <w:rsid w:val="00A918B4"/>
    <w:rsid w:val="00AC2284"/>
    <w:rsid w:val="00AC57EC"/>
    <w:rsid w:val="00B067B2"/>
    <w:rsid w:val="00B17694"/>
    <w:rsid w:val="00B2695E"/>
    <w:rsid w:val="00BA45FA"/>
    <w:rsid w:val="00BA6FC0"/>
    <w:rsid w:val="00BA7CBE"/>
    <w:rsid w:val="00BB718C"/>
    <w:rsid w:val="00C06D78"/>
    <w:rsid w:val="00C60C6B"/>
    <w:rsid w:val="00C7039C"/>
    <w:rsid w:val="00C725E3"/>
    <w:rsid w:val="00C72DF5"/>
    <w:rsid w:val="00C932F7"/>
    <w:rsid w:val="00C93329"/>
    <w:rsid w:val="00C967C6"/>
    <w:rsid w:val="00C97221"/>
    <w:rsid w:val="00CB690A"/>
    <w:rsid w:val="00CD2A08"/>
    <w:rsid w:val="00CE224A"/>
    <w:rsid w:val="00CE4258"/>
    <w:rsid w:val="00CF2F91"/>
    <w:rsid w:val="00D31B44"/>
    <w:rsid w:val="00D375C6"/>
    <w:rsid w:val="00D66090"/>
    <w:rsid w:val="00D84584"/>
    <w:rsid w:val="00D860E0"/>
    <w:rsid w:val="00D961F6"/>
    <w:rsid w:val="00DA1654"/>
    <w:rsid w:val="00DE198A"/>
    <w:rsid w:val="00E04584"/>
    <w:rsid w:val="00E468D7"/>
    <w:rsid w:val="00E50EC9"/>
    <w:rsid w:val="00E55044"/>
    <w:rsid w:val="00E73F76"/>
    <w:rsid w:val="00EB7150"/>
    <w:rsid w:val="00EC292E"/>
    <w:rsid w:val="00ED4EDA"/>
    <w:rsid w:val="00EF2602"/>
    <w:rsid w:val="00F03A12"/>
    <w:rsid w:val="00F27A91"/>
    <w:rsid w:val="00F56AD4"/>
    <w:rsid w:val="00F87351"/>
    <w:rsid w:val="00F879BD"/>
    <w:rsid w:val="00FB75FF"/>
    <w:rsid w:val="00FF58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826673-BA17-4DA3-9E2B-7C0AAD85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EB"/>
    <w:pPr>
      <w:spacing w:after="200" w:line="276" w:lineRule="auto"/>
    </w:pPr>
    <w:rPr>
      <w:sz w:val="22"/>
      <w:szCs w:val="22"/>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77FC0"/>
    <w:rPr>
      <w:color w:val="0000FF"/>
      <w:u w:val="single"/>
    </w:rPr>
  </w:style>
  <w:style w:type="table" w:styleId="Tablaconcuadrcula">
    <w:name w:val="Table Grid"/>
    <w:basedOn w:val="Tablanormal"/>
    <w:uiPriority w:val="59"/>
    <w:rsid w:val="00CE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CE4258"/>
    <w:pPr>
      <w:tabs>
        <w:tab w:val="center" w:pos="4680"/>
        <w:tab w:val="right" w:pos="9360"/>
      </w:tabs>
    </w:pPr>
  </w:style>
  <w:style w:type="character" w:customStyle="1" w:styleId="EncabezadoCar">
    <w:name w:val="Encabezado Car"/>
    <w:link w:val="Encabezado"/>
    <w:rsid w:val="00CE4258"/>
    <w:rPr>
      <w:sz w:val="22"/>
      <w:szCs w:val="22"/>
    </w:rPr>
  </w:style>
  <w:style w:type="paragraph" w:styleId="Piedepgina">
    <w:name w:val="footer"/>
    <w:basedOn w:val="Normal"/>
    <w:link w:val="PiedepginaCar"/>
    <w:uiPriority w:val="99"/>
    <w:unhideWhenUsed/>
    <w:rsid w:val="00CE4258"/>
    <w:pPr>
      <w:tabs>
        <w:tab w:val="center" w:pos="4680"/>
        <w:tab w:val="right" w:pos="9360"/>
      </w:tabs>
    </w:pPr>
  </w:style>
  <w:style w:type="character" w:customStyle="1" w:styleId="PiedepginaCar">
    <w:name w:val="Pie de página Car"/>
    <w:link w:val="Piedepgina"/>
    <w:uiPriority w:val="99"/>
    <w:rsid w:val="00CE4258"/>
    <w:rPr>
      <w:sz w:val="22"/>
      <w:szCs w:val="22"/>
    </w:rPr>
  </w:style>
  <w:style w:type="paragraph" w:styleId="Textodeglobo">
    <w:name w:val="Balloon Text"/>
    <w:basedOn w:val="Normal"/>
    <w:link w:val="TextodegloboCar"/>
    <w:uiPriority w:val="99"/>
    <w:semiHidden/>
    <w:unhideWhenUsed/>
    <w:rsid w:val="00A4414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44147"/>
    <w:rPr>
      <w:rFonts w:ascii="Tahoma" w:hAnsi="Tahoma" w:cs="Tahoma"/>
      <w:sz w:val="16"/>
      <w:szCs w:val="16"/>
      <w:lang w:val="en-US" w:eastAsia="zh-CN"/>
    </w:rPr>
  </w:style>
  <w:style w:type="character" w:styleId="Refdecomentario">
    <w:name w:val="annotation reference"/>
    <w:uiPriority w:val="99"/>
    <w:semiHidden/>
    <w:unhideWhenUsed/>
    <w:rsid w:val="00886F87"/>
    <w:rPr>
      <w:sz w:val="16"/>
      <w:szCs w:val="16"/>
    </w:rPr>
  </w:style>
  <w:style w:type="paragraph" w:styleId="Textocomentario">
    <w:name w:val="annotation text"/>
    <w:basedOn w:val="Normal"/>
    <w:link w:val="TextocomentarioCar"/>
    <w:uiPriority w:val="99"/>
    <w:semiHidden/>
    <w:unhideWhenUsed/>
    <w:rsid w:val="00886F87"/>
    <w:rPr>
      <w:sz w:val="20"/>
      <w:szCs w:val="20"/>
    </w:rPr>
  </w:style>
  <w:style w:type="character" w:customStyle="1" w:styleId="TextocomentarioCar">
    <w:name w:val="Texto comentario Car"/>
    <w:link w:val="Textocomentario"/>
    <w:uiPriority w:val="99"/>
    <w:semiHidden/>
    <w:rsid w:val="00886F87"/>
    <w:rPr>
      <w:lang w:val="en-US" w:eastAsia="zh-CN"/>
    </w:rPr>
  </w:style>
  <w:style w:type="paragraph" w:styleId="Asuntodelcomentario">
    <w:name w:val="annotation subject"/>
    <w:basedOn w:val="Textocomentario"/>
    <w:next w:val="Textocomentario"/>
    <w:link w:val="AsuntodelcomentarioCar"/>
    <w:uiPriority w:val="99"/>
    <w:semiHidden/>
    <w:unhideWhenUsed/>
    <w:rsid w:val="00886F87"/>
    <w:rPr>
      <w:b/>
      <w:bCs/>
    </w:rPr>
  </w:style>
  <w:style w:type="character" w:customStyle="1" w:styleId="AsuntodelcomentarioCar">
    <w:name w:val="Asunto del comentario Car"/>
    <w:link w:val="Asuntodelcomentario"/>
    <w:uiPriority w:val="99"/>
    <w:semiHidden/>
    <w:rsid w:val="00886F87"/>
    <w:rPr>
      <w:b/>
      <w:bCs/>
      <w:lang w:val="en-US" w:eastAsia="zh-CN"/>
    </w:rPr>
  </w:style>
  <w:style w:type="paragraph" w:styleId="Textonotapie">
    <w:name w:val="footnote text"/>
    <w:basedOn w:val="Normal"/>
    <w:link w:val="TextonotapieCar"/>
    <w:uiPriority w:val="99"/>
    <w:semiHidden/>
    <w:unhideWhenUsed/>
    <w:rsid w:val="007C3405"/>
    <w:rPr>
      <w:sz w:val="20"/>
      <w:szCs w:val="20"/>
    </w:rPr>
  </w:style>
  <w:style w:type="character" w:customStyle="1" w:styleId="TextonotapieCar">
    <w:name w:val="Texto nota pie Car"/>
    <w:link w:val="Textonotapie"/>
    <w:uiPriority w:val="99"/>
    <w:semiHidden/>
    <w:rsid w:val="007C3405"/>
    <w:rPr>
      <w:lang w:eastAsia="zh-CN"/>
    </w:rPr>
  </w:style>
  <w:style w:type="character" w:styleId="Refdenotaalpie">
    <w:name w:val="footnote reference"/>
    <w:uiPriority w:val="99"/>
    <w:semiHidden/>
    <w:unhideWhenUsed/>
    <w:rsid w:val="007C3405"/>
    <w:rPr>
      <w:vertAlign w:val="superscript"/>
    </w:rPr>
  </w:style>
  <w:style w:type="character" w:styleId="Hipervnculovisitado">
    <w:name w:val="FollowedHyperlink"/>
    <w:uiPriority w:val="99"/>
    <w:semiHidden/>
    <w:unhideWhenUsed/>
    <w:rsid w:val="007C1A05"/>
    <w:rPr>
      <w:color w:val="800080"/>
      <w:u w:val="single"/>
    </w:rPr>
  </w:style>
  <w:style w:type="paragraph" w:styleId="Revisin">
    <w:name w:val="Revision"/>
    <w:hidden/>
    <w:uiPriority w:val="99"/>
    <w:semiHidden/>
    <w:rsid w:val="002A4372"/>
    <w:rPr>
      <w:sz w:val="22"/>
      <w:szCs w:val="22"/>
      <w:lang w:val="en-US" w:eastAsia="zh-CN"/>
    </w:rPr>
  </w:style>
  <w:style w:type="paragraph" w:styleId="Prrafodelista">
    <w:name w:val="List Paragraph"/>
    <w:basedOn w:val="Normal"/>
    <w:uiPriority w:val="34"/>
    <w:qFormat/>
    <w:rsid w:val="00A276F1"/>
    <w:pPr>
      <w:autoSpaceDE w:val="0"/>
      <w:autoSpaceDN w:val="0"/>
      <w:spacing w:after="0" w:line="240" w:lineRule="auto"/>
      <w:ind w:left="720"/>
      <w:contextualSpacing/>
    </w:pPr>
    <w:rPr>
      <w:rFonts w:ascii="Times New Roman" w:eastAsia="Times New Roman" w:hAnsi="Times New Roman"/>
      <w:sz w:val="20"/>
      <w:szCs w:val="20"/>
      <w:lang w:val="es-ES" w:eastAsia="es-ES"/>
    </w:rPr>
  </w:style>
  <w:style w:type="paragraph" w:styleId="NormalWeb">
    <w:name w:val="Normal (Web)"/>
    <w:basedOn w:val="Normal"/>
    <w:uiPriority w:val="99"/>
    <w:semiHidden/>
    <w:unhideWhenUsed/>
    <w:rsid w:val="008E5ECD"/>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5054">
      <w:bodyDiv w:val="1"/>
      <w:marLeft w:val="0"/>
      <w:marRight w:val="0"/>
      <w:marTop w:val="0"/>
      <w:marBottom w:val="0"/>
      <w:divBdr>
        <w:top w:val="none" w:sz="0" w:space="0" w:color="auto"/>
        <w:left w:val="none" w:sz="0" w:space="0" w:color="auto"/>
        <w:bottom w:val="none" w:sz="0" w:space="0" w:color="auto"/>
        <w:right w:val="none" w:sz="0" w:space="0" w:color="auto"/>
      </w:divBdr>
    </w:div>
    <w:div w:id="607153255">
      <w:bodyDiv w:val="1"/>
      <w:marLeft w:val="0"/>
      <w:marRight w:val="0"/>
      <w:marTop w:val="0"/>
      <w:marBottom w:val="0"/>
      <w:divBdr>
        <w:top w:val="none" w:sz="0" w:space="0" w:color="auto"/>
        <w:left w:val="none" w:sz="0" w:space="0" w:color="auto"/>
        <w:bottom w:val="none" w:sz="0" w:space="0" w:color="auto"/>
        <w:right w:val="none" w:sz="0" w:space="0" w:color="auto"/>
      </w:divBdr>
      <w:divsChild>
        <w:div w:id="251201310">
          <w:marLeft w:val="0"/>
          <w:marRight w:val="0"/>
          <w:marTop w:val="0"/>
          <w:marBottom w:val="0"/>
          <w:divBdr>
            <w:top w:val="none" w:sz="0" w:space="0" w:color="auto"/>
            <w:left w:val="none" w:sz="0" w:space="0" w:color="auto"/>
            <w:bottom w:val="none" w:sz="0" w:space="0" w:color="auto"/>
            <w:right w:val="none" w:sz="0" w:space="0" w:color="auto"/>
          </w:divBdr>
        </w:div>
        <w:div w:id="314143070">
          <w:marLeft w:val="0"/>
          <w:marRight w:val="0"/>
          <w:marTop w:val="0"/>
          <w:marBottom w:val="0"/>
          <w:divBdr>
            <w:top w:val="none" w:sz="0" w:space="0" w:color="auto"/>
            <w:left w:val="none" w:sz="0" w:space="0" w:color="auto"/>
            <w:bottom w:val="none" w:sz="0" w:space="0" w:color="auto"/>
            <w:right w:val="none" w:sz="0" w:space="0" w:color="auto"/>
          </w:divBdr>
        </w:div>
        <w:div w:id="376978243">
          <w:marLeft w:val="0"/>
          <w:marRight w:val="0"/>
          <w:marTop w:val="0"/>
          <w:marBottom w:val="0"/>
          <w:divBdr>
            <w:top w:val="none" w:sz="0" w:space="0" w:color="auto"/>
            <w:left w:val="none" w:sz="0" w:space="0" w:color="auto"/>
            <w:bottom w:val="none" w:sz="0" w:space="0" w:color="auto"/>
            <w:right w:val="none" w:sz="0" w:space="0" w:color="auto"/>
          </w:divBdr>
        </w:div>
        <w:div w:id="391348119">
          <w:marLeft w:val="0"/>
          <w:marRight w:val="0"/>
          <w:marTop w:val="0"/>
          <w:marBottom w:val="0"/>
          <w:divBdr>
            <w:top w:val="none" w:sz="0" w:space="0" w:color="auto"/>
            <w:left w:val="none" w:sz="0" w:space="0" w:color="auto"/>
            <w:bottom w:val="none" w:sz="0" w:space="0" w:color="auto"/>
            <w:right w:val="none" w:sz="0" w:space="0" w:color="auto"/>
          </w:divBdr>
        </w:div>
        <w:div w:id="591354947">
          <w:marLeft w:val="0"/>
          <w:marRight w:val="0"/>
          <w:marTop w:val="0"/>
          <w:marBottom w:val="0"/>
          <w:divBdr>
            <w:top w:val="none" w:sz="0" w:space="0" w:color="auto"/>
            <w:left w:val="none" w:sz="0" w:space="0" w:color="auto"/>
            <w:bottom w:val="none" w:sz="0" w:space="0" w:color="auto"/>
            <w:right w:val="none" w:sz="0" w:space="0" w:color="auto"/>
          </w:divBdr>
        </w:div>
        <w:div w:id="1247112730">
          <w:marLeft w:val="0"/>
          <w:marRight w:val="0"/>
          <w:marTop w:val="0"/>
          <w:marBottom w:val="0"/>
          <w:divBdr>
            <w:top w:val="none" w:sz="0" w:space="0" w:color="auto"/>
            <w:left w:val="none" w:sz="0" w:space="0" w:color="auto"/>
            <w:bottom w:val="none" w:sz="0" w:space="0" w:color="auto"/>
            <w:right w:val="none" w:sz="0" w:space="0" w:color="auto"/>
          </w:divBdr>
        </w:div>
        <w:div w:id="1255550309">
          <w:marLeft w:val="0"/>
          <w:marRight w:val="0"/>
          <w:marTop w:val="0"/>
          <w:marBottom w:val="0"/>
          <w:divBdr>
            <w:top w:val="none" w:sz="0" w:space="0" w:color="auto"/>
            <w:left w:val="none" w:sz="0" w:space="0" w:color="auto"/>
            <w:bottom w:val="none" w:sz="0" w:space="0" w:color="auto"/>
            <w:right w:val="none" w:sz="0" w:space="0" w:color="auto"/>
          </w:divBdr>
        </w:div>
        <w:div w:id="1286813148">
          <w:marLeft w:val="0"/>
          <w:marRight w:val="0"/>
          <w:marTop w:val="0"/>
          <w:marBottom w:val="0"/>
          <w:divBdr>
            <w:top w:val="none" w:sz="0" w:space="0" w:color="auto"/>
            <w:left w:val="none" w:sz="0" w:space="0" w:color="auto"/>
            <w:bottom w:val="none" w:sz="0" w:space="0" w:color="auto"/>
            <w:right w:val="none" w:sz="0" w:space="0" w:color="auto"/>
          </w:divBdr>
        </w:div>
        <w:div w:id="1488279303">
          <w:marLeft w:val="0"/>
          <w:marRight w:val="0"/>
          <w:marTop w:val="0"/>
          <w:marBottom w:val="0"/>
          <w:divBdr>
            <w:top w:val="none" w:sz="0" w:space="0" w:color="auto"/>
            <w:left w:val="none" w:sz="0" w:space="0" w:color="auto"/>
            <w:bottom w:val="none" w:sz="0" w:space="0" w:color="auto"/>
            <w:right w:val="none" w:sz="0" w:space="0" w:color="auto"/>
          </w:divBdr>
        </w:div>
        <w:div w:id="1767191204">
          <w:marLeft w:val="0"/>
          <w:marRight w:val="0"/>
          <w:marTop w:val="0"/>
          <w:marBottom w:val="0"/>
          <w:divBdr>
            <w:top w:val="none" w:sz="0" w:space="0" w:color="auto"/>
            <w:left w:val="none" w:sz="0" w:space="0" w:color="auto"/>
            <w:bottom w:val="none" w:sz="0" w:space="0" w:color="auto"/>
            <w:right w:val="none" w:sz="0" w:space="0" w:color="auto"/>
          </w:divBdr>
        </w:div>
        <w:div w:id="1951890214">
          <w:marLeft w:val="0"/>
          <w:marRight w:val="0"/>
          <w:marTop w:val="0"/>
          <w:marBottom w:val="0"/>
          <w:divBdr>
            <w:top w:val="none" w:sz="0" w:space="0" w:color="auto"/>
            <w:left w:val="none" w:sz="0" w:space="0" w:color="auto"/>
            <w:bottom w:val="none" w:sz="0" w:space="0" w:color="auto"/>
            <w:right w:val="none" w:sz="0" w:space="0" w:color="auto"/>
          </w:divBdr>
        </w:div>
      </w:divsChild>
    </w:div>
    <w:div w:id="896472947">
      <w:bodyDiv w:val="1"/>
      <w:marLeft w:val="0"/>
      <w:marRight w:val="0"/>
      <w:marTop w:val="0"/>
      <w:marBottom w:val="0"/>
      <w:divBdr>
        <w:top w:val="none" w:sz="0" w:space="0" w:color="auto"/>
        <w:left w:val="none" w:sz="0" w:space="0" w:color="auto"/>
        <w:bottom w:val="none" w:sz="0" w:space="0" w:color="auto"/>
        <w:right w:val="none" w:sz="0" w:space="0" w:color="auto"/>
      </w:divBdr>
      <w:divsChild>
        <w:div w:id="1497959109">
          <w:marLeft w:val="0"/>
          <w:marRight w:val="0"/>
          <w:marTop w:val="0"/>
          <w:marBottom w:val="0"/>
          <w:divBdr>
            <w:top w:val="none" w:sz="0" w:space="0" w:color="auto"/>
            <w:left w:val="none" w:sz="0" w:space="0" w:color="auto"/>
            <w:bottom w:val="none" w:sz="0" w:space="0" w:color="auto"/>
            <w:right w:val="none" w:sz="0" w:space="0" w:color="auto"/>
          </w:divBdr>
          <w:divsChild>
            <w:div w:id="21447181">
              <w:marLeft w:val="0"/>
              <w:marRight w:val="0"/>
              <w:marTop w:val="0"/>
              <w:marBottom w:val="0"/>
              <w:divBdr>
                <w:top w:val="none" w:sz="0" w:space="0" w:color="auto"/>
                <w:left w:val="none" w:sz="0" w:space="0" w:color="auto"/>
                <w:bottom w:val="none" w:sz="0" w:space="0" w:color="auto"/>
                <w:right w:val="none" w:sz="0" w:space="0" w:color="auto"/>
              </w:divBdr>
            </w:div>
            <w:div w:id="98529159">
              <w:marLeft w:val="0"/>
              <w:marRight w:val="0"/>
              <w:marTop w:val="0"/>
              <w:marBottom w:val="0"/>
              <w:divBdr>
                <w:top w:val="none" w:sz="0" w:space="0" w:color="auto"/>
                <w:left w:val="none" w:sz="0" w:space="0" w:color="auto"/>
                <w:bottom w:val="none" w:sz="0" w:space="0" w:color="auto"/>
                <w:right w:val="none" w:sz="0" w:space="0" w:color="auto"/>
              </w:divBdr>
            </w:div>
            <w:div w:id="177039883">
              <w:marLeft w:val="0"/>
              <w:marRight w:val="0"/>
              <w:marTop w:val="0"/>
              <w:marBottom w:val="0"/>
              <w:divBdr>
                <w:top w:val="none" w:sz="0" w:space="0" w:color="auto"/>
                <w:left w:val="none" w:sz="0" w:space="0" w:color="auto"/>
                <w:bottom w:val="none" w:sz="0" w:space="0" w:color="auto"/>
                <w:right w:val="none" w:sz="0" w:space="0" w:color="auto"/>
              </w:divBdr>
            </w:div>
            <w:div w:id="400103535">
              <w:marLeft w:val="0"/>
              <w:marRight w:val="0"/>
              <w:marTop w:val="0"/>
              <w:marBottom w:val="0"/>
              <w:divBdr>
                <w:top w:val="none" w:sz="0" w:space="0" w:color="auto"/>
                <w:left w:val="none" w:sz="0" w:space="0" w:color="auto"/>
                <w:bottom w:val="none" w:sz="0" w:space="0" w:color="auto"/>
                <w:right w:val="none" w:sz="0" w:space="0" w:color="auto"/>
              </w:divBdr>
            </w:div>
            <w:div w:id="459956253">
              <w:marLeft w:val="0"/>
              <w:marRight w:val="0"/>
              <w:marTop w:val="0"/>
              <w:marBottom w:val="0"/>
              <w:divBdr>
                <w:top w:val="none" w:sz="0" w:space="0" w:color="auto"/>
                <w:left w:val="none" w:sz="0" w:space="0" w:color="auto"/>
                <w:bottom w:val="none" w:sz="0" w:space="0" w:color="auto"/>
                <w:right w:val="none" w:sz="0" w:space="0" w:color="auto"/>
              </w:divBdr>
            </w:div>
            <w:div w:id="600531589">
              <w:marLeft w:val="0"/>
              <w:marRight w:val="0"/>
              <w:marTop w:val="0"/>
              <w:marBottom w:val="0"/>
              <w:divBdr>
                <w:top w:val="none" w:sz="0" w:space="0" w:color="auto"/>
                <w:left w:val="none" w:sz="0" w:space="0" w:color="auto"/>
                <w:bottom w:val="none" w:sz="0" w:space="0" w:color="auto"/>
                <w:right w:val="none" w:sz="0" w:space="0" w:color="auto"/>
              </w:divBdr>
            </w:div>
            <w:div w:id="679620732">
              <w:marLeft w:val="0"/>
              <w:marRight w:val="0"/>
              <w:marTop w:val="0"/>
              <w:marBottom w:val="0"/>
              <w:divBdr>
                <w:top w:val="none" w:sz="0" w:space="0" w:color="auto"/>
                <w:left w:val="none" w:sz="0" w:space="0" w:color="auto"/>
                <w:bottom w:val="none" w:sz="0" w:space="0" w:color="auto"/>
                <w:right w:val="none" w:sz="0" w:space="0" w:color="auto"/>
              </w:divBdr>
            </w:div>
            <w:div w:id="751199292">
              <w:marLeft w:val="0"/>
              <w:marRight w:val="0"/>
              <w:marTop w:val="0"/>
              <w:marBottom w:val="0"/>
              <w:divBdr>
                <w:top w:val="none" w:sz="0" w:space="0" w:color="auto"/>
                <w:left w:val="none" w:sz="0" w:space="0" w:color="auto"/>
                <w:bottom w:val="none" w:sz="0" w:space="0" w:color="auto"/>
                <w:right w:val="none" w:sz="0" w:space="0" w:color="auto"/>
              </w:divBdr>
            </w:div>
            <w:div w:id="767847485">
              <w:marLeft w:val="0"/>
              <w:marRight w:val="0"/>
              <w:marTop w:val="0"/>
              <w:marBottom w:val="0"/>
              <w:divBdr>
                <w:top w:val="none" w:sz="0" w:space="0" w:color="auto"/>
                <w:left w:val="none" w:sz="0" w:space="0" w:color="auto"/>
                <w:bottom w:val="none" w:sz="0" w:space="0" w:color="auto"/>
                <w:right w:val="none" w:sz="0" w:space="0" w:color="auto"/>
              </w:divBdr>
            </w:div>
            <w:div w:id="801189903">
              <w:marLeft w:val="0"/>
              <w:marRight w:val="0"/>
              <w:marTop w:val="0"/>
              <w:marBottom w:val="0"/>
              <w:divBdr>
                <w:top w:val="none" w:sz="0" w:space="0" w:color="auto"/>
                <w:left w:val="none" w:sz="0" w:space="0" w:color="auto"/>
                <w:bottom w:val="none" w:sz="0" w:space="0" w:color="auto"/>
                <w:right w:val="none" w:sz="0" w:space="0" w:color="auto"/>
              </w:divBdr>
            </w:div>
            <w:div w:id="925000313">
              <w:marLeft w:val="0"/>
              <w:marRight w:val="0"/>
              <w:marTop w:val="0"/>
              <w:marBottom w:val="0"/>
              <w:divBdr>
                <w:top w:val="none" w:sz="0" w:space="0" w:color="auto"/>
                <w:left w:val="none" w:sz="0" w:space="0" w:color="auto"/>
                <w:bottom w:val="none" w:sz="0" w:space="0" w:color="auto"/>
                <w:right w:val="none" w:sz="0" w:space="0" w:color="auto"/>
              </w:divBdr>
            </w:div>
            <w:div w:id="990599226">
              <w:marLeft w:val="0"/>
              <w:marRight w:val="0"/>
              <w:marTop w:val="0"/>
              <w:marBottom w:val="0"/>
              <w:divBdr>
                <w:top w:val="none" w:sz="0" w:space="0" w:color="auto"/>
                <w:left w:val="none" w:sz="0" w:space="0" w:color="auto"/>
                <w:bottom w:val="none" w:sz="0" w:space="0" w:color="auto"/>
                <w:right w:val="none" w:sz="0" w:space="0" w:color="auto"/>
              </w:divBdr>
            </w:div>
            <w:div w:id="1010372431">
              <w:marLeft w:val="0"/>
              <w:marRight w:val="0"/>
              <w:marTop w:val="0"/>
              <w:marBottom w:val="0"/>
              <w:divBdr>
                <w:top w:val="none" w:sz="0" w:space="0" w:color="auto"/>
                <w:left w:val="none" w:sz="0" w:space="0" w:color="auto"/>
                <w:bottom w:val="none" w:sz="0" w:space="0" w:color="auto"/>
                <w:right w:val="none" w:sz="0" w:space="0" w:color="auto"/>
              </w:divBdr>
            </w:div>
            <w:div w:id="1020396676">
              <w:marLeft w:val="0"/>
              <w:marRight w:val="0"/>
              <w:marTop w:val="0"/>
              <w:marBottom w:val="0"/>
              <w:divBdr>
                <w:top w:val="none" w:sz="0" w:space="0" w:color="auto"/>
                <w:left w:val="none" w:sz="0" w:space="0" w:color="auto"/>
                <w:bottom w:val="none" w:sz="0" w:space="0" w:color="auto"/>
                <w:right w:val="none" w:sz="0" w:space="0" w:color="auto"/>
              </w:divBdr>
            </w:div>
            <w:div w:id="1023937072">
              <w:marLeft w:val="0"/>
              <w:marRight w:val="0"/>
              <w:marTop w:val="0"/>
              <w:marBottom w:val="0"/>
              <w:divBdr>
                <w:top w:val="none" w:sz="0" w:space="0" w:color="auto"/>
                <w:left w:val="none" w:sz="0" w:space="0" w:color="auto"/>
                <w:bottom w:val="none" w:sz="0" w:space="0" w:color="auto"/>
                <w:right w:val="none" w:sz="0" w:space="0" w:color="auto"/>
              </w:divBdr>
            </w:div>
            <w:div w:id="1050764182">
              <w:marLeft w:val="0"/>
              <w:marRight w:val="0"/>
              <w:marTop w:val="0"/>
              <w:marBottom w:val="0"/>
              <w:divBdr>
                <w:top w:val="none" w:sz="0" w:space="0" w:color="auto"/>
                <w:left w:val="none" w:sz="0" w:space="0" w:color="auto"/>
                <w:bottom w:val="none" w:sz="0" w:space="0" w:color="auto"/>
                <w:right w:val="none" w:sz="0" w:space="0" w:color="auto"/>
              </w:divBdr>
            </w:div>
            <w:div w:id="1099446846">
              <w:marLeft w:val="0"/>
              <w:marRight w:val="0"/>
              <w:marTop w:val="0"/>
              <w:marBottom w:val="0"/>
              <w:divBdr>
                <w:top w:val="none" w:sz="0" w:space="0" w:color="auto"/>
                <w:left w:val="none" w:sz="0" w:space="0" w:color="auto"/>
                <w:bottom w:val="none" w:sz="0" w:space="0" w:color="auto"/>
                <w:right w:val="none" w:sz="0" w:space="0" w:color="auto"/>
              </w:divBdr>
            </w:div>
            <w:div w:id="1129082109">
              <w:marLeft w:val="0"/>
              <w:marRight w:val="0"/>
              <w:marTop w:val="0"/>
              <w:marBottom w:val="0"/>
              <w:divBdr>
                <w:top w:val="none" w:sz="0" w:space="0" w:color="auto"/>
                <w:left w:val="none" w:sz="0" w:space="0" w:color="auto"/>
                <w:bottom w:val="none" w:sz="0" w:space="0" w:color="auto"/>
                <w:right w:val="none" w:sz="0" w:space="0" w:color="auto"/>
              </w:divBdr>
            </w:div>
            <w:div w:id="1148980192">
              <w:marLeft w:val="0"/>
              <w:marRight w:val="0"/>
              <w:marTop w:val="0"/>
              <w:marBottom w:val="0"/>
              <w:divBdr>
                <w:top w:val="none" w:sz="0" w:space="0" w:color="auto"/>
                <w:left w:val="none" w:sz="0" w:space="0" w:color="auto"/>
                <w:bottom w:val="none" w:sz="0" w:space="0" w:color="auto"/>
                <w:right w:val="none" w:sz="0" w:space="0" w:color="auto"/>
              </w:divBdr>
            </w:div>
            <w:div w:id="1149050743">
              <w:marLeft w:val="0"/>
              <w:marRight w:val="0"/>
              <w:marTop w:val="0"/>
              <w:marBottom w:val="0"/>
              <w:divBdr>
                <w:top w:val="none" w:sz="0" w:space="0" w:color="auto"/>
                <w:left w:val="none" w:sz="0" w:space="0" w:color="auto"/>
                <w:bottom w:val="none" w:sz="0" w:space="0" w:color="auto"/>
                <w:right w:val="none" w:sz="0" w:space="0" w:color="auto"/>
              </w:divBdr>
            </w:div>
            <w:div w:id="1183208833">
              <w:marLeft w:val="0"/>
              <w:marRight w:val="0"/>
              <w:marTop w:val="0"/>
              <w:marBottom w:val="0"/>
              <w:divBdr>
                <w:top w:val="none" w:sz="0" w:space="0" w:color="auto"/>
                <w:left w:val="none" w:sz="0" w:space="0" w:color="auto"/>
                <w:bottom w:val="none" w:sz="0" w:space="0" w:color="auto"/>
                <w:right w:val="none" w:sz="0" w:space="0" w:color="auto"/>
              </w:divBdr>
            </w:div>
            <w:div w:id="1282032366">
              <w:marLeft w:val="0"/>
              <w:marRight w:val="0"/>
              <w:marTop w:val="0"/>
              <w:marBottom w:val="0"/>
              <w:divBdr>
                <w:top w:val="none" w:sz="0" w:space="0" w:color="auto"/>
                <w:left w:val="none" w:sz="0" w:space="0" w:color="auto"/>
                <w:bottom w:val="none" w:sz="0" w:space="0" w:color="auto"/>
                <w:right w:val="none" w:sz="0" w:space="0" w:color="auto"/>
              </w:divBdr>
            </w:div>
            <w:div w:id="1283682682">
              <w:marLeft w:val="0"/>
              <w:marRight w:val="0"/>
              <w:marTop w:val="0"/>
              <w:marBottom w:val="0"/>
              <w:divBdr>
                <w:top w:val="none" w:sz="0" w:space="0" w:color="auto"/>
                <w:left w:val="none" w:sz="0" w:space="0" w:color="auto"/>
                <w:bottom w:val="none" w:sz="0" w:space="0" w:color="auto"/>
                <w:right w:val="none" w:sz="0" w:space="0" w:color="auto"/>
              </w:divBdr>
            </w:div>
            <w:div w:id="1344279695">
              <w:marLeft w:val="0"/>
              <w:marRight w:val="0"/>
              <w:marTop w:val="0"/>
              <w:marBottom w:val="0"/>
              <w:divBdr>
                <w:top w:val="none" w:sz="0" w:space="0" w:color="auto"/>
                <w:left w:val="none" w:sz="0" w:space="0" w:color="auto"/>
                <w:bottom w:val="none" w:sz="0" w:space="0" w:color="auto"/>
                <w:right w:val="none" w:sz="0" w:space="0" w:color="auto"/>
              </w:divBdr>
            </w:div>
            <w:div w:id="1385178977">
              <w:marLeft w:val="0"/>
              <w:marRight w:val="0"/>
              <w:marTop w:val="0"/>
              <w:marBottom w:val="0"/>
              <w:divBdr>
                <w:top w:val="none" w:sz="0" w:space="0" w:color="auto"/>
                <w:left w:val="none" w:sz="0" w:space="0" w:color="auto"/>
                <w:bottom w:val="none" w:sz="0" w:space="0" w:color="auto"/>
                <w:right w:val="none" w:sz="0" w:space="0" w:color="auto"/>
              </w:divBdr>
            </w:div>
            <w:div w:id="1407876824">
              <w:marLeft w:val="0"/>
              <w:marRight w:val="0"/>
              <w:marTop w:val="0"/>
              <w:marBottom w:val="0"/>
              <w:divBdr>
                <w:top w:val="none" w:sz="0" w:space="0" w:color="auto"/>
                <w:left w:val="none" w:sz="0" w:space="0" w:color="auto"/>
                <w:bottom w:val="none" w:sz="0" w:space="0" w:color="auto"/>
                <w:right w:val="none" w:sz="0" w:space="0" w:color="auto"/>
              </w:divBdr>
            </w:div>
            <w:div w:id="1421411711">
              <w:marLeft w:val="0"/>
              <w:marRight w:val="0"/>
              <w:marTop w:val="0"/>
              <w:marBottom w:val="0"/>
              <w:divBdr>
                <w:top w:val="none" w:sz="0" w:space="0" w:color="auto"/>
                <w:left w:val="none" w:sz="0" w:space="0" w:color="auto"/>
                <w:bottom w:val="none" w:sz="0" w:space="0" w:color="auto"/>
                <w:right w:val="none" w:sz="0" w:space="0" w:color="auto"/>
              </w:divBdr>
            </w:div>
            <w:div w:id="1483504086">
              <w:marLeft w:val="0"/>
              <w:marRight w:val="0"/>
              <w:marTop w:val="0"/>
              <w:marBottom w:val="0"/>
              <w:divBdr>
                <w:top w:val="none" w:sz="0" w:space="0" w:color="auto"/>
                <w:left w:val="none" w:sz="0" w:space="0" w:color="auto"/>
                <w:bottom w:val="none" w:sz="0" w:space="0" w:color="auto"/>
                <w:right w:val="none" w:sz="0" w:space="0" w:color="auto"/>
              </w:divBdr>
            </w:div>
            <w:div w:id="1492911917">
              <w:marLeft w:val="0"/>
              <w:marRight w:val="0"/>
              <w:marTop w:val="0"/>
              <w:marBottom w:val="0"/>
              <w:divBdr>
                <w:top w:val="none" w:sz="0" w:space="0" w:color="auto"/>
                <w:left w:val="none" w:sz="0" w:space="0" w:color="auto"/>
                <w:bottom w:val="none" w:sz="0" w:space="0" w:color="auto"/>
                <w:right w:val="none" w:sz="0" w:space="0" w:color="auto"/>
              </w:divBdr>
            </w:div>
            <w:div w:id="1499425940">
              <w:marLeft w:val="0"/>
              <w:marRight w:val="0"/>
              <w:marTop w:val="0"/>
              <w:marBottom w:val="0"/>
              <w:divBdr>
                <w:top w:val="none" w:sz="0" w:space="0" w:color="auto"/>
                <w:left w:val="none" w:sz="0" w:space="0" w:color="auto"/>
                <w:bottom w:val="none" w:sz="0" w:space="0" w:color="auto"/>
                <w:right w:val="none" w:sz="0" w:space="0" w:color="auto"/>
              </w:divBdr>
            </w:div>
            <w:div w:id="1551069653">
              <w:marLeft w:val="0"/>
              <w:marRight w:val="0"/>
              <w:marTop w:val="0"/>
              <w:marBottom w:val="0"/>
              <w:divBdr>
                <w:top w:val="none" w:sz="0" w:space="0" w:color="auto"/>
                <w:left w:val="none" w:sz="0" w:space="0" w:color="auto"/>
                <w:bottom w:val="none" w:sz="0" w:space="0" w:color="auto"/>
                <w:right w:val="none" w:sz="0" w:space="0" w:color="auto"/>
              </w:divBdr>
            </w:div>
            <w:div w:id="1557014168">
              <w:marLeft w:val="0"/>
              <w:marRight w:val="0"/>
              <w:marTop w:val="0"/>
              <w:marBottom w:val="0"/>
              <w:divBdr>
                <w:top w:val="none" w:sz="0" w:space="0" w:color="auto"/>
                <w:left w:val="none" w:sz="0" w:space="0" w:color="auto"/>
                <w:bottom w:val="none" w:sz="0" w:space="0" w:color="auto"/>
                <w:right w:val="none" w:sz="0" w:space="0" w:color="auto"/>
              </w:divBdr>
            </w:div>
            <w:div w:id="1587491418">
              <w:marLeft w:val="0"/>
              <w:marRight w:val="0"/>
              <w:marTop w:val="0"/>
              <w:marBottom w:val="0"/>
              <w:divBdr>
                <w:top w:val="none" w:sz="0" w:space="0" w:color="auto"/>
                <w:left w:val="none" w:sz="0" w:space="0" w:color="auto"/>
                <w:bottom w:val="none" w:sz="0" w:space="0" w:color="auto"/>
                <w:right w:val="none" w:sz="0" w:space="0" w:color="auto"/>
              </w:divBdr>
            </w:div>
            <w:div w:id="1760712576">
              <w:marLeft w:val="0"/>
              <w:marRight w:val="0"/>
              <w:marTop w:val="0"/>
              <w:marBottom w:val="0"/>
              <w:divBdr>
                <w:top w:val="none" w:sz="0" w:space="0" w:color="auto"/>
                <w:left w:val="none" w:sz="0" w:space="0" w:color="auto"/>
                <w:bottom w:val="none" w:sz="0" w:space="0" w:color="auto"/>
                <w:right w:val="none" w:sz="0" w:space="0" w:color="auto"/>
              </w:divBdr>
            </w:div>
            <w:div w:id="1845973253">
              <w:marLeft w:val="0"/>
              <w:marRight w:val="0"/>
              <w:marTop w:val="0"/>
              <w:marBottom w:val="0"/>
              <w:divBdr>
                <w:top w:val="none" w:sz="0" w:space="0" w:color="auto"/>
                <w:left w:val="none" w:sz="0" w:space="0" w:color="auto"/>
                <w:bottom w:val="none" w:sz="0" w:space="0" w:color="auto"/>
                <w:right w:val="none" w:sz="0" w:space="0" w:color="auto"/>
              </w:divBdr>
            </w:div>
            <w:div w:id="1924339826">
              <w:marLeft w:val="0"/>
              <w:marRight w:val="0"/>
              <w:marTop w:val="0"/>
              <w:marBottom w:val="0"/>
              <w:divBdr>
                <w:top w:val="none" w:sz="0" w:space="0" w:color="auto"/>
                <w:left w:val="none" w:sz="0" w:space="0" w:color="auto"/>
                <w:bottom w:val="none" w:sz="0" w:space="0" w:color="auto"/>
                <w:right w:val="none" w:sz="0" w:space="0" w:color="auto"/>
              </w:divBdr>
            </w:div>
            <w:div w:id="1959144843">
              <w:marLeft w:val="0"/>
              <w:marRight w:val="0"/>
              <w:marTop w:val="0"/>
              <w:marBottom w:val="0"/>
              <w:divBdr>
                <w:top w:val="none" w:sz="0" w:space="0" w:color="auto"/>
                <w:left w:val="none" w:sz="0" w:space="0" w:color="auto"/>
                <w:bottom w:val="none" w:sz="0" w:space="0" w:color="auto"/>
                <w:right w:val="none" w:sz="0" w:space="0" w:color="auto"/>
              </w:divBdr>
            </w:div>
            <w:div w:id="1975597952">
              <w:marLeft w:val="0"/>
              <w:marRight w:val="0"/>
              <w:marTop w:val="0"/>
              <w:marBottom w:val="0"/>
              <w:divBdr>
                <w:top w:val="none" w:sz="0" w:space="0" w:color="auto"/>
                <w:left w:val="none" w:sz="0" w:space="0" w:color="auto"/>
                <w:bottom w:val="none" w:sz="0" w:space="0" w:color="auto"/>
                <w:right w:val="none" w:sz="0" w:space="0" w:color="auto"/>
              </w:divBdr>
            </w:div>
            <w:div w:id="2117676881">
              <w:marLeft w:val="0"/>
              <w:marRight w:val="0"/>
              <w:marTop w:val="0"/>
              <w:marBottom w:val="0"/>
              <w:divBdr>
                <w:top w:val="none" w:sz="0" w:space="0" w:color="auto"/>
                <w:left w:val="none" w:sz="0" w:space="0" w:color="auto"/>
                <w:bottom w:val="none" w:sz="0" w:space="0" w:color="auto"/>
                <w:right w:val="none" w:sz="0" w:space="0" w:color="auto"/>
              </w:divBdr>
            </w:div>
            <w:div w:id="21258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2312">
      <w:bodyDiv w:val="1"/>
      <w:marLeft w:val="0"/>
      <w:marRight w:val="0"/>
      <w:marTop w:val="0"/>
      <w:marBottom w:val="0"/>
      <w:divBdr>
        <w:top w:val="none" w:sz="0" w:space="0" w:color="auto"/>
        <w:left w:val="none" w:sz="0" w:space="0" w:color="auto"/>
        <w:bottom w:val="none" w:sz="0" w:space="0" w:color="auto"/>
        <w:right w:val="none" w:sz="0" w:space="0" w:color="auto"/>
      </w:divBdr>
      <w:divsChild>
        <w:div w:id="634408658">
          <w:marLeft w:val="0"/>
          <w:marRight w:val="0"/>
          <w:marTop w:val="0"/>
          <w:marBottom w:val="0"/>
          <w:divBdr>
            <w:top w:val="none" w:sz="0" w:space="0" w:color="auto"/>
            <w:left w:val="none" w:sz="0" w:space="0" w:color="auto"/>
            <w:bottom w:val="none" w:sz="0" w:space="0" w:color="auto"/>
            <w:right w:val="none" w:sz="0" w:space="0" w:color="auto"/>
          </w:divBdr>
        </w:div>
        <w:div w:id="854735279">
          <w:marLeft w:val="0"/>
          <w:marRight w:val="0"/>
          <w:marTop w:val="0"/>
          <w:marBottom w:val="0"/>
          <w:divBdr>
            <w:top w:val="none" w:sz="0" w:space="0" w:color="auto"/>
            <w:left w:val="none" w:sz="0" w:space="0" w:color="auto"/>
            <w:bottom w:val="none" w:sz="0" w:space="0" w:color="auto"/>
            <w:right w:val="none" w:sz="0" w:space="0" w:color="auto"/>
          </w:divBdr>
        </w:div>
        <w:div w:id="1009866639">
          <w:marLeft w:val="0"/>
          <w:marRight w:val="0"/>
          <w:marTop w:val="0"/>
          <w:marBottom w:val="0"/>
          <w:divBdr>
            <w:top w:val="none" w:sz="0" w:space="0" w:color="auto"/>
            <w:left w:val="none" w:sz="0" w:space="0" w:color="auto"/>
            <w:bottom w:val="none" w:sz="0" w:space="0" w:color="auto"/>
            <w:right w:val="none" w:sz="0" w:space="0" w:color="auto"/>
          </w:divBdr>
        </w:div>
        <w:div w:id="1111894047">
          <w:marLeft w:val="0"/>
          <w:marRight w:val="0"/>
          <w:marTop w:val="0"/>
          <w:marBottom w:val="0"/>
          <w:divBdr>
            <w:top w:val="none" w:sz="0" w:space="0" w:color="auto"/>
            <w:left w:val="none" w:sz="0" w:space="0" w:color="auto"/>
            <w:bottom w:val="none" w:sz="0" w:space="0" w:color="auto"/>
            <w:right w:val="none" w:sz="0" w:space="0" w:color="auto"/>
          </w:divBdr>
        </w:div>
        <w:div w:id="1535262905">
          <w:marLeft w:val="0"/>
          <w:marRight w:val="0"/>
          <w:marTop w:val="0"/>
          <w:marBottom w:val="0"/>
          <w:divBdr>
            <w:top w:val="none" w:sz="0" w:space="0" w:color="auto"/>
            <w:left w:val="none" w:sz="0" w:space="0" w:color="auto"/>
            <w:bottom w:val="none" w:sz="0" w:space="0" w:color="auto"/>
            <w:right w:val="none" w:sz="0" w:space="0" w:color="auto"/>
          </w:divBdr>
        </w:div>
        <w:div w:id="1721633412">
          <w:marLeft w:val="0"/>
          <w:marRight w:val="0"/>
          <w:marTop w:val="0"/>
          <w:marBottom w:val="0"/>
          <w:divBdr>
            <w:top w:val="none" w:sz="0" w:space="0" w:color="auto"/>
            <w:left w:val="none" w:sz="0" w:space="0" w:color="auto"/>
            <w:bottom w:val="none" w:sz="0" w:space="0" w:color="auto"/>
            <w:right w:val="none" w:sz="0" w:space="0" w:color="auto"/>
          </w:divBdr>
        </w:div>
        <w:div w:id="1995449292">
          <w:marLeft w:val="0"/>
          <w:marRight w:val="0"/>
          <w:marTop w:val="0"/>
          <w:marBottom w:val="0"/>
          <w:divBdr>
            <w:top w:val="none" w:sz="0" w:space="0" w:color="auto"/>
            <w:left w:val="none" w:sz="0" w:space="0" w:color="auto"/>
            <w:bottom w:val="none" w:sz="0" w:space="0" w:color="auto"/>
            <w:right w:val="none" w:sz="0" w:space="0" w:color="auto"/>
          </w:divBdr>
        </w:div>
        <w:div w:id="2075856459">
          <w:marLeft w:val="0"/>
          <w:marRight w:val="0"/>
          <w:marTop w:val="0"/>
          <w:marBottom w:val="0"/>
          <w:divBdr>
            <w:top w:val="none" w:sz="0" w:space="0" w:color="auto"/>
            <w:left w:val="none" w:sz="0" w:space="0" w:color="auto"/>
            <w:bottom w:val="none" w:sz="0" w:space="0" w:color="auto"/>
            <w:right w:val="none" w:sz="0" w:space="0" w:color="auto"/>
          </w:divBdr>
        </w:div>
        <w:div w:id="2120172472">
          <w:marLeft w:val="0"/>
          <w:marRight w:val="0"/>
          <w:marTop w:val="0"/>
          <w:marBottom w:val="0"/>
          <w:divBdr>
            <w:top w:val="none" w:sz="0" w:space="0" w:color="auto"/>
            <w:left w:val="none" w:sz="0" w:space="0" w:color="auto"/>
            <w:bottom w:val="none" w:sz="0" w:space="0" w:color="auto"/>
            <w:right w:val="none" w:sz="0" w:space="0" w:color="auto"/>
          </w:divBdr>
        </w:div>
      </w:divsChild>
    </w:div>
    <w:div w:id="1829323840">
      <w:bodyDiv w:val="1"/>
      <w:marLeft w:val="0"/>
      <w:marRight w:val="0"/>
      <w:marTop w:val="0"/>
      <w:marBottom w:val="0"/>
      <w:divBdr>
        <w:top w:val="none" w:sz="0" w:space="0" w:color="auto"/>
        <w:left w:val="none" w:sz="0" w:space="0" w:color="auto"/>
        <w:bottom w:val="none" w:sz="0" w:space="0" w:color="auto"/>
        <w:right w:val="none" w:sz="0" w:space="0" w:color="auto"/>
      </w:divBdr>
      <w:divsChild>
        <w:div w:id="387654297">
          <w:marLeft w:val="0"/>
          <w:marRight w:val="0"/>
          <w:marTop w:val="0"/>
          <w:marBottom w:val="0"/>
          <w:divBdr>
            <w:top w:val="none" w:sz="0" w:space="0" w:color="auto"/>
            <w:left w:val="none" w:sz="0" w:space="0" w:color="auto"/>
            <w:bottom w:val="none" w:sz="0" w:space="0" w:color="auto"/>
            <w:right w:val="none" w:sz="0" w:space="0" w:color="auto"/>
          </w:divBdr>
        </w:div>
        <w:div w:id="566502501">
          <w:marLeft w:val="0"/>
          <w:marRight w:val="0"/>
          <w:marTop w:val="0"/>
          <w:marBottom w:val="0"/>
          <w:divBdr>
            <w:top w:val="none" w:sz="0" w:space="0" w:color="auto"/>
            <w:left w:val="none" w:sz="0" w:space="0" w:color="auto"/>
            <w:bottom w:val="none" w:sz="0" w:space="0" w:color="auto"/>
            <w:right w:val="none" w:sz="0" w:space="0" w:color="auto"/>
          </w:divBdr>
        </w:div>
        <w:div w:id="591668465">
          <w:marLeft w:val="0"/>
          <w:marRight w:val="0"/>
          <w:marTop w:val="0"/>
          <w:marBottom w:val="0"/>
          <w:divBdr>
            <w:top w:val="none" w:sz="0" w:space="0" w:color="auto"/>
            <w:left w:val="none" w:sz="0" w:space="0" w:color="auto"/>
            <w:bottom w:val="none" w:sz="0" w:space="0" w:color="auto"/>
            <w:right w:val="none" w:sz="0" w:space="0" w:color="auto"/>
          </w:divBdr>
        </w:div>
        <w:div w:id="1017151410">
          <w:marLeft w:val="0"/>
          <w:marRight w:val="0"/>
          <w:marTop w:val="0"/>
          <w:marBottom w:val="0"/>
          <w:divBdr>
            <w:top w:val="none" w:sz="0" w:space="0" w:color="auto"/>
            <w:left w:val="none" w:sz="0" w:space="0" w:color="auto"/>
            <w:bottom w:val="none" w:sz="0" w:space="0" w:color="auto"/>
            <w:right w:val="none" w:sz="0" w:space="0" w:color="auto"/>
          </w:divBdr>
        </w:div>
        <w:div w:id="1187018521">
          <w:marLeft w:val="0"/>
          <w:marRight w:val="0"/>
          <w:marTop w:val="0"/>
          <w:marBottom w:val="0"/>
          <w:divBdr>
            <w:top w:val="none" w:sz="0" w:space="0" w:color="auto"/>
            <w:left w:val="none" w:sz="0" w:space="0" w:color="auto"/>
            <w:bottom w:val="none" w:sz="0" w:space="0" w:color="auto"/>
            <w:right w:val="none" w:sz="0" w:space="0" w:color="auto"/>
          </w:divBdr>
        </w:div>
        <w:div w:id="1267543229">
          <w:marLeft w:val="0"/>
          <w:marRight w:val="0"/>
          <w:marTop w:val="0"/>
          <w:marBottom w:val="0"/>
          <w:divBdr>
            <w:top w:val="none" w:sz="0" w:space="0" w:color="auto"/>
            <w:left w:val="none" w:sz="0" w:space="0" w:color="auto"/>
            <w:bottom w:val="none" w:sz="0" w:space="0" w:color="auto"/>
            <w:right w:val="none" w:sz="0" w:space="0" w:color="auto"/>
          </w:divBdr>
        </w:div>
        <w:div w:id="1590045041">
          <w:marLeft w:val="0"/>
          <w:marRight w:val="0"/>
          <w:marTop w:val="0"/>
          <w:marBottom w:val="0"/>
          <w:divBdr>
            <w:top w:val="none" w:sz="0" w:space="0" w:color="auto"/>
            <w:left w:val="none" w:sz="0" w:space="0" w:color="auto"/>
            <w:bottom w:val="none" w:sz="0" w:space="0" w:color="auto"/>
            <w:right w:val="none" w:sz="0" w:space="0" w:color="auto"/>
          </w:divBdr>
        </w:div>
        <w:div w:id="1742487103">
          <w:marLeft w:val="0"/>
          <w:marRight w:val="0"/>
          <w:marTop w:val="0"/>
          <w:marBottom w:val="0"/>
          <w:divBdr>
            <w:top w:val="none" w:sz="0" w:space="0" w:color="auto"/>
            <w:left w:val="none" w:sz="0" w:space="0" w:color="auto"/>
            <w:bottom w:val="none" w:sz="0" w:space="0" w:color="auto"/>
            <w:right w:val="none" w:sz="0" w:space="0" w:color="auto"/>
          </w:divBdr>
        </w:div>
        <w:div w:id="1899047076">
          <w:marLeft w:val="0"/>
          <w:marRight w:val="0"/>
          <w:marTop w:val="0"/>
          <w:marBottom w:val="0"/>
          <w:divBdr>
            <w:top w:val="none" w:sz="0" w:space="0" w:color="auto"/>
            <w:left w:val="none" w:sz="0" w:space="0" w:color="auto"/>
            <w:bottom w:val="none" w:sz="0" w:space="0" w:color="auto"/>
            <w:right w:val="none" w:sz="0" w:space="0" w:color="auto"/>
          </w:divBdr>
        </w:div>
      </w:divsChild>
    </w:div>
    <w:div w:id="20069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ch.cbd.int/protocol/decisions/?decisionID=13236" TargetMode="Externa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secretariat@cbd.int"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bch.cbd.int/managementcentre/edit/submission.shtml" TargetMode="External"/><Relationship Id="rId14" Type="http://schemas.openxmlformats.org/officeDocument/2006/relationships/footer" Target="footer3.xml"/><Relationship Id="rId22" Type="http://schemas.openxmlformats.org/officeDocument/2006/relationships/oleObject" Target="embeddings/oleObject3.bin"/></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B902E-1282-42C4-AB93-984C740A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4044</Words>
  <Characters>22247</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SCBD</Company>
  <LinksUpToDate>false</LinksUpToDate>
  <CharactersWithSpaces>26239</CharactersWithSpaces>
  <SharedDoc>false</SharedDoc>
  <HLinks>
    <vt:vector size="30" baseType="variant">
      <vt:variant>
        <vt:i4>7405656</vt:i4>
      </vt:variant>
      <vt:variant>
        <vt:i4>6</vt:i4>
      </vt:variant>
      <vt:variant>
        <vt:i4>0</vt:i4>
      </vt:variant>
      <vt:variant>
        <vt:i4>5</vt:i4>
      </vt:variant>
      <vt:variant>
        <vt:lpwstr>mailto:secretariat@cbd.int</vt:lpwstr>
      </vt:variant>
      <vt:variant>
        <vt:lpwstr/>
      </vt:variant>
      <vt:variant>
        <vt:i4>5439489</vt:i4>
      </vt:variant>
      <vt:variant>
        <vt:i4>3</vt:i4>
      </vt:variant>
      <vt:variant>
        <vt:i4>0</vt:i4>
      </vt:variant>
      <vt:variant>
        <vt:i4>5</vt:i4>
      </vt:variant>
      <vt:variant>
        <vt:lpwstr>http://bch.cbd.int/managementcentre/edit/submission.shtml</vt:lpwstr>
      </vt:variant>
      <vt:variant>
        <vt:lpwstr/>
      </vt:variant>
      <vt:variant>
        <vt:i4>6291579</vt:i4>
      </vt:variant>
      <vt:variant>
        <vt:i4>0</vt:i4>
      </vt:variant>
      <vt:variant>
        <vt:i4>0</vt:i4>
      </vt:variant>
      <vt:variant>
        <vt:i4>5</vt:i4>
      </vt:variant>
      <vt:variant>
        <vt:lpwstr>http://bch.cbd.int/protocol/decisions/?decisionID=13236</vt:lpwstr>
      </vt:variant>
      <vt:variant>
        <vt:lpwstr/>
      </vt: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Rincon Martín, M. Vanesa</cp:lastModifiedBy>
  <cp:revision>3</cp:revision>
  <cp:lastPrinted>2017-09-08T13:36:00Z</cp:lastPrinted>
  <dcterms:created xsi:type="dcterms:W3CDTF">2018-05-16T13:16:00Z</dcterms:created>
  <dcterms:modified xsi:type="dcterms:W3CDTF">2018-05-16T13:21:00Z</dcterms:modified>
</cp:coreProperties>
</file>