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A6169" w14:textId="77777777" w:rsidR="00953D36" w:rsidRDefault="00953D36">
      <w:pPr>
        <w:ind w:left="0" w:right="44" w:hanging="2"/>
        <w:jc w:val="both"/>
        <w:rPr>
          <w:sz w:val="22"/>
          <w:szCs w:val="22"/>
        </w:rPr>
      </w:pPr>
    </w:p>
    <w:p w14:paraId="1E67C01B" w14:textId="77777777" w:rsidR="00953D36" w:rsidRDefault="005A078D">
      <w:pPr>
        <w:ind w:left="0" w:hanging="2"/>
        <w:jc w:val="center"/>
        <w:rPr>
          <w:sz w:val="22"/>
          <w:szCs w:val="22"/>
        </w:rPr>
      </w:pPr>
      <w:r>
        <w:rPr>
          <w:b/>
          <w:sz w:val="22"/>
          <w:szCs w:val="22"/>
        </w:rPr>
        <w:t>Guidelines and template for the review of the draft monitoring framework for the post-2020 global biodiversity framework</w:t>
      </w:r>
    </w:p>
    <w:p w14:paraId="0D417FD0" w14:textId="77777777" w:rsidR="00953D36" w:rsidRDefault="00953D36">
      <w:pPr>
        <w:ind w:left="0" w:hanging="2"/>
        <w:jc w:val="both"/>
        <w:rPr>
          <w:sz w:val="22"/>
          <w:szCs w:val="22"/>
        </w:rPr>
      </w:pPr>
      <w:bookmarkStart w:id="0" w:name="_heading=h.gjdgxs" w:colFirst="0" w:colLast="0"/>
      <w:bookmarkEnd w:id="0"/>
    </w:p>
    <w:p w14:paraId="24D1044A" w14:textId="77777777" w:rsidR="00953D36" w:rsidRDefault="005A078D">
      <w:pPr>
        <w:keepNext/>
        <w:numPr>
          <w:ilvl w:val="0"/>
          <w:numId w:val="3"/>
        </w:numPr>
        <w:pBdr>
          <w:top w:val="nil"/>
          <w:left w:val="nil"/>
          <w:bottom w:val="nil"/>
          <w:right w:val="nil"/>
          <w:between w:val="nil"/>
        </w:pBdr>
        <w:spacing w:before="240" w:after="60" w:line="240" w:lineRule="auto"/>
        <w:ind w:left="0" w:hanging="2"/>
        <w:jc w:val="center"/>
        <w:rPr>
          <w:b/>
          <w:i/>
          <w:color w:val="000000"/>
          <w:sz w:val="22"/>
          <w:szCs w:val="22"/>
        </w:rPr>
      </w:pPr>
      <w:r>
        <w:rPr>
          <w:b/>
          <w:i/>
          <w:color w:val="000000"/>
          <w:sz w:val="22"/>
          <w:szCs w:val="22"/>
        </w:rPr>
        <w:t>Background</w:t>
      </w:r>
    </w:p>
    <w:p w14:paraId="019E476E" w14:textId="77777777" w:rsidR="00953D36" w:rsidRDefault="00953D36">
      <w:pPr>
        <w:ind w:left="0" w:hanging="2"/>
      </w:pPr>
    </w:p>
    <w:p w14:paraId="3026F172" w14:textId="77777777" w:rsidR="00953D36" w:rsidRDefault="005A078D">
      <w:pPr>
        <w:numPr>
          <w:ilvl w:val="0"/>
          <w:numId w:val="1"/>
        </w:numPr>
        <w:pBdr>
          <w:top w:val="nil"/>
          <w:left w:val="nil"/>
          <w:bottom w:val="nil"/>
          <w:right w:val="nil"/>
          <w:between w:val="nil"/>
        </w:pBdr>
        <w:spacing w:line="259" w:lineRule="auto"/>
        <w:ind w:left="0" w:hanging="2"/>
        <w:jc w:val="both"/>
        <w:rPr>
          <w:color w:val="000000"/>
          <w:sz w:val="22"/>
          <w:szCs w:val="22"/>
        </w:rPr>
      </w:pPr>
      <w:r>
        <w:rPr>
          <w:color w:val="000000"/>
          <w:sz w:val="22"/>
          <w:szCs w:val="22"/>
        </w:rPr>
        <w:t>The second meeting of the Open-ended Working Group</w:t>
      </w:r>
      <w:r>
        <w:rPr>
          <w:color w:val="000000"/>
          <w:sz w:val="22"/>
          <w:szCs w:val="22"/>
          <w:vertAlign w:val="superscript"/>
        </w:rPr>
        <w:footnoteReference w:id="1"/>
      </w:r>
      <w:r>
        <w:rPr>
          <w:color w:val="000000"/>
          <w:sz w:val="22"/>
          <w:szCs w:val="22"/>
        </w:rPr>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14:paraId="61097BE1" w14:textId="77777777" w:rsidR="00953D36" w:rsidRDefault="005A078D">
      <w:pPr>
        <w:numPr>
          <w:ilvl w:val="0"/>
          <w:numId w:val="1"/>
        </w:numPr>
        <w:pBdr>
          <w:top w:val="nil"/>
          <w:left w:val="nil"/>
          <w:bottom w:val="nil"/>
          <w:right w:val="nil"/>
          <w:between w:val="nil"/>
        </w:pBdr>
        <w:spacing w:after="160" w:line="259" w:lineRule="auto"/>
        <w:ind w:left="0" w:hanging="2"/>
        <w:jc w:val="both"/>
        <w:rPr>
          <w:color w:val="000000"/>
          <w:sz w:val="22"/>
          <w:szCs w:val="22"/>
        </w:rPr>
      </w:pPr>
      <w:r>
        <w:rPr>
          <w:color w:val="000000"/>
          <w:sz w:val="22"/>
          <w:szCs w:val="22"/>
        </w:rPr>
        <w:t xml:space="preserve">Tables 1 and 2, presents a draft monitoring framework for the 2050 Goals and the 2030 targets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Column A of the tables provides draft components of the goals and targets. Columns B and C of the tables provide draft monitoring elements and indicators to be used at the global level to monitor progress in the implementation of the post-2020 global biodiversity framework. Further column D provides information on the period baseline data is available for the indicator and on the frequency that the indicator is updated where known. Review comments are being sought on columns A, B, C and D only. </w:t>
      </w:r>
    </w:p>
    <w:p w14:paraId="43E2476F" w14:textId="77777777" w:rsidR="00953D36" w:rsidRDefault="005A078D">
      <w:pPr>
        <w:keepNext/>
        <w:pBdr>
          <w:top w:val="nil"/>
          <w:left w:val="nil"/>
          <w:bottom w:val="nil"/>
          <w:right w:val="nil"/>
          <w:between w:val="nil"/>
        </w:pBdr>
        <w:spacing w:before="240" w:after="60" w:line="240" w:lineRule="auto"/>
        <w:ind w:left="0" w:hanging="2"/>
        <w:jc w:val="center"/>
        <w:rPr>
          <w:rFonts w:ascii="Arial" w:eastAsia="Arial" w:hAnsi="Arial" w:cs="Arial"/>
          <w:b/>
          <w:i/>
          <w:color w:val="000000"/>
          <w:sz w:val="26"/>
          <w:szCs w:val="26"/>
        </w:rPr>
      </w:pPr>
      <w:r>
        <w:rPr>
          <w:b/>
          <w:i/>
          <w:color w:val="000000"/>
          <w:sz w:val="22"/>
          <w:szCs w:val="22"/>
        </w:rPr>
        <w:t>II. Submitting Comments</w:t>
      </w:r>
    </w:p>
    <w:p w14:paraId="5ADB43A4" w14:textId="77777777" w:rsidR="00953D36" w:rsidRDefault="00953D36">
      <w:pPr>
        <w:tabs>
          <w:tab w:val="left" w:pos="720"/>
        </w:tabs>
        <w:ind w:left="0" w:hanging="2"/>
        <w:jc w:val="both"/>
        <w:rPr>
          <w:sz w:val="22"/>
          <w:szCs w:val="22"/>
        </w:rPr>
      </w:pPr>
      <w:bookmarkStart w:id="1" w:name="_heading=h.30j0zll" w:colFirst="0" w:colLast="0"/>
      <w:bookmarkEnd w:id="1"/>
    </w:p>
    <w:p w14:paraId="28BECE02" w14:textId="77777777" w:rsidR="00953D36" w:rsidRDefault="005A078D">
      <w:pPr>
        <w:numPr>
          <w:ilvl w:val="0"/>
          <w:numId w:val="2"/>
        </w:numPr>
        <w:tabs>
          <w:tab w:val="left" w:pos="720"/>
        </w:tabs>
        <w:ind w:left="0" w:hanging="2"/>
        <w:jc w:val="both"/>
        <w:rPr>
          <w:sz w:val="22"/>
          <w:szCs w:val="22"/>
        </w:rPr>
      </w:pPr>
      <w:r>
        <w:rPr>
          <w:sz w:val="22"/>
          <w:szCs w:val="22"/>
        </w:rPr>
        <w:t xml:space="preserve">To ensure that your comments are given due consideration, please send them by e-mail to </w:t>
      </w:r>
      <w:hyperlink r:id="rId11">
        <w:r>
          <w:rPr>
            <w:color w:val="0000FF"/>
            <w:sz w:val="22"/>
            <w:szCs w:val="22"/>
            <w:u w:val="single"/>
          </w:rPr>
          <w:t>secretariat@cbd.int</w:t>
        </w:r>
      </w:hyperlink>
      <w:r>
        <w:rPr>
          <w:sz w:val="22"/>
          <w:szCs w:val="22"/>
        </w:rPr>
        <w:t xml:space="preserve">, at your earliest convenience but </w:t>
      </w:r>
      <w:r>
        <w:rPr>
          <w:b/>
          <w:sz w:val="22"/>
          <w:szCs w:val="22"/>
        </w:rPr>
        <w:t>no later than 25 July 2020</w:t>
      </w:r>
    </w:p>
    <w:p w14:paraId="3AF1FDFD" w14:textId="77777777" w:rsidR="00953D36" w:rsidRDefault="00953D36">
      <w:pPr>
        <w:tabs>
          <w:tab w:val="left" w:pos="720"/>
        </w:tabs>
        <w:ind w:left="0" w:hanging="2"/>
        <w:jc w:val="both"/>
        <w:rPr>
          <w:sz w:val="22"/>
          <w:szCs w:val="22"/>
        </w:rPr>
      </w:pPr>
    </w:p>
    <w:p w14:paraId="70A9B5E3" w14:textId="77777777" w:rsidR="00953D36" w:rsidRDefault="005A078D">
      <w:pPr>
        <w:numPr>
          <w:ilvl w:val="0"/>
          <w:numId w:val="2"/>
        </w:numPr>
        <w:tabs>
          <w:tab w:val="left" w:pos="720"/>
        </w:tabs>
        <w:ind w:left="0" w:hanging="2"/>
        <w:jc w:val="both"/>
        <w:rPr>
          <w:sz w:val="22"/>
          <w:szCs w:val="22"/>
        </w:rPr>
      </w:pPr>
      <w:r>
        <w:rPr>
          <w:sz w:val="22"/>
          <w:szCs w:val="22"/>
        </w:rPr>
        <w:t xml:space="preserve">  When submitting comments, please adhere to the following guidelines as much as possible:</w:t>
      </w:r>
    </w:p>
    <w:p w14:paraId="39B3C3A5" w14:textId="77777777" w:rsidR="00953D36" w:rsidRDefault="00953D36">
      <w:pPr>
        <w:ind w:left="0" w:hanging="2"/>
        <w:jc w:val="both"/>
        <w:rPr>
          <w:sz w:val="22"/>
          <w:szCs w:val="22"/>
        </w:rPr>
      </w:pPr>
    </w:p>
    <w:p w14:paraId="40656649" w14:textId="77777777" w:rsidR="00953D36" w:rsidRDefault="005A078D">
      <w:pPr>
        <w:numPr>
          <w:ilvl w:val="1"/>
          <w:numId w:val="2"/>
        </w:numPr>
        <w:ind w:left="0" w:hanging="2"/>
        <w:jc w:val="both"/>
        <w:rPr>
          <w:sz w:val="22"/>
          <w:szCs w:val="22"/>
        </w:rPr>
      </w:pPr>
      <w:r>
        <w:rPr>
          <w:sz w:val="22"/>
          <w:szCs w:val="22"/>
        </w:rPr>
        <w:t xml:space="preserve">Please provide all comments in writing and in an MS Word or similar document format using the table provided below. </w:t>
      </w:r>
    </w:p>
    <w:p w14:paraId="0D11D417" w14:textId="77777777" w:rsidR="00953D36" w:rsidRDefault="00953D36">
      <w:pPr>
        <w:ind w:left="0" w:hanging="2"/>
        <w:jc w:val="both"/>
        <w:rPr>
          <w:sz w:val="22"/>
          <w:szCs w:val="22"/>
        </w:rPr>
      </w:pPr>
    </w:p>
    <w:p w14:paraId="00023A78" w14:textId="77777777" w:rsidR="00953D36" w:rsidRDefault="005A078D">
      <w:pPr>
        <w:numPr>
          <w:ilvl w:val="1"/>
          <w:numId w:val="2"/>
        </w:numPr>
        <w:ind w:left="0" w:hanging="2"/>
        <w:jc w:val="both"/>
        <w:rPr>
          <w:sz w:val="22"/>
          <w:szCs w:val="22"/>
        </w:rPr>
      </w:pPr>
      <w:r>
        <w:rPr>
          <w:sz w:val="22"/>
          <w:szCs w:val="22"/>
        </w:rPr>
        <w:t xml:space="preserve">Please provide full contact information for the individual/Government/organization submitting the comments. </w:t>
      </w:r>
    </w:p>
    <w:p w14:paraId="7089C556" w14:textId="77777777" w:rsidR="00953D36" w:rsidRDefault="00953D36">
      <w:pPr>
        <w:ind w:left="0" w:hanging="2"/>
        <w:jc w:val="both"/>
        <w:rPr>
          <w:sz w:val="22"/>
          <w:szCs w:val="22"/>
        </w:rPr>
      </w:pPr>
    </w:p>
    <w:p w14:paraId="706479D7" w14:textId="77777777" w:rsidR="00953D36" w:rsidRDefault="005A078D">
      <w:pPr>
        <w:numPr>
          <w:ilvl w:val="1"/>
          <w:numId w:val="2"/>
        </w:numPr>
        <w:ind w:left="0" w:hanging="2"/>
        <w:jc w:val="both"/>
        <w:rPr>
          <w:sz w:val="22"/>
          <w:szCs w:val="22"/>
        </w:rPr>
      </w:pPr>
      <w:r>
        <w:rPr>
          <w:sz w:val="22"/>
          <w:szCs w:val="22"/>
        </w:rPr>
        <w:t xml:space="preserve">Please avoid commenting on issues related to grammar, spelling, or punctuation, unless it affects the overall meaning of the text, as the document will be edited as the final draft is prepared. </w:t>
      </w:r>
    </w:p>
    <w:p w14:paraId="59A30FA3" w14:textId="77777777" w:rsidR="00953D36" w:rsidRDefault="00953D36">
      <w:pPr>
        <w:ind w:left="0" w:hanging="2"/>
        <w:jc w:val="both"/>
        <w:rPr>
          <w:sz w:val="22"/>
          <w:szCs w:val="22"/>
        </w:rPr>
      </w:pPr>
    </w:p>
    <w:p w14:paraId="5F9BB4A8" w14:textId="77777777" w:rsidR="00953D36" w:rsidRDefault="005A078D">
      <w:pPr>
        <w:numPr>
          <w:ilvl w:val="1"/>
          <w:numId w:val="2"/>
        </w:numPr>
        <w:ind w:left="0" w:hanging="2"/>
        <w:jc w:val="both"/>
        <w:rPr>
          <w:sz w:val="22"/>
          <w:szCs w:val="22"/>
        </w:rPr>
      </w:pPr>
      <w:r>
        <w:rPr>
          <w:sz w:val="22"/>
          <w:szCs w:val="22"/>
        </w:rPr>
        <w:t>To facilitate the revision process please be as specific as possible in your comments. In areas where you feel additional or alternative text or information is required, please suggest, if possible, what this text may look like or what should be included.</w:t>
      </w:r>
    </w:p>
    <w:p w14:paraId="736E8611" w14:textId="77777777" w:rsidR="00953D36" w:rsidRDefault="00953D36">
      <w:pPr>
        <w:ind w:left="0" w:hanging="2"/>
        <w:jc w:val="both"/>
        <w:rPr>
          <w:sz w:val="22"/>
          <w:szCs w:val="22"/>
        </w:rPr>
      </w:pPr>
    </w:p>
    <w:p w14:paraId="721A2FBC" w14:textId="77777777" w:rsidR="00953D36" w:rsidRDefault="005A078D">
      <w:pPr>
        <w:numPr>
          <w:ilvl w:val="1"/>
          <w:numId w:val="2"/>
        </w:numPr>
        <w:ind w:left="0" w:hanging="2"/>
        <w:jc w:val="both"/>
        <w:rPr>
          <w:sz w:val="22"/>
          <w:szCs w:val="22"/>
        </w:rPr>
      </w:pPr>
      <w:r>
        <w:rPr>
          <w:sz w:val="22"/>
          <w:szCs w:val="22"/>
        </w:rPr>
        <w:t xml:space="preserve">If you refer to additional sources of information, please include these with your comments when possible or provide a complete reference or hyperlink.  </w:t>
      </w:r>
    </w:p>
    <w:p w14:paraId="71A63F59" w14:textId="77777777" w:rsidR="00953D36" w:rsidRDefault="00953D36">
      <w:pPr>
        <w:ind w:left="0" w:hanging="2"/>
        <w:jc w:val="both"/>
        <w:rPr>
          <w:sz w:val="22"/>
          <w:szCs w:val="22"/>
        </w:rPr>
      </w:pPr>
    </w:p>
    <w:p w14:paraId="11D92382" w14:textId="77777777" w:rsidR="00953D36" w:rsidRDefault="005A078D">
      <w:pPr>
        <w:numPr>
          <w:ilvl w:val="1"/>
          <w:numId w:val="2"/>
        </w:numPr>
        <w:ind w:left="0" w:hanging="2"/>
        <w:jc w:val="both"/>
        <w:rPr>
          <w:sz w:val="22"/>
          <w:szCs w:val="22"/>
        </w:rPr>
      </w:pPr>
      <w:r>
        <w:rPr>
          <w:sz w:val="22"/>
          <w:szCs w:val="22"/>
        </w:rPr>
        <w:t xml:space="preserve">Please focus your comments on columns A (monitoring elements), B (indicators) and C (Indicator baseline year and frequency of updates) of the tables 1 and 2. </w:t>
      </w:r>
    </w:p>
    <w:p w14:paraId="5233F48A" w14:textId="77777777" w:rsidR="00953D36" w:rsidRDefault="00953D36">
      <w:pPr>
        <w:pBdr>
          <w:top w:val="nil"/>
          <w:left w:val="nil"/>
          <w:bottom w:val="nil"/>
          <w:right w:val="nil"/>
          <w:between w:val="nil"/>
        </w:pBdr>
        <w:spacing w:line="240" w:lineRule="auto"/>
        <w:ind w:left="0" w:hanging="2"/>
        <w:rPr>
          <w:color w:val="000000"/>
          <w:sz w:val="22"/>
          <w:szCs w:val="22"/>
        </w:rPr>
      </w:pPr>
    </w:p>
    <w:p w14:paraId="2E392275" w14:textId="77777777" w:rsidR="00953D36" w:rsidRDefault="005A078D">
      <w:pPr>
        <w:numPr>
          <w:ilvl w:val="1"/>
          <w:numId w:val="2"/>
        </w:numPr>
        <w:ind w:left="0" w:hanging="2"/>
        <w:jc w:val="both"/>
        <w:rPr>
          <w:sz w:val="22"/>
          <w:szCs w:val="22"/>
        </w:rPr>
      </w:pPr>
      <w:r>
        <w:rPr>
          <w:sz w:val="22"/>
          <w:szCs w:val="22"/>
        </w:rPr>
        <w:lastRenderedPageBreak/>
        <w:t xml:space="preserve">If you are suggestion the inclusion of additional indicators please provide information on if the indicator is currently operational, the organization supporting its development, its baseline (i.e. the year data is first available) and how frequently the indicator is updated (i.e. monthly, yearly, every two years etc.). </w:t>
      </w:r>
    </w:p>
    <w:p w14:paraId="60EBB18D" w14:textId="77777777" w:rsidR="00953D36" w:rsidRDefault="00953D36">
      <w:pPr>
        <w:pBdr>
          <w:top w:val="nil"/>
          <w:left w:val="nil"/>
          <w:bottom w:val="nil"/>
          <w:right w:val="nil"/>
          <w:between w:val="nil"/>
        </w:pBdr>
        <w:spacing w:line="240" w:lineRule="auto"/>
        <w:ind w:left="0" w:hanging="2"/>
        <w:rPr>
          <w:color w:val="000000"/>
          <w:sz w:val="22"/>
          <w:szCs w:val="22"/>
        </w:rPr>
      </w:pPr>
    </w:p>
    <w:p w14:paraId="4D076043" w14:textId="77777777" w:rsidR="00953D36" w:rsidRDefault="005A078D">
      <w:pPr>
        <w:numPr>
          <w:ilvl w:val="1"/>
          <w:numId w:val="2"/>
        </w:numPr>
        <w:ind w:left="0" w:hanging="2"/>
        <w:jc w:val="both"/>
        <w:rPr>
          <w:sz w:val="22"/>
          <w:szCs w:val="22"/>
        </w:rPr>
      </w:pPr>
      <w:r>
        <w:rPr>
          <w:sz w:val="22"/>
          <w:szCs w:val="22"/>
        </w:rPr>
        <w:t>All review comments will be posted on the webpage</w:t>
      </w:r>
      <w:r>
        <w:rPr>
          <w:sz w:val="22"/>
          <w:szCs w:val="22"/>
          <w:vertAlign w:val="superscript"/>
        </w:rPr>
        <w:footnoteReference w:id="2"/>
      </w:r>
      <w:r>
        <w:rPr>
          <w:sz w:val="22"/>
          <w:szCs w:val="22"/>
        </w:rPr>
        <w:t xml:space="preserve"> for the post-2020 global biodiversity framework in the interests of transparency</w:t>
      </w:r>
    </w:p>
    <w:p w14:paraId="2F04D5B7" w14:textId="77777777" w:rsidR="00953D36" w:rsidRDefault="00953D36">
      <w:pPr>
        <w:ind w:left="0" w:hanging="2"/>
        <w:jc w:val="both"/>
        <w:rPr>
          <w:sz w:val="22"/>
          <w:szCs w:val="22"/>
        </w:rPr>
      </w:pPr>
    </w:p>
    <w:p w14:paraId="67878C1E" w14:textId="77777777" w:rsidR="00953D36" w:rsidRDefault="005A078D">
      <w:pPr>
        <w:numPr>
          <w:ilvl w:val="0"/>
          <w:numId w:val="2"/>
        </w:numPr>
        <w:ind w:left="0" w:hanging="2"/>
        <w:jc w:val="both"/>
        <w:rPr>
          <w:sz w:val="22"/>
          <w:szCs w:val="22"/>
        </w:rPr>
      </w:pPr>
      <w:r>
        <w:rPr>
          <w:sz w:val="22"/>
          <w:szCs w:val="22"/>
        </w:rPr>
        <w:t xml:space="preserve">Should you have any questions regarding the review process, please contact </w:t>
      </w:r>
      <w:hyperlink r:id="rId12">
        <w:r>
          <w:rPr>
            <w:color w:val="0000FF"/>
            <w:u w:val="single"/>
          </w:rPr>
          <w:t>secretariat@cbd.int</w:t>
        </w:r>
      </w:hyperlink>
      <w:r>
        <w:t xml:space="preserve">. </w:t>
      </w:r>
      <w:r>
        <w:rPr>
          <w:sz w:val="22"/>
          <w:szCs w:val="22"/>
        </w:rPr>
        <w:t xml:space="preserve"> </w:t>
      </w:r>
    </w:p>
    <w:p w14:paraId="56175568" w14:textId="77777777" w:rsidR="00953D36" w:rsidRDefault="00953D36">
      <w:pPr>
        <w:pBdr>
          <w:top w:val="nil"/>
          <w:left w:val="nil"/>
          <w:bottom w:val="nil"/>
          <w:right w:val="nil"/>
          <w:between w:val="nil"/>
        </w:pBdr>
        <w:spacing w:line="240" w:lineRule="auto"/>
        <w:ind w:left="0" w:hanging="2"/>
        <w:jc w:val="center"/>
        <w:rPr>
          <w:color w:val="000000"/>
          <w:sz w:val="22"/>
          <w:szCs w:val="22"/>
          <w:u w:val="single"/>
        </w:rPr>
      </w:pPr>
    </w:p>
    <w:p w14:paraId="58344FF2" w14:textId="77777777" w:rsidR="00953D36" w:rsidRDefault="00953D36">
      <w:pPr>
        <w:pBdr>
          <w:top w:val="nil"/>
          <w:left w:val="nil"/>
          <w:bottom w:val="nil"/>
          <w:right w:val="nil"/>
          <w:between w:val="nil"/>
        </w:pBdr>
        <w:spacing w:line="240" w:lineRule="auto"/>
        <w:ind w:left="0" w:hanging="2"/>
        <w:jc w:val="center"/>
        <w:rPr>
          <w:color w:val="000000"/>
          <w:sz w:val="22"/>
          <w:szCs w:val="22"/>
          <w:u w:val="single"/>
        </w:rPr>
      </w:pPr>
    </w:p>
    <w:p w14:paraId="69EBD698" w14:textId="77777777" w:rsidR="00953D36" w:rsidRDefault="005A078D">
      <w:pPr>
        <w:pBdr>
          <w:top w:val="nil"/>
          <w:left w:val="nil"/>
          <w:bottom w:val="nil"/>
          <w:right w:val="nil"/>
          <w:between w:val="nil"/>
        </w:pBdr>
        <w:spacing w:line="240" w:lineRule="auto"/>
        <w:ind w:left="0" w:hanging="2"/>
        <w:jc w:val="center"/>
        <w:rPr>
          <w:color w:val="000000"/>
          <w:sz w:val="22"/>
          <w:szCs w:val="22"/>
          <w:u w:val="single"/>
        </w:rPr>
      </w:pPr>
      <w:r>
        <w:rPr>
          <w:b/>
          <w:i/>
          <w:color w:val="000000"/>
          <w:sz w:val="22"/>
          <w:szCs w:val="22"/>
          <w:u w:val="single"/>
        </w:rPr>
        <w:t>III. Template for Comments</w:t>
      </w:r>
    </w:p>
    <w:p w14:paraId="179483B3" w14:textId="77777777" w:rsidR="00953D36" w:rsidRDefault="00953D36">
      <w:pPr>
        <w:pBdr>
          <w:top w:val="nil"/>
          <w:left w:val="nil"/>
          <w:bottom w:val="nil"/>
          <w:right w:val="nil"/>
          <w:between w:val="nil"/>
        </w:pBdr>
        <w:spacing w:line="240" w:lineRule="auto"/>
        <w:ind w:left="0" w:hanging="2"/>
        <w:jc w:val="both"/>
        <w:rPr>
          <w:color w:val="000000"/>
          <w:sz w:val="22"/>
          <w:szCs w:val="22"/>
        </w:rPr>
      </w:pPr>
    </w:p>
    <w:p w14:paraId="378D34E2" w14:textId="77777777" w:rsidR="00953D36" w:rsidRDefault="005A078D">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Please use the review template below when providing comments. </w:t>
      </w:r>
    </w:p>
    <w:p w14:paraId="3F328730" w14:textId="77777777" w:rsidR="00953D36" w:rsidRDefault="00953D36">
      <w:pPr>
        <w:ind w:left="0" w:hanging="2"/>
        <w:jc w:val="both"/>
        <w:rPr>
          <w:sz w:val="22"/>
          <w:szCs w:val="22"/>
        </w:rPr>
      </w:pPr>
    </w:p>
    <w:p w14:paraId="1079020D" w14:textId="77777777" w:rsidR="00953D36" w:rsidRDefault="005A078D">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The complete draft of the monitoring framework has been released in a portable document format (PDF). For tables 1, 2 and 3 column letters and row numbers have been provided as well as page numbers. Please use these as a reference as illustrated in the table below. General comments can be included in the table by referring to Page 0 and Line 0.</w:t>
      </w:r>
    </w:p>
    <w:p w14:paraId="0D505663" w14:textId="77777777" w:rsidR="00953D36" w:rsidRDefault="00953D36">
      <w:pPr>
        <w:pBdr>
          <w:top w:val="nil"/>
          <w:left w:val="nil"/>
          <w:bottom w:val="nil"/>
          <w:right w:val="nil"/>
          <w:between w:val="nil"/>
        </w:pBdr>
        <w:spacing w:line="240" w:lineRule="auto"/>
        <w:ind w:left="0" w:hanging="2"/>
        <w:rPr>
          <w:color w:val="000000"/>
          <w:sz w:val="22"/>
          <w:szCs w:val="22"/>
        </w:rPr>
      </w:pPr>
    </w:p>
    <w:p w14:paraId="5E0EC724" w14:textId="77777777" w:rsidR="00953D36" w:rsidRDefault="005A078D">
      <w:pPr>
        <w:pBdr>
          <w:top w:val="nil"/>
          <w:left w:val="nil"/>
          <w:bottom w:val="nil"/>
          <w:right w:val="nil"/>
          <w:between w:val="nil"/>
        </w:pBdr>
        <w:spacing w:line="240" w:lineRule="auto"/>
        <w:ind w:left="0" w:hanging="2"/>
        <w:jc w:val="center"/>
        <w:rPr>
          <w:color w:val="000000"/>
          <w:sz w:val="22"/>
          <w:szCs w:val="22"/>
          <w:u w:val="single"/>
        </w:rPr>
      </w:pPr>
      <w:r>
        <w:rPr>
          <w:b/>
          <w:color w:val="000000"/>
          <w:sz w:val="22"/>
          <w:szCs w:val="22"/>
          <w:u w:val="single"/>
        </w:rPr>
        <w:t>TEMPLATE FOR COMMENTS</w:t>
      </w:r>
    </w:p>
    <w:p w14:paraId="77FA8C3D" w14:textId="77777777" w:rsidR="00953D36" w:rsidRDefault="00953D36">
      <w:pPr>
        <w:pBdr>
          <w:top w:val="nil"/>
          <w:left w:val="nil"/>
          <w:bottom w:val="nil"/>
          <w:right w:val="nil"/>
          <w:between w:val="nil"/>
        </w:pBdr>
        <w:spacing w:line="240" w:lineRule="auto"/>
        <w:ind w:left="0" w:hanging="2"/>
        <w:jc w:val="center"/>
        <w:rPr>
          <w:color w:val="000000"/>
          <w:sz w:val="22"/>
          <w:szCs w:val="22"/>
          <w:u w:val="single"/>
        </w:rPr>
      </w:pPr>
    </w:p>
    <w:tbl>
      <w:tblPr>
        <w:tblStyle w:val="a"/>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15"/>
        <w:gridCol w:w="974"/>
        <w:gridCol w:w="196"/>
        <w:gridCol w:w="1019"/>
        <w:gridCol w:w="5785"/>
      </w:tblGrid>
      <w:tr w:rsidR="00953D36" w14:paraId="59392812" w14:textId="77777777">
        <w:trPr>
          <w:trHeight w:val="242"/>
        </w:trPr>
        <w:tc>
          <w:tcPr>
            <w:tcW w:w="9606" w:type="dxa"/>
            <w:gridSpan w:val="6"/>
          </w:tcPr>
          <w:p w14:paraId="61E2EA08" w14:textId="77777777" w:rsidR="00953D36" w:rsidRDefault="005A078D">
            <w:pPr>
              <w:ind w:left="0" w:hanging="2"/>
              <w:jc w:val="center"/>
            </w:pPr>
            <w:r>
              <w:rPr>
                <w:b/>
              </w:rPr>
              <w:t>Review comments on the draft monitoring framework for the post-2020 global biodiversity framework</w:t>
            </w:r>
          </w:p>
        </w:tc>
      </w:tr>
      <w:tr w:rsidR="00953D36" w14:paraId="57FCF2E2" w14:textId="77777777">
        <w:trPr>
          <w:trHeight w:val="233"/>
        </w:trPr>
        <w:tc>
          <w:tcPr>
            <w:tcW w:w="9606" w:type="dxa"/>
            <w:gridSpan w:val="6"/>
            <w:shd w:val="clear" w:color="auto" w:fill="C0C0C0"/>
          </w:tcPr>
          <w:p w14:paraId="00C31B5A" w14:textId="77777777" w:rsidR="00953D36" w:rsidRDefault="005A078D">
            <w:pPr>
              <w:ind w:left="0" w:hanging="2"/>
              <w:jc w:val="center"/>
            </w:pPr>
            <w:r>
              <w:rPr>
                <w:i/>
              </w:rPr>
              <w:t>Contact information</w:t>
            </w:r>
          </w:p>
        </w:tc>
      </w:tr>
      <w:tr w:rsidR="00953D36" w14:paraId="7B91026A" w14:textId="77777777">
        <w:trPr>
          <w:trHeight w:val="270"/>
        </w:trPr>
        <w:tc>
          <w:tcPr>
            <w:tcW w:w="2802" w:type="dxa"/>
            <w:gridSpan w:val="4"/>
          </w:tcPr>
          <w:p w14:paraId="1DFEA1DF" w14:textId="77777777" w:rsidR="00953D36" w:rsidRPr="001B1D51" w:rsidRDefault="005A078D">
            <w:pPr>
              <w:pBdr>
                <w:top w:val="nil"/>
                <w:left w:val="nil"/>
                <w:bottom w:val="nil"/>
                <w:right w:val="nil"/>
                <w:between w:val="nil"/>
              </w:pBdr>
              <w:spacing w:before="60" w:after="60" w:line="240" w:lineRule="auto"/>
              <w:ind w:left="0" w:hanging="2"/>
              <w:rPr>
                <w:color w:val="000000"/>
                <w:sz w:val="22"/>
                <w:szCs w:val="22"/>
              </w:rPr>
            </w:pPr>
            <w:r w:rsidRPr="001B1D51">
              <w:rPr>
                <w:b/>
                <w:color w:val="000000"/>
                <w:sz w:val="22"/>
                <w:szCs w:val="22"/>
              </w:rPr>
              <w:t>Surname:</w:t>
            </w:r>
          </w:p>
        </w:tc>
        <w:tc>
          <w:tcPr>
            <w:tcW w:w="6804" w:type="dxa"/>
            <w:gridSpan w:val="2"/>
          </w:tcPr>
          <w:p w14:paraId="4C9497D1" w14:textId="27D1031C" w:rsidR="00953D36" w:rsidRPr="001B1D51" w:rsidRDefault="001B1D51">
            <w:pPr>
              <w:ind w:left="0" w:hanging="2"/>
            </w:pPr>
            <w:r w:rsidRPr="001B1D51">
              <w:t>Lohbauer</w:t>
            </w:r>
          </w:p>
        </w:tc>
      </w:tr>
      <w:tr w:rsidR="00953D36" w14:paraId="118D51AC" w14:textId="77777777">
        <w:trPr>
          <w:trHeight w:val="270"/>
        </w:trPr>
        <w:tc>
          <w:tcPr>
            <w:tcW w:w="2802" w:type="dxa"/>
            <w:gridSpan w:val="4"/>
          </w:tcPr>
          <w:p w14:paraId="0516A661" w14:textId="77777777" w:rsidR="00953D36" w:rsidRPr="001B1D51" w:rsidRDefault="005A078D">
            <w:pPr>
              <w:pBdr>
                <w:top w:val="nil"/>
                <w:left w:val="nil"/>
                <w:bottom w:val="nil"/>
                <w:right w:val="nil"/>
                <w:between w:val="nil"/>
              </w:pBdr>
              <w:spacing w:before="60" w:after="60" w:line="240" w:lineRule="auto"/>
              <w:ind w:left="0" w:hanging="2"/>
              <w:rPr>
                <w:color w:val="000000"/>
                <w:sz w:val="22"/>
                <w:szCs w:val="22"/>
              </w:rPr>
            </w:pPr>
            <w:r w:rsidRPr="001B1D51">
              <w:rPr>
                <w:b/>
                <w:color w:val="000000"/>
                <w:sz w:val="22"/>
                <w:szCs w:val="22"/>
              </w:rPr>
              <w:t>Given Name:</w:t>
            </w:r>
          </w:p>
        </w:tc>
        <w:tc>
          <w:tcPr>
            <w:tcW w:w="6804" w:type="dxa"/>
            <w:gridSpan w:val="2"/>
          </w:tcPr>
          <w:p w14:paraId="50F9931B" w14:textId="156DD5A8" w:rsidR="00953D36" w:rsidRPr="001B1D51" w:rsidRDefault="001B1D51">
            <w:pPr>
              <w:ind w:left="0" w:hanging="2"/>
            </w:pPr>
            <w:r w:rsidRPr="001B1D51">
              <w:t>Christian</w:t>
            </w:r>
          </w:p>
        </w:tc>
      </w:tr>
      <w:tr w:rsidR="00953D36" w14:paraId="639C686D" w14:textId="77777777">
        <w:trPr>
          <w:trHeight w:val="280"/>
        </w:trPr>
        <w:tc>
          <w:tcPr>
            <w:tcW w:w="2802" w:type="dxa"/>
            <w:gridSpan w:val="4"/>
          </w:tcPr>
          <w:p w14:paraId="7582E54F" w14:textId="77777777" w:rsidR="00953D36" w:rsidRPr="001B1D51" w:rsidRDefault="005A078D">
            <w:pPr>
              <w:pBdr>
                <w:top w:val="nil"/>
                <w:left w:val="nil"/>
                <w:bottom w:val="nil"/>
                <w:right w:val="nil"/>
                <w:between w:val="nil"/>
              </w:pBdr>
              <w:spacing w:before="60" w:after="60" w:line="240" w:lineRule="auto"/>
              <w:ind w:left="0" w:hanging="2"/>
              <w:rPr>
                <w:color w:val="000000"/>
                <w:sz w:val="22"/>
                <w:szCs w:val="22"/>
              </w:rPr>
            </w:pPr>
            <w:r w:rsidRPr="001B1D51">
              <w:rPr>
                <w:b/>
                <w:color w:val="000000"/>
                <w:sz w:val="22"/>
                <w:szCs w:val="22"/>
              </w:rPr>
              <w:t xml:space="preserve">Government </w:t>
            </w:r>
            <w:r w:rsidRPr="001B1D51">
              <w:rPr>
                <w:color w:val="000000"/>
                <w:sz w:val="22"/>
                <w:szCs w:val="22"/>
              </w:rPr>
              <w:t>(if applicable)</w:t>
            </w:r>
            <w:r w:rsidRPr="001B1D51">
              <w:rPr>
                <w:b/>
                <w:color w:val="000000"/>
                <w:sz w:val="22"/>
                <w:szCs w:val="22"/>
              </w:rPr>
              <w:t xml:space="preserve">: </w:t>
            </w:r>
          </w:p>
        </w:tc>
        <w:tc>
          <w:tcPr>
            <w:tcW w:w="6804" w:type="dxa"/>
            <w:gridSpan w:val="2"/>
          </w:tcPr>
          <w:p w14:paraId="39A3FFE3" w14:textId="77777777" w:rsidR="00953D36" w:rsidRPr="001B1D51" w:rsidRDefault="00953D36">
            <w:pPr>
              <w:ind w:left="0" w:hanging="2"/>
            </w:pPr>
          </w:p>
        </w:tc>
      </w:tr>
      <w:tr w:rsidR="00953D36" w14:paraId="0192AED0" w14:textId="77777777">
        <w:trPr>
          <w:trHeight w:val="270"/>
        </w:trPr>
        <w:tc>
          <w:tcPr>
            <w:tcW w:w="2802" w:type="dxa"/>
            <w:gridSpan w:val="4"/>
          </w:tcPr>
          <w:p w14:paraId="025F09F3" w14:textId="77777777" w:rsidR="00953D36" w:rsidRPr="001B1D51" w:rsidRDefault="005A078D">
            <w:pPr>
              <w:pBdr>
                <w:top w:val="nil"/>
                <w:left w:val="nil"/>
                <w:bottom w:val="nil"/>
                <w:right w:val="nil"/>
                <w:between w:val="nil"/>
              </w:pBdr>
              <w:spacing w:before="60" w:after="60" w:line="240" w:lineRule="auto"/>
              <w:ind w:left="0" w:hanging="2"/>
              <w:rPr>
                <w:color w:val="000000"/>
                <w:sz w:val="22"/>
                <w:szCs w:val="22"/>
              </w:rPr>
            </w:pPr>
            <w:r w:rsidRPr="001B1D51">
              <w:rPr>
                <w:b/>
                <w:color w:val="000000"/>
                <w:sz w:val="22"/>
                <w:szCs w:val="22"/>
              </w:rPr>
              <w:t>Organization:</w:t>
            </w:r>
          </w:p>
        </w:tc>
        <w:tc>
          <w:tcPr>
            <w:tcW w:w="6804" w:type="dxa"/>
            <w:gridSpan w:val="2"/>
          </w:tcPr>
          <w:p w14:paraId="130D556B" w14:textId="7BEB89C5" w:rsidR="00953D36" w:rsidRPr="001B1D51" w:rsidRDefault="001B1D51">
            <w:pPr>
              <w:ind w:left="0" w:hanging="2"/>
            </w:pPr>
            <w:r w:rsidRPr="001B1D51">
              <w:t>CropLife Brazil</w:t>
            </w:r>
          </w:p>
        </w:tc>
      </w:tr>
      <w:tr w:rsidR="00953D36" w14:paraId="0438DDA2" w14:textId="77777777">
        <w:trPr>
          <w:trHeight w:val="280"/>
        </w:trPr>
        <w:tc>
          <w:tcPr>
            <w:tcW w:w="2802" w:type="dxa"/>
            <w:gridSpan w:val="4"/>
          </w:tcPr>
          <w:p w14:paraId="734909DF" w14:textId="77777777" w:rsidR="00953D36" w:rsidRPr="001B1D51" w:rsidRDefault="005A078D">
            <w:pPr>
              <w:pBdr>
                <w:top w:val="nil"/>
                <w:left w:val="nil"/>
                <w:bottom w:val="nil"/>
                <w:right w:val="nil"/>
                <w:between w:val="nil"/>
              </w:pBdr>
              <w:spacing w:before="60" w:after="60" w:line="240" w:lineRule="auto"/>
              <w:ind w:left="0" w:hanging="2"/>
              <w:rPr>
                <w:color w:val="000000"/>
                <w:sz w:val="22"/>
                <w:szCs w:val="22"/>
              </w:rPr>
            </w:pPr>
            <w:r w:rsidRPr="001B1D51">
              <w:rPr>
                <w:b/>
                <w:color w:val="000000"/>
                <w:sz w:val="22"/>
                <w:szCs w:val="22"/>
              </w:rPr>
              <w:t xml:space="preserve">Address:  </w:t>
            </w:r>
          </w:p>
        </w:tc>
        <w:tc>
          <w:tcPr>
            <w:tcW w:w="6804" w:type="dxa"/>
            <w:gridSpan w:val="2"/>
          </w:tcPr>
          <w:p w14:paraId="540CA593" w14:textId="0D471DF8" w:rsidR="00953D36" w:rsidRPr="001B1D51" w:rsidRDefault="001B1D51" w:rsidP="001B1D51">
            <w:pPr>
              <w:ind w:leftChars="0" w:left="0" w:firstLineChars="0" w:firstLine="0"/>
            </w:pPr>
            <w:r w:rsidRPr="001B1D51">
              <w:t xml:space="preserve">Avenida Roque </w:t>
            </w:r>
            <w:proofErr w:type="spellStart"/>
            <w:r w:rsidRPr="001B1D51">
              <w:t>Petroni</w:t>
            </w:r>
            <w:proofErr w:type="spellEnd"/>
            <w:r w:rsidRPr="001B1D51">
              <w:t xml:space="preserve"> Junior, 850</w:t>
            </w:r>
          </w:p>
        </w:tc>
      </w:tr>
      <w:tr w:rsidR="00953D36" w14:paraId="75F365A1" w14:textId="77777777">
        <w:trPr>
          <w:trHeight w:val="270"/>
        </w:trPr>
        <w:tc>
          <w:tcPr>
            <w:tcW w:w="2802" w:type="dxa"/>
            <w:gridSpan w:val="4"/>
          </w:tcPr>
          <w:p w14:paraId="149B528A" w14:textId="77777777" w:rsidR="00953D36" w:rsidRPr="001B1D51" w:rsidRDefault="005A078D">
            <w:pPr>
              <w:pBdr>
                <w:top w:val="nil"/>
                <w:left w:val="nil"/>
                <w:bottom w:val="nil"/>
                <w:right w:val="nil"/>
                <w:between w:val="nil"/>
              </w:pBdr>
              <w:spacing w:before="60" w:after="60" w:line="240" w:lineRule="auto"/>
              <w:ind w:left="0" w:hanging="2"/>
              <w:rPr>
                <w:color w:val="000000"/>
                <w:sz w:val="22"/>
                <w:szCs w:val="22"/>
              </w:rPr>
            </w:pPr>
            <w:r w:rsidRPr="001B1D51">
              <w:rPr>
                <w:b/>
                <w:color w:val="000000"/>
                <w:sz w:val="22"/>
                <w:szCs w:val="22"/>
              </w:rPr>
              <w:t>City:</w:t>
            </w:r>
          </w:p>
        </w:tc>
        <w:tc>
          <w:tcPr>
            <w:tcW w:w="6804" w:type="dxa"/>
            <w:gridSpan w:val="2"/>
          </w:tcPr>
          <w:p w14:paraId="25BA44F0" w14:textId="5FF819A2" w:rsidR="00953D36" w:rsidRPr="001B1D51" w:rsidRDefault="001B1D51">
            <w:pPr>
              <w:ind w:left="0" w:hanging="2"/>
            </w:pPr>
            <w:r w:rsidRPr="001B1D51">
              <w:t>Sao Paulo</w:t>
            </w:r>
          </w:p>
        </w:tc>
      </w:tr>
      <w:tr w:rsidR="00953D36" w14:paraId="76BCE7A5" w14:textId="77777777">
        <w:trPr>
          <w:trHeight w:val="280"/>
        </w:trPr>
        <w:tc>
          <w:tcPr>
            <w:tcW w:w="2802" w:type="dxa"/>
            <w:gridSpan w:val="4"/>
          </w:tcPr>
          <w:p w14:paraId="158EC568" w14:textId="77777777" w:rsidR="00953D36" w:rsidRPr="001B1D51" w:rsidRDefault="005A078D">
            <w:pPr>
              <w:pBdr>
                <w:top w:val="nil"/>
                <w:left w:val="nil"/>
                <w:bottom w:val="nil"/>
                <w:right w:val="nil"/>
                <w:between w:val="nil"/>
              </w:pBdr>
              <w:spacing w:before="60" w:after="60" w:line="240" w:lineRule="auto"/>
              <w:ind w:left="0" w:hanging="2"/>
              <w:rPr>
                <w:color w:val="000000"/>
                <w:sz w:val="22"/>
                <w:szCs w:val="22"/>
              </w:rPr>
            </w:pPr>
            <w:r w:rsidRPr="001B1D51">
              <w:rPr>
                <w:b/>
                <w:color w:val="000000"/>
                <w:sz w:val="22"/>
                <w:szCs w:val="22"/>
              </w:rPr>
              <w:t>Country:</w:t>
            </w:r>
          </w:p>
        </w:tc>
        <w:tc>
          <w:tcPr>
            <w:tcW w:w="6804" w:type="dxa"/>
            <w:gridSpan w:val="2"/>
          </w:tcPr>
          <w:p w14:paraId="2137DA42" w14:textId="77777777" w:rsidR="00953D36" w:rsidRPr="001B1D51" w:rsidRDefault="005A078D">
            <w:pPr>
              <w:ind w:left="0" w:hanging="2"/>
            </w:pPr>
            <w:r w:rsidRPr="001B1D51">
              <w:t>Brazil</w:t>
            </w:r>
          </w:p>
        </w:tc>
      </w:tr>
      <w:tr w:rsidR="00953D36" w14:paraId="5100EC73" w14:textId="77777777">
        <w:trPr>
          <w:trHeight w:val="233"/>
        </w:trPr>
        <w:tc>
          <w:tcPr>
            <w:tcW w:w="2802" w:type="dxa"/>
            <w:gridSpan w:val="4"/>
          </w:tcPr>
          <w:p w14:paraId="480FA4B2" w14:textId="77777777" w:rsidR="00953D36" w:rsidRPr="001B1D51" w:rsidRDefault="005A078D">
            <w:pPr>
              <w:pBdr>
                <w:top w:val="nil"/>
                <w:left w:val="nil"/>
                <w:bottom w:val="nil"/>
                <w:right w:val="nil"/>
                <w:between w:val="nil"/>
              </w:pBdr>
              <w:spacing w:line="240" w:lineRule="auto"/>
              <w:ind w:left="0" w:hanging="2"/>
              <w:rPr>
                <w:b/>
                <w:color w:val="000000"/>
                <w:sz w:val="22"/>
                <w:szCs w:val="22"/>
              </w:rPr>
            </w:pPr>
            <w:r w:rsidRPr="001B1D51">
              <w:rPr>
                <w:b/>
                <w:color w:val="000000"/>
                <w:sz w:val="22"/>
                <w:szCs w:val="22"/>
              </w:rPr>
              <w:t>E-mail:</w:t>
            </w:r>
          </w:p>
        </w:tc>
        <w:tc>
          <w:tcPr>
            <w:tcW w:w="6804" w:type="dxa"/>
            <w:gridSpan w:val="2"/>
          </w:tcPr>
          <w:p w14:paraId="1B2E0EF7" w14:textId="3FCC8181" w:rsidR="00953D36" w:rsidRPr="001B1D51" w:rsidRDefault="001B1D51">
            <w:pPr>
              <w:ind w:left="0" w:hanging="2"/>
            </w:pPr>
            <w:r w:rsidRPr="001B1D51">
              <w:t>Christian.lohbauer@croplifebrasil.org</w:t>
            </w:r>
          </w:p>
        </w:tc>
      </w:tr>
      <w:tr w:rsidR="00953D36" w14:paraId="19AAFAD7" w14:textId="77777777">
        <w:trPr>
          <w:trHeight w:val="224"/>
        </w:trPr>
        <w:tc>
          <w:tcPr>
            <w:tcW w:w="817" w:type="dxa"/>
            <w:shd w:val="clear" w:color="auto" w:fill="C0C0C0"/>
          </w:tcPr>
          <w:p w14:paraId="2B7BE600" w14:textId="77777777" w:rsidR="00953D36" w:rsidRDefault="00953D36">
            <w:pPr>
              <w:ind w:left="0" w:hanging="2"/>
              <w:jc w:val="center"/>
              <w:rPr>
                <w:highlight w:val="lightGray"/>
              </w:rPr>
            </w:pPr>
          </w:p>
        </w:tc>
        <w:tc>
          <w:tcPr>
            <w:tcW w:w="815" w:type="dxa"/>
            <w:shd w:val="clear" w:color="auto" w:fill="C0C0C0"/>
          </w:tcPr>
          <w:p w14:paraId="4B3348E5" w14:textId="77777777" w:rsidR="00953D36" w:rsidRDefault="00953D36">
            <w:pPr>
              <w:ind w:left="0" w:hanging="2"/>
              <w:jc w:val="center"/>
              <w:rPr>
                <w:highlight w:val="lightGray"/>
              </w:rPr>
            </w:pPr>
          </w:p>
        </w:tc>
        <w:tc>
          <w:tcPr>
            <w:tcW w:w="7974" w:type="dxa"/>
            <w:gridSpan w:val="4"/>
            <w:shd w:val="clear" w:color="auto" w:fill="C0C0C0"/>
          </w:tcPr>
          <w:p w14:paraId="09804A31" w14:textId="77777777" w:rsidR="00953D36" w:rsidRDefault="005A078D">
            <w:pPr>
              <w:ind w:left="0" w:hanging="2"/>
              <w:jc w:val="center"/>
            </w:pPr>
            <w:r>
              <w:rPr>
                <w:b/>
                <w:i/>
                <w:highlight w:val="lightGray"/>
              </w:rPr>
              <w:t>Comments</w:t>
            </w:r>
          </w:p>
        </w:tc>
      </w:tr>
      <w:tr w:rsidR="00953D36" w:rsidRPr="00FD07D5" w14:paraId="6DDCC035" w14:textId="77777777">
        <w:trPr>
          <w:trHeight w:val="224"/>
        </w:trPr>
        <w:tc>
          <w:tcPr>
            <w:tcW w:w="817" w:type="dxa"/>
          </w:tcPr>
          <w:p w14:paraId="4F65D70E" w14:textId="77777777" w:rsidR="00953D36" w:rsidRPr="00FD07D5" w:rsidRDefault="005A078D">
            <w:pPr>
              <w:ind w:left="0" w:hanging="2"/>
              <w:rPr>
                <w:sz w:val="22"/>
                <w:szCs w:val="22"/>
              </w:rPr>
            </w:pPr>
            <w:r w:rsidRPr="00FD07D5">
              <w:rPr>
                <w:b/>
                <w:sz w:val="22"/>
                <w:szCs w:val="22"/>
              </w:rPr>
              <w:t>Table</w:t>
            </w:r>
          </w:p>
        </w:tc>
        <w:tc>
          <w:tcPr>
            <w:tcW w:w="815" w:type="dxa"/>
          </w:tcPr>
          <w:p w14:paraId="10F822D5" w14:textId="77777777" w:rsidR="00953D36" w:rsidRPr="00FD07D5" w:rsidRDefault="005A078D">
            <w:pPr>
              <w:ind w:left="0" w:hanging="2"/>
              <w:rPr>
                <w:sz w:val="22"/>
                <w:szCs w:val="22"/>
              </w:rPr>
            </w:pPr>
            <w:r w:rsidRPr="00FD07D5">
              <w:rPr>
                <w:b/>
                <w:sz w:val="22"/>
                <w:szCs w:val="22"/>
              </w:rPr>
              <w:t>Page</w:t>
            </w:r>
          </w:p>
        </w:tc>
        <w:tc>
          <w:tcPr>
            <w:tcW w:w="974" w:type="dxa"/>
          </w:tcPr>
          <w:p w14:paraId="1A5D0AB1" w14:textId="77777777" w:rsidR="00953D36" w:rsidRPr="00FD07D5" w:rsidRDefault="005A078D">
            <w:pPr>
              <w:ind w:left="0" w:hanging="2"/>
            </w:pPr>
            <w:r w:rsidRPr="00FD07D5">
              <w:rPr>
                <w:b/>
                <w:sz w:val="22"/>
                <w:szCs w:val="22"/>
              </w:rPr>
              <w:t>Column letter</w:t>
            </w:r>
          </w:p>
        </w:tc>
        <w:tc>
          <w:tcPr>
            <w:tcW w:w="1215" w:type="dxa"/>
            <w:gridSpan w:val="2"/>
          </w:tcPr>
          <w:p w14:paraId="7E6FDC73" w14:textId="77777777" w:rsidR="00953D36" w:rsidRPr="00FD07D5" w:rsidRDefault="005A078D">
            <w:pPr>
              <w:ind w:left="0" w:hanging="2"/>
            </w:pPr>
            <w:r w:rsidRPr="00FD07D5">
              <w:rPr>
                <w:b/>
              </w:rPr>
              <w:t>Row number</w:t>
            </w:r>
          </w:p>
        </w:tc>
        <w:tc>
          <w:tcPr>
            <w:tcW w:w="5785" w:type="dxa"/>
          </w:tcPr>
          <w:p w14:paraId="246911CE" w14:textId="77777777" w:rsidR="00953D36" w:rsidRPr="00FD07D5" w:rsidRDefault="005A078D">
            <w:pPr>
              <w:ind w:left="0" w:hanging="2"/>
            </w:pPr>
            <w:r w:rsidRPr="00FD07D5">
              <w:rPr>
                <w:b/>
                <w:sz w:val="22"/>
                <w:szCs w:val="22"/>
              </w:rPr>
              <w:t>Comment</w:t>
            </w:r>
          </w:p>
        </w:tc>
      </w:tr>
      <w:tr w:rsidR="002E068D" w:rsidRPr="00FD07D5" w14:paraId="08C88D6F" w14:textId="77777777">
        <w:trPr>
          <w:trHeight w:val="224"/>
        </w:trPr>
        <w:tc>
          <w:tcPr>
            <w:tcW w:w="817" w:type="dxa"/>
          </w:tcPr>
          <w:p w14:paraId="2B875030" w14:textId="10E69DDD" w:rsidR="002E068D" w:rsidRPr="00FD07D5" w:rsidRDefault="002E068D">
            <w:pPr>
              <w:ind w:left="0" w:hanging="2"/>
            </w:pPr>
            <w:r w:rsidRPr="00FD07D5">
              <w:t>1</w:t>
            </w:r>
          </w:p>
        </w:tc>
        <w:tc>
          <w:tcPr>
            <w:tcW w:w="815" w:type="dxa"/>
          </w:tcPr>
          <w:p w14:paraId="011C19C8" w14:textId="7A42E626" w:rsidR="002E068D" w:rsidRPr="00FD07D5" w:rsidRDefault="002E068D">
            <w:pPr>
              <w:ind w:left="0" w:hanging="2"/>
            </w:pPr>
            <w:r w:rsidRPr="00FD07D5">
              <w:t>2</w:t>
            </w:r>
          </w:p>
        </w:tc>
        <w:tc>
          <w:tcPr>
            <w:tcW w:w="974" w:type="dxa"/>
          </w:tcPr>
          <w:p w14:paraId="2E15C70E" w14:textId="738428DA" w:rsidR="002E068D" w:rsidRPr="00FD07D5" w:rsidRDefault="002E068D">
            <w:pPr>
              <w:ind w:left="0" w:hanging="2"/>
            </w:pPr>
            <w:r w:rsidRPr="00FD07D5">
              <w:t>C</w:t>
            </w:r>
          </w:p>
        </w:tc>
        <w:tc>
          <w:tcPr>
            <w:tcW w:w="1215" w:type="dxa"/>
            <w:gridSpan w:val="2"/>
          </w:tcPr>
          <w:p w14:paraId="14821CD0" w14:textId="30202683" w:rsidR="002E068D" w:rsidRPr="00FD07D5" w:rsidRDefault="002E068D">
            <w:pPr>
              <w:ind w:left="0" w:hanging="2"/>
            </w:pPr>
            <w:r w:rsidRPr="00FD07D5">
              <w:t>1</w:t>
            </w:r>
          </w:p>
        </w:tc>
        <w:tc>
          <w:tcPr>
            <w:tcW w:w="5785" w:type="dxa"/>
          </w:tcPr>
          <w:p w14:paraId="5E98036E" w14:textId="17851BC6" w:rsidR="002E068D" w:rsidRPr="00FD07D5" w:rsidRDefault="002E068D" w:rsidP="0090466E">
            <w:pPr>
              <w:ind w:left="0" w:hanging="2"/>
              <w:jc w:val="both"/>
            </w:pPr>
            <w:r w:rsidRPr="00FD07D5">
              <w:t xml:space="preserve">Instead of using “forest area as a proportion of total land use”, as an indicator to Goal A, it is relevant to include any type of vegetation conserved regardless it does not follow the concept of forest; natural pastures, savannah and other types of native vegetation are key to biodiversity conservation. The expression “native vegetation areas as a proportion of total land use” allows to consider any type of native vegetation. </w:t>
            </w:r>
          </w:p>
        </w:tc>
      </w:tr>
      <w:tr w:rsidR="00FD07D5" w:rsidRPr="00FD07D5" w14:paraId="389D67A6" w14:textId="77777777">
        <w:trPr>
          <w:trHeight w:val="224"/>
        </w:trPr>
        <w:tc>
          <w:tcPr>
            <w:tcW w:w="817" w:type="dxa"/>
          </w:tcPr>
          <w:p w14:paraId="48C6B02F" w14:textId="77777777" w:rsidR="00953D36" w:rsidRPr="00FD07D5" w:rsidRDefault="0090466E">
            <w:pPr>
              <w:ind w:left="0" w:hanging="2"/>
            </w:pPr>
            <w:r w:rsidRPr="00FD07D5">
              <w:t>1</w:t>
            </w:r>
          </w:p>
        </w:tc>
        <w:tc>
          <w:tcPr>
            <w:tcW w:w="815" w:type="dxa"/>
          </w:tcPr>
          <w:p w14:paraId="0961C987" w14:textId="77777777" w:rsidR="00953D36" w:rsidRPr="00FD07D5" w:rsidRDefault="0090466E">
            <w:pPr>
              <w:ind w:left="0" w:hanging="2"/>
            </w:pPr>
            <w:r w:rsidRPr="00FD07D5">
              <w:t>5</w:t>
            </w:r>
          </w:p>
        </w:tc>
        <w:tc>
          <w:tcPr>
            <w:tcW w:w="974" w:type="dxa"/>
          </w:tcPr>
          <w:p w14:paraId="077CFA57" w14:textId="77777777" w:rsidR="00953D36" w:rsidRPr="00FD07D5" w:rsidRDefault="0090466E">
            <w:pPr>
              <w:ind w:left="0" w:hanging="2"/>
            </w:pPr>
            <w:r w:rsidRPr="00FD07D5">
              <w:t>C</w:t>
            </w:r>
          </w:p>
        </w:tc>
        <w:tc>
          <w:tcPr>
            <w:tcW w:w="1215" w:type="dxa"/>
            <w:gridSpan w:val="2"/>
          </w:tcPr>
          <w:p w14:paraId="609C9B38" w14:textId="321A797A" w:rsidR="00953D36" w:rsidRPr="00FD07D5" w:rsidRDefault="0090466E">
            <w:pPr>
              <w:ind w:left="0" w:hanging="2"/>
            </w:pPr>
            <w:r w:rsidRPr="00FD07D5">
              <w:t>51</w:t>
            </w:r>
            <w:r w:rsidR="002E068D" w:rsidRPr="00FD07D5">
              <w:t>, 56, 58</w:t>
            </w:r>
          </w:p>
        </w:tc>
        <w:tc>
          <w:tcPr>
            <w:tcW w:w="5785" w:type="dxa"/>
          </w:tcPr>
          <w:p w14:paraId="1C3185CA" w14:textId="77777777" w:rsidR="00217D82" w:rsidRPr="00FD07D5" w:rsidRDefault="002E068D" w:rsidP="0090466E">
            <w:pPr>
              <w:ind w:left="0" w:hanging="2"/>
              <w:jc w:val="both"/>
            </w:pPr>
            <w:r w:rsidRPr="00FD07D5">
              <w:t>The indicator “</w:t>
            </w:r>
            <w:r w:rsidR="0090466E" w:rsidRPr="00FD07D5">
              <w:t xml:space="preserve">Number of certified forest areas under sustainable management with </w:t>
            </w:r>
            <w:r w:rsidR="0090466E" w:rsidRPr="00FD07D5">
              <w:rPr>
                <w:u w:val="single"/>
              </w:rPr>
              <w:t>verified impacts</w:t>
            </w:r>
            <w:r w:rsidR="0090466E" w:rsidRPr="00FD07D5">
              <w:t xml:space="preserve"> on habitat </w:t>
            </w:r>
            <w:r w:rsidR="0090466E" w:rsidRPr="00FD07D5">
              <w:lastRenderedPageBreak/>
              <w:t>conservation/restoration</w:t>
            </w:r>
            <w:r w:rsidRPr="00FD07D5">
              <w:t xml:space="preserve">” should not be used excluding other non-certified forest and native vegetation conservation areas provided that those areas are managed under </w:t>
            </w:r>
            <w:r w:rsidR="00217D82" w:rsidRPr="00FD07D5">
              <w:t>effective area-based conservation measures.</w:t>
            </w:r>
          </w:p>
          <w:p w14:paraId="72FB9559" w14:textId="3DF8B739" w:rsidR="00953D36" w:rsidRPr="00FD07D5" w:rsidRDefault="00217D82" w:rsidP="0090466E">
            <w:pPr>
              <w:ind w:left="0" w:hanging="2"/>
              <w:jc w:val="both"/>
            </w:pPr>
            <w:r w:rsidRPr="00FD07D5">
              <w:t xml:space="preserve">Moreover, all types of native vegetation areas effectively conserved should be used as an indicator towards Goal B. </w:t>
            </w:r>
          </w:p>
        </w:tc>
      </w:tr>
      <w:tr w:rsidR="00FD07D5" w:rsidRPr="00FD07D5" w14:paraId="45B726C9" w14:textId="77777777">
        <w:trPr>
          <w:trHeight w:val="224"/>
        </w:trPr>
        <w:tc>
          <w:tcPr>
            <w:tcW w:w="817" w:type="dxa"/>
          </w:tcPr>
          <w:p w14:paraId="099E2FF0" w14:textId="77777777" w:rsidR="00953D36" w:rsidRPr="00FD07D5" w:rsidRDefault="0090466E">
            <w:pPr>
              <w:ind w:left="0" w:hanging="2"/>
            </w:pPr>
            <w:r w:rsidRPr="00FD07D5">
              <w:lastRenderedPageBreak/>
              <w:t>1</w:t>
            </w:r>
          </w:p>
        </w:tc>
        <w:tc>
          <w:tcPr>
            <w:tcW w:w="815" w:type="dxa"/>
          </w:tcPr>
          <w:p w14:paraId="14A1BB7E" w14:textId="70A5DE12" w:rsidR="00953D36" w:rsidRPr="00FD07D5" w:rsidRDefault="00217D82">
            <w:pPr>
              <w:ind w:left="0" w:hanging="2"/>
            </w:pPr>
            <w:r w:rsidRPr="00FD07D5">
              <w:t>6</w:t>
            </w:r>
          </w:p>
        </w:tc>
        <w:tc>
          <w:tcPr>
            <w:tcW w:w="974" w:type="dxa"/>
          </w:tcPr>
          <w:p w14:paraId="1BA2982F" w14:textId="4A7644B5" w:rsidR="00953D36" w:rsidRPr="00FD07D5" w:rsidRDefault="00217D82">
            <w:pPr>
              <w:ind w:left="0" w:hanging="2"/>
            </w:pPr>
            <w:r w:rsidRPr="00FD07D5">
              <w:t>B</w:t>
            </w:r>
          </w:p>
        </w:tc>
        <w:tc>
          <w:tcPr>
            <w:tcW w:w="1215" w:type="dxa"/>
            <w:gridSpan w:val="2"/>
          </w:tcPr>
          <w:p w14:paraId="47B4FA85" w14:textId="66CFE882" w:rsidR="00953D36" w:rsidRPr="00FD07D5" w:rsidRDefault="00217D82">
            <w:pPr>
              <w:ind w:left="0" w:hanging="2"/>
            </w:pPr>
            <w:r w:rsidRPr="00FD07D5">
              <w:t>65</w:t>
            </w:r>
          </w:p>
        </w:tc>
        <w:tc>
          <w:tcPr>
            <w:tcW w:w="5785" w:type="dxa"/>
          </w:tcPr>
          <w:p w14:paraId="04FBAA0B" w14:textId="3FB74670" w:rsidR="00953D36" w:rsidRPr="00FD07D5" w:rsidRDefault="00217D82" w:rsidP="005D0E6F">
            <w:pPr>
              <w:ind w:left="0" w:hanging="2"/>
              <w:jc w:val="both"/>
            </w:pPr>
            <w:r w:rsidRPr="00FD07D5">
              <w:t xml:space="preserve">Trends in the provision of food and feed from biodiversity should consider a broad range of indicators such as i) access to fruits and other food; ii) soil health and conservation and water conservation and responsible use as key assets to food production; iii) sustainable agriculture practices that promotes the continuous improvement of production with conservation measures; iv) the creation of genetic resources banks on a regional perspective, aimed at accessing and maintaining the diversity of food genetic resources.  </w:t>
            </w:r>
          </w:p>
        </w:tc>
      </w:tr>
      <w:tr w:rsidR="00FD07D5" w:rsidRPr="00FD07D5" w14:paraId="0C217564" w14:textId="77777777">
        <w:trPr>
          <w:trHeight w:val="224"/>
        </w:trPr>
        <w:tc>
          <w:tcPr>
            <w:tcW w:w="817" w:type="dxa"/>
          </w:tcPr>
          <w:p w14:paraId="1E57CF1A" w14:textId="77777777" w:rsidR="00953D36" w:rsidRPr="00FD07D5" w:rsidRDefault="0090466E">
            <w:pPr>
              <w:ind w:left="0" w:hanging="2"/>
              <w:rPr>
                <w:lang w:val="pt-BR"/>
              </w:rPr>
            </w:pPr>
            <w:r w:rsidRPr="00FD07D5">
              <w:rPr>
                <w:lang w:val="pt-BR"/>
              </w:rPr>
              <w:t>1</w:t>
            </w:r>
          </w:p>
        </w:tc>
        <w:tc>
          <w:tcPr>
            <w:tcW w:w="815" w:type="dxa"/>
          </w:tcPr>
          <w:p w14:paraId="29B0E95F" w14:textId="77777777" w:rsidR="00953D36" w:rsidRPr="00FD07D5" w:rsidRDefault="0090466E">
            <w:pPr>
              <w:ind w:left="0" w:hanging="2"/>
              <w:rPr>
                <w:lang w:val="pt-BR"/>
              </w:rPr>
            </w:pPr>
            <w:r w:rsidRPr="00FD07D5">
              <w:rPr>
                <w:lang w:val="pt-BR"/>
              </w:rPr>
              <w:t>7</w:t>
            </w:r>
          </w:p>
        </w:tc>
        <w:tc>
          <w:tcPr>
            <w:tcW w:w="974" w:type="dxa"/>
          </w:tcPr>
          <w:p w14:paraId="02F59B96" w14:textId="77777777" w:rsidR="00953D36" w:rsidRPr="00FD07D5" w:rsidRDefault="0090466E">
            <w:pPr>
              <w:ind w:left="0" w:hanging="2"/>
              <w:rPr>
                <w:lang w:val="pt-BR"/>
              </w:rPr>
            </w:pPr>
            <w:r w:rsidRPr="00FD07D5">
              <w:rPr>
                <w:lang w:val="pt-BR"/>
              </w:rPr>
              <w:t>B</w:t>
            </w:r>
          </w:p>
        </w:tc>
        <w:tc>
          <w:tcPr>
            <w:tcW w:w="1215" w:type="dxa"/>
            <w:gridSpan w:val="2"/>
          </w:tcPr>
          <w:p w14:paraId="235E7434" w14:textId="77777777" w:rsidR="00953D36" w:rsidRPr="00FD07D5" w:rsidRDefault="0090466E">
            <w:pPr>
              <w:ind w:left="0" w:hanging="2"/>
              <w:rPr>
                <w:lang w:val="pt-BR"/>
              </w:rPr>
            </w:pPr>
            <w:r w:rsidRPr="00FD07D5">
              <w:rPr>
                <w:lang w:val="pt-BR"/>
              </w:rPr>
              <w:t>79</w:t>
            </w:r>
          </w:p>
        </w:tc>
        <w:tc>
          <w:tcPr>
            <w:tcW w:w="5785" w:type="dxa"/>
          </w:tcPr>
          <w:p w14:paraId="799CB6E5" w14:textId="795652BF" w:rsidR="00F7464D" w:rsidRPr="00FD07D5" w:rsidRDefault="00F7464D" w:rsidP="00F7464D">
            <w:pPr>
              <w:ind w:left="0" w:hanging="2"/>
              <w:jc w:val="both"/>
            </w:pPr>
            <w:r w:rsidRPr="00FD07D5">
              <w:t xml:space="preserve">Considering that CBD is a Party-driven process, potential indicators on the measurement of the resource mobilization efforts from the private sector </w:t>
            </w:r>
            <w:r w:rsidR="00217D82" w:rsidRPr="00FD07D5">
              <w:t xml:space="preserve">are not </w:t>
            </w:r>
            <w:r w:rsidRPr="00FD07D5">
              <w:t>applicable</w:t>
            </w:r>
            <w:r w:rsidR="00217D82" w:rsidRPr="00FD07D5">
              <w:t xml:space="preserve">. The source of </w:t>
            </w:r>
            <w:r w:rsidR="00551A39" w:rsidRPr="00FD07D5">
              <w:t xml:space="preserve">means of implementation should rely on Parties, banks and organizations. Private sector, philanthropies and other resources should not be considered as a compromised amount to the means of implementation and, therefore, should be considered as voluntary. </w:t>
            </w:r>
          </w:p>
        </w:tc>
      </w:tr>
      <w:tr w:rsidR="00FD07D5" w:rsidRPr="00FD07D5" w14:paraId="0AE47ACA" w14:textId="77777777">
        <w:trPr>
          <w:trHeight w:val="224"/>
        </w:trPr>
        <w:tc>
          <w:tcPr>
            <w:tcW w:w="817" w:type="dxa"/>
          </w:tcPr>
          <w:p w14:paraId="373A0ACE" w14:textId="7A474D8E" w:rsidR="00551A39" w:rsidRPr="00FD07D5" w:rsidRDefault="00551A39">
            <w:pPr>
              <w:ind w:left="0" w:hanging="2"/>
              <w:rPr>
                <w:lang w:val="pt-BR"/>
              </w:rPr>
            </w:pPr>
            <w:r w:rsidRPr="00FD07D5">
              <w:rPr>
                <w:lang w:val="pt-BR"/>
              </w:rPr>
              <w:t>2</w:t>
            </w:r>
          </w:p>
        </w:tc>
        <w:tc>
          <w:tcPr>
            <w:tcW w:w="815" w:type="dxa"/>
          </w:tcPr>
          <w:p w14:paraId="48BD54C1" w14:textId="2AE40C80" w:rsidR="00551A39" w:rsidRPr="00FD07D5" w:rsidRDefault="00551A39">
            <w:pPr>
              <w:ind w:left="0" w:hanging="2"/>
              <w:rPr>
                <w:lang w:val="pt-BR"/>
              </w:rPr>
            </w:pPr>
            <w:r w:rsidRPr="00FD07D5">
              <w:rPr>
                <w:lang w:val="pt-BR"/>
              </w:rPr>
              <w:t>10</w:t>
            </w:r>
          </w:p>
        </w:tc>
        <w:tc>
          <w:tcPr>
            <w:tcW w:w="974" w:type="dxa"/>
          </w:tcPr>
          <w:p w14:paraId="22695ABD" w14:textId="30DC9D0F" w:rsidR="00551A39" w:rsidRPr="00FD07D5" w:rsidRDefault="00551A39">
            <w:pPr>
              <w:ind w:left="0" w:hanging="2"/>
              <w:rPr>
                <w:lang w:val="pt-BR"/>
              </w:rPr>
            </w:pPr>
            <w:r w:rsidRPr="00FD07D5">
              <w:rPr>
                <w:lang w:val="pt-BR"/>
              </w:rPr>
              <w:t>C</w:t>
            </w:r>
          </w:p>
        </w:tc>
        <w:tc>
          <w:tcPr>
            <w:tcW w:w="1215" w:type="dxa"/>
            <w:gridSpan w:val="2"/>
          </w:tcPr>
          <w:p w14:paraId="3ECACA58" w14:textId="32BB6A1A" w:rsidR="00551A39" w:rsidRPr="00FD07D5" w:rsidRDefault="00551A39">
            <w:pPr>
              <w:ind w:left="0" w:hanging="2"/>
              <w:rPr>
                <w:lang w:val="pt-BR"/>
              </w:rPr>
            </w:pPr>
            <w:r w:rsidRPr="00FD07D5">
              <w:rPr>
                <w:lang w:val="pt-BR"/>
              </w:rPr>
              <w:t>29</w:t>
            </w:r>
          </w:p>
        </w:tc>
        <w:tc>
          <w:tcPr>
            <w:tcW w:w="5785" w:type="dxa"/>
          </w:tcPr>
          <w:p w14:paraId="10325391" w14:textId="77777777" w:rsidR="00551A39" w:rsidRPr="00FD07D5" w:rsidRDefault="00551A39" w:rsidP="00F7464D">
            <w:pPr>
              <w:ind w:left="0" w:hanging="2"/>
              <w:jc w:val="both"/>
            </w:pPr>
            <w:r w:rsidRPr="00FD07D5">
              <w:t xml:space="preserve">The existence of native vegetation on farms and other producing landscapes is key to promote sustainable development of agricultural systems. </w:t>
            </w:r>
          </w:p>
          <w:p w14:paraId="04C168F7" w14:textId="21A0EB30" w:rsidR="00551A39" w:rsidRPr="00FD07D5" w:rsidRDefault="00551A39" w:rsidP="00F7464D">
            <w:pPr>
              <w:ind w:left="0" w:hanging="2"/>
              <w:jc w:val="both"/>
            </w:pPr>
            <w:r w:rsidRPr="00FD07D5">
              <w:t xml:space="preserve">The possibility to recover degraded land is also another key feature that should be considered aimed at promoting the conversion of degraded land to productive lands </w:t>
            </w:r>
            <w:proofErr w:type="gramStart"/>
            <w:r w:rsidRPr="00FD07D5">
              <w:t>and also</w:t>
            </w:r>
            <w:proofErr w:type="gramEnd"/>
            <w:r w:rsidRPr="00FD07D5">
              <w:t xml:space="preserve"> to native vegetation restoration. </w:t>
            </w:r>
          </w:p>
        </w:tc>
      </w:tr>
      <w:tr w:rsidR="00551A39" w:rsidRPr="00FD07D5" w14:paraId="44E5EEE0" w14:textId="77777777">
        <w:trPr>
          <w:trHeight w:val="224"/>
        </w:trPr>
        <w:tc>
          <w:tcPr>
            <w:tcW w:w="817" w:type="dxa"/>
          </w:tcPr>
          <w:p w14:paraId="03DF09F9" w14:textId="4409D261" w:rsidR="00551A39" w:rsidRPr="00FD07D5" w:rsidRDefault="00551A39">
            <w:pPr>
              <w:ind w:left="0" w:hanging="2"/>
              <w:rPr>
                <w:lang w:val="pt-BR"/>
              </w:rPr>
            </w:pPr>
            <w:r w:rsidRPr="00FD07D5">
              <w:rPr>
                <w:lang w:val="pt-BR"/>
              </w:rPr>
              <w:t>2</w:t>
            </w:r>
          </w:p>
        </w:tc>
        <w:tc>
          <w:tcPr>
            <w:tcW w:w="815" w:type="dxa"/>
          </w:tcPr>
          <w:p w14:paraId="1E8E500E" w14:textId="5D6F15B4" w:rsidR="00551A39" w:rsidRPr="00FD07D5" w:rsidRDefault="00551A39">
            <w:pPr>
              <w:ind w:left="0" w:hanging="2"/>
              <w:rPr>
                <w:lang w:val="pt-BR"/>
              </w:rPr>
            </w:pPr>
            <w:r w:rsidRPr="00FD07D5">
              <w:rPr>
                <w:lang w:val="pt-BR"/>
              </w:rPr>
              <w:t>11</w:t>
            </w:r>
          </w:p>
        </w:tc>
        <w:tc>
          <w:tcPr>
            <w:tcW w:w="974" w:type="dxa"/>
          </w:tcPr>
          <w:p w14:paraId="54A1DE36" w14:textId="09A09188" w:rsidR="00551A39" w:rsidRPr="00FD07D5" w:rsidRDefault="00551A39">
            <w:pPr>
              <w:ind w:left="0" w:hanging="2"/>
              <w:rPr>
                <w:lang w:val="pt-BR"/>
              </w:rPr>
            </w:pPr>
            <w:r w:rsidRPr="00FD07D5">
              <w:rPr>
                <w:lang w:val="pt-BR"/>
              </w:rPr>
              <w:t>C</w:t>
            </w:r>
          </w:p>
        </w:tc>
        <w:tc>
          <w:tcPr>
            <w:tcW w:w="1215" w:type="dxa"/>
            <w:gridSpan w:val="2"/>
          </w:tcPr>
          <w:p w14:paraId="60D68F23" w14:textId="27301973" w:rsidR="00551A39" w:rsidRPr="00FD07D5" w:rsidRDefault="00551A39">
            <w:pPr>
              <w:ind w:left="0" w:hanging="2"/>
              <w:rPr>
                <w:lang w:val="pt-BR"/>
              </w:rPr>
            </w:pPr>
            <w:r w:rsidRPr="00FD07D5">
              <w:rPr>
                <w:lang w:val="pt-BR"/>
              </w:rPr>
              <w:t>38</w:t>
            </w:r>
          </w:p>
        </w:tc>
        <w:tc>
          <w:tcPr>
            <w:tcW w:w="5785" w:type="dxa"/>
          </w:tcPr>
          <w:p w14:paraId="223E2388" w14:textId="24A6F771" w:rsidR="00551A39" w:rsidRPr="00FD07D5" w:rsidRDefault="00551A39" w:rsidP="00F7464D">
            <w:pPr>
              <w:ind w:left="0" w:hanging="2"/>
              <w:jc w:val="both"/>
            </w:pPr>
            <w:r w:rsidRPr="00FD07D5">
              <w:t>Other effective area-based conservation measures should include a proportion on native vegetation on private lands, aimed at promoting native vegetation conservation and restoration on farmland.</w:t>
            </w:r>
            <w:r w:rsidR="00A8176F" w:rsidRPr="00FD07D5">
              <w:t xml:space="preserve"> Parties should be encouraged to promote this kind of conservation measures, especially considering the positive biodiversity-climate-soil-water nexus that native vegetation can offer. </w:t>
            </w:r>
          </w:p>
        </w:tc>
      </w:tr>
      <w:tr w:rsidR="00FD07D5" w:rsidRPr="00FD07D5" w14:paraId="268CE8C7" w14:textId="77777777">
        <w:trPr>
          <w:trHeight w:val="224"/>
        </w:trPr>
        <w:tc>
          <w:tcPr>
            <w:tcW w:w="817" w:type="dxa"/>
          </w:tcPr>
          <w:p w14:paraId="7AA13D17" w14:textId="77777777" w:rsidR="00953D36" w:rsidRPr="00FD07D5" w:rsidRDefault="0090466E">
            <w:pPr>
              <w:ind w:left="0" w:hanging="2"/>
            </w:pPr>
            <w:r w:rsidRPr="00FD07D5">
              <w:t>2</w:t>
            </w:r>
          </w:p>
        </w:tc>
        <w:tc>
          <w:tcPr>
            <w:tcW w:w="815" w:type="dxa"/>
          </w:tcPr>
          <w:p w14:paraId="16B18B4D" w14:textId="77777777" w:rsidR="00953D36" w:rsidRPr="00FD07D5" w:rsidRDefault="0090466E">
            <w:pPr>
              <w:ind w:left="0" w:hanging="2"/>
            </w:pPr>
            <w:r w:rsidRPr="00FD07D5">
              <w:t>12</w:t>
            </w:r>
          </w:p>
        </w:tc>
        <w:tc>
          <w:tcPr>
            <w:tcW w:w="974" w:type="dxa"/>
          </w:tcPr>
          <w:p w14:paraId="3439CAD6" w14:textId="77777777" w:rsidR="00953D36" w:rsidRPr="00FD07D5" w:rsidRDefault="0090466E">
            <w:pPr>
              <w:ind w:left="0" w:hanging="2"/>
            </w:pPr>
            <w:r w:rsidRPr="00FD07D5">
              <w:t>C</w:t>
            </w:r>
          </w:p>
        </w:tc>
        <w:tc>
          <w:tcPr>
            <w:tcW w:w="1215" w:type="dxa"/>
            <w:gridSpan w:val="2"/>
          </w:tcPr>
          <w:p w14:paraId="2827409F" w14:textId="77777777" w:rsidR="00953D36" w:rsidRPr="00FD07D5" w:rsidRDefault="0090466E">
            <w:pPr>
              <w:ind w:left="0" w:hanging="2"/>
            </w:pPr>
            <w:r w:rsidRPr="00FD07D5">
              <w:t>48</w:t>
            </w:r>
          </w:p>
        </w:tc>
        <w:tc>
          <w:tcPr>
            <w:tcW w:w="5785" w:type="dxa"/>
          </w:tcPr>
          <w:p w14:paraId="04E6D52E" w14:textId="41048959" w:rsidR="00F7464D" w:rsidRPr="00FD07D5" w:rsidRDefault="00A8176F" w:rsidP="00E36853">
            <w:pPr>
              <w:ind w:left="0" w:hanging="2"/>
              <w:jc w:val="both"/>
            </w:pPr>
            <w:r w:rsidRPr="00FD07D5">
              <w:t xml:space="preserve">The proposed indicator - </w:t>
            </w:r>
            <w:r w:rsidR="0090466E" w:rsidRPr="00FD07D5">
              <w:t>Number of certified forest areas under sustainable</w:t>
            </w:r>
            <w:r w:rsidR="00E36853" w:rsidRPr="00FD07D5">
              <w:t xml:space="preserve"> </w:t>
            </w:r>
            <w:r w:rsidR="0090466E" w:rsidRPr="00FD07D5">
              <w:t xml:space="preserve">management with </w:t>
            </w:r>
            <w:r w:rsidR="0090466E" w:rsidRPr="00FD07D5">
              <w:rPr>
                <w:u w:val="single"/>
              </w:rPr>
              <w:t>verified impacts</w:t>
            </w:r>
            <w:r w:rsidR="0090466E" w:rsidRPr="00FD07D5">
              <w:t xml:space="preserve"> on biodiversity</w:t>
            </w:r>
            <w:r w:rsidR="00E36853" w:rsidRPr="00FD07D5">
              <w:t xml:space="preserve"> </w:t>
            </w:r>
            <w:r w:rsidR="0090466E" w:rsidRPr="00FD07D5">
              <w:t>conservation</w:t>
            </w:r>
            <w:r w:rsidRPr="00FD07D5">
              <w:t xml:space="preserve"> – is not suitable, </w:t>
            </w:r>
            <w:r w:rsidRPr="00FD07D5">
              <w:rPr>
                <w:i/>
                <w:iCs/>
              </w:rPr>
              <w:t>per se</w:t>
            </w:r>
            <w:r w:rsidRPr="00FD07D5">
              <w:t xml:space="preserve">, to measure the </w:t>
            </w:r>
            <w:r w:rsidR="00016AF3" w:rsidRPr="00FD07D5">
              <w:t xml:space="preserve">scope of the implementation of </w:t>
            </w:r>
            <w:r w:rsidRPr="00FD07D5">
              <w:t xml:space="preserve">effective area-based conservation measures. It can be incentivized as a possible instrument, but </w:t>
            </w:r>
            <w:r w:rsidR="00016AF3" w:rsidRPr="00FD07D5">
              <w:t xml:space="preserve">it is quite relevant to consider that </w:t>
            </w:r>
            <w:r w:rsidRPr="00FD07D5">
              <w:t>Parties do</w:t>
            </w:r>
            <w:r w:rsidR="00F2028C">
              <w:t xml:space="preserve"> </w:t>
            </w:r>
            <w:r w:rsidRPr="00FD07D5">
              <w:t>not engage directly in forest certification schemes</w:t>
            </w:r>
            <w:r w:rsidR="00016AF3" w:rsidRPr="00FD07D5">
              <w:t xml:space="preserve">. </w:t>
            </w:r>
          </w:p>
        </w:tc>
      </w:tr>
      <w:tr w:rsidR="00FD07D5" w:rsidRPr="00FD07D5" w14:paraId="7E57F3DA" w14:textId="77777777">
        <w:trPr>
          <w:trHeight w:val="224"/>
        </w:trPr>
        <w:tc>
          <w:tcPr>
            <w:tcW w:w="817" w:type="dxa"/>
          </w:tcPr>
          <w:p w14:paraId="429151CB" w14:textId="0F32F71F" w:rsidR="00016AF3" w:rsidRPr="00FD07D5" w:rsidRDefault="00016AF3">
            <w:pPr>
              <w:ind w:left="0" w:hanging="2"/>
            </w:pPr>
            <w:r w:rsidRPr="00FD07D5">
              <w:lastRenderedPageBreak/>
              <w:t>2</w:t>
            </w:r>
          </w:p>
        </w:tc>
        <w:tc>
          <w:tcPr>
            <w:tcW w:w="815" w:type="dxa"/>
          </w:tcPr>
          <w:p w14:paraId="5BFBBF19" w14:textId="5D3DFBD0" w:rsidR="00016AF3" w:rsidRPr="00FD07D5" w:rsidRDefault="00016AF3">
            <w:pPr>
              <w:ind w:left="0" w:hanging="2"/>
            </w:pPr>
            <w:r w:rsidRPr="00FD07D5">
              <w:t>12</w:t>
            </w:r>
          </w:p>
        </w:tc>
        <w:tc>
          <w:tcPr>
            <w:tcW w:w="974" w:type="dxa"/>
          </w:tcPr>
          <w:p w14:paraId="63DF0091" w14:textId="2DF23826" w:rsidR="00016AF3" w:rsidRPr="00FD07D5" w:rsidRDefault="00016AF3">
            <w:pPr>
              <w:ind w:left="0" w:hanging="2"/>
            </w:pPr>
            <w:r w:rsidRPr="00FD07D5">
              <w:t>C</w:t>
            </w:r>
          </w:p>
        </w:tc>
        <w:tc>
          <w:tcPr>
            <w:tcW w:w="1215" w:type="dxa"/>
            <w:gridSpan w:val="2"/>
          </w:tcPr>
          <w:p w14:paraId="7D259662" w14:textId="2BB8D062" w:rsidR="00016AF3" w:rsidRPr="00FD07D5" w:rsidRDefault="00016AF3">
            <w:pPr>
              <w:ind w:left="0" w:hanging="2"/>
            </w:pPr>
            <w:r w:rsidRPr="00FD07D5">
              <w:t>49/50</w:t>
            </w:r>
          </w:p>
        </w:tc>
        <w:tc>
          <w:tcPr>
            <w:tcW w:w="5785" w:type="dxa"/>
          </w:tcPr>
          <w:p w14:paraId="26073A65" w14:textId="75633295" w:rsidR="00016AF3" w:rsidRPr="00FD07D5" w:rsidRDefault="00016AF3" w:rsidP="00016AF3">
            <w:pPr>
              <w:ind w:left="0" w:hanging="2"/>
              <w:jc w:val="both"/>
            </w:pPr>
            <w:r w:rsidRPr="00FD07D5">
              <w:t xml:space="preserve">Parties usually manage different policies, measures and programs aiming to implement and control protected areas and other effective area-based conservation measures. In this regard, it is quite important to have open indicators considering at least three outcomes: i) scale and effectiveness of native vegetation conservation; ii) restoration of native vegetation on these areas; iii) protection measures or sustainable use categories. </w:t>
            </w:r>
          </w:p>
        </w:tc>
      </w:tr>
      <w:tr w:rsidR="00FD07D5" w:rsidRPr="00FD07D5" w14:paraId="60F937A4" w14:textId="77777777">
        <w:trPr>
          <w:trHeight w:val="224"/>
        </w:trPr>
        <w:tc>
          <w:tcPr>
            <w:tcW w:w="817" w:type="dxa"/>
          </w:tcPr>
          <w:p w14:paraId="1F611E22" w14:textId="53D87BAC" w:rsidR="00016AF3" w:rsidRPr="00FD07D5" w:rsidRDefault="00016AF3">
            <w:pPr>
              <w:ind w:left="0" w:hanging="2"/>
            </w:pPr>
            <w:r w:rsidRPr="00FD07D5">
              <w:t>2</w:t>
            </w:r>
          </w:p>
        </w:tc>
        <w:tc>
          <w:tcPr>
            <w:tcW w:w="815" w:type="dxa"/>
          </w:tcPr>
          <w:p w14:paraId="6BCDC349" w14:textId="3BC65F05" w:rsidR="00016AF3" w:rsidRPr="00FD07D5" w:rsidRDefault="00016AF3">
            <w:pPr>
              <w:ind w:left="0" w:hanging="2"/>
            </w:pPr>
            <w:r w:rsidRPr="00FD07D5">
              <w:t>15/16</w:t>
            </w:r>
          </w:p>
        </w:tc>
        <w:tc>
          <w:tcPr>
            <w:tcW w:w="974" w:type="dxa"/>
          </w:tcPr>
          <w:p w14:paraId="4FC9A58E" w14:textId="44381264" w:rsidR="00016AF3" w:rsidRPr="00FD07D5" w:rsidRDefault="00016AF3">
            <w:pPr>
              <w:ind w:left="0" w:hanging="2"/>
            </w:pPr>
            <w:r w:rsidRPr="00FD07D5">
              <w:t>B</w:t>
            </w:r>
          </w:p>
        </w:tc>
        <w:tc>
          <w:tcPr>
            <w:tcW w:w="1215" w:type="dxa"/>
            <w:gridSpan w:val="2"/>
          </w:tcPr>
          <w:p w14:paraId="05E110EE" w14:textId="7C46DF71" w:rsidR="00016AF3" w:rsidRPr="00FD07D5" w:rsidRDefault="00016AF3">
            <w:pPr>
              <w:ind w:left="0" w:hanging="2"/>
            </w:pPr>
            <w:r w:rsidRPr="00FD07D5">
              <w:t>86/87/88</w:t>
            </w:r>
          </w:p>
        </w:tc>
        <w:tc>
          <w:tcPr>
            <w:tcW w:w="5785" w:type="dxa"/>
          </w:tcPr>
          <w:p w14:paraId="2CE38C9E" w14:textId="26ADB8C5" w:rsidR="00016AF3" w:rsidRPr="00FD07D5" w:rsidRDefault="00A21A1D" w:rsidP="00016AF3">
            <w:pPr>
              <w:ind w:left="0" w:hanging="2"/>
              <w:jc w:val="both"/>
            </w:pPr>
            <w:r w:rsidRPr="00FD07D5">
              <w:t xml:space="preserve">FAO has global data regarding the use of pesticides and herbicides. Despite of the existence of data, the rationale and appropriate use of inputs must be promoted. One indicator that should be considered is, therefore, the existence of regulations to approve and monitor the use of inputs considering safety instructions and requirements. </w:t>
            </w:r>
          </w:p>
          <w:p w14:paraId="71962DF6" w14:textId="535FAEF3" w:rsidR="00A21A1D" w:rsidRPr="00FD07D5" w:rsidRDefault="00A21A1D" w:rsidP="00016AF3">
            <w:pPr>
              <w:ind w:left="0" w:hanging="2"/>
              <w:jc w:val="both"/>
            </w:pPr>
            <w:r w:rsidRPr="00FD07D5">
              <w:t xml:space="preserve">Another indicator should be the implementation of programs to recycle inputs packages as a manner to control and avoid contamination of residues of the products. </w:t>
            </w:r>
          </w:p>
          <w:p w14:paraId="265333DC" w14:textId="0280CA59" w:rsidR="00A21A1D" w:rsidRPr="00FD07D5" w:rsidRDefault="00A21A1D" w:rsidP="00A21A1D">
            <w:pPr>
              <w:ind w:left="0" w:hanging="2"/>
              <w:jc w:val="both"/>
            </w:pPr>
            <w:r w:rsidRPr="00FD07D5">
              <w:t xml:space="preserve">Another indicator should promote the use of integrated pest management practices, according to climate and regional characteristics, aimed at achieving effective control practices.  </w:t>
            </w:r>
          </w:p>
        </w:tc>
      </w:tr>
      <w:tr w:rsidR="00A21A1D" w:rsidRPr="00FD07D5" w14:paraId="3052BC17" w14:textId="77777777">
        <w:trPr>
          <w:trHeight w:val="224"/>
        </w:trPr>
        <w:tc>
          <w:tcPr>
            <w:tcW w:w="817" w:type="dxa"/>
          </w:tcPr>
          <w:p w14:paraId="2C7863DD" w14:textId="71067C2B" w:rsidR="00A21A1D" w:rsidRPr="00FD07D5" w:rsidRDefault="00A21A1D">
            <w:pPr>
              <w:ind w:left="0" w:hanging="2"/>
            </w:pPr>
            <w:r w:rsidRPr="00FD07D5">
              <w:t>2</w:t>
            </w:r>
          </w:p>
        </w:tc>
        <w:tc>
          <w:tcPr>
            <w:tcW w:w="815" w:type="dxa"/>
          </w:tcPr>
          <w:p w14:paraId="219BDAAC" w14:textId="5ECE4306" w:rsidR="00A21A1D" w:rsidRPr="00FD07D5" w:rsidRDefault="00A21A1D">
            <w:pPr>
              <w:ind w:left="0" w:hanging="2"/>
            </w:pPr>
            <w:r w:rsidRPr="00FD07D5">
              <w:t>20</w:t>
            </w:r>
          </w:p>
        </w:tc>
        <w:tc>
          <w:tcPr>
            <w:tcW w:w="974" w:type="dxa"/>
          </w:tcPr>
          <w:p w14:paraId="7320B39A" w14:textId="29EE18BE" w:rsidR="00A21A1D" w:rsidRPr="00FD07D5" w:rsidRDefault="00A21A1D">
            <w:pPr>
              <w:ind w:left="0" w:hanging="2"/>
            </w:pPr>
            <w:r w:rsidRPr="00FD07D5">
              <w:t>C</w:t>
            </w:r>
          </w:p>
        </w:tc>
        <w:tc>
          <w:tcPr>
            <w:tcW w:w="1215" w:type="dxa"/>
            <w:gridSpan w:val="2"/>
          </w:tcPr>
          <w:p w14:paraId="489700D9" w14:textId="2AC9CB5D" w:rsidR="00A21A1D" w:rsidRPr="00FD07D5" w:rsidRDefault="00A21A1D">
            <w:pPr>
              <w:ind w:left="0" w:hanging="2"/>
            </w:pPr>
            <w:r w:rsidRPr="00FD07D5">
              <w:t>118</w:t>
            </w:r>
          </w:p>
        </w:tc>
        <w:tc>
          <w:tcPr>
            <w:tcW w:w="5785" w:type="dxa"/>
          </w:tcPr>
          <w:p w14:paraId="64085FDE" w14:textId="415A50B0" w:rsidR="00A21A1D" w:rsidRPr="00FD07D5" w:rsidRDefault="00A21A1D" w:rsidP="00016AF3">
            <w:pPr>
              <w:ind w:left="0" w:hanging="2"/>
              <w:jc w:val="both"/>
            </w:pPr>
            <w:r w:rsidRPr="00FD07D5">
              <w:t xml:space="preserve">Another indicator that should be used to measure the effectiveness of agriculture under sustainable practices is the amount of degraded land restored as a percentage of the total agriculture area degraded. The restoration of degraded land to productive agricultural systems is key to enhance carbon stocks, soil recovery, foster food </w:t>
            </w:r>
            <w:proofErr w:type="gramStart"/>
            <w:r w:rsidRPr="00FD07D5">
              <w:t>production</w:t>
            </w:r>
            <w:proofErr w:type="gramEnd"/>
            <w:r w:rsidRPr="00FD07D5">
              <w:t xml:space="preserve"> which is key to SDG 2, reduce the need for new production areas, and other positive outcomes.  </w:t>
            </w:r>
          </w:p>
        </w:tc>
      </w:tr>
      <w:tr w:rsidR="00FD07D5" w:rsidRPr="00FD07D5" w14:paraId="653DFC1B" w14:textId="77777777">
        <w:trPr>
          <w:trHeight w:val="224"/>
        </w:trPr>
        <w:tc>
          <w:tcPr>
            <w:tcW w:w="817" w:type="dxa"/>
          </w:tcPr>
          <w:p w14:paraId="06CAF46F" w14:textId="77777777" w:rsidR="00953D36" w:rsidRPr="00FD07D5" w:rsidRDefault="0090466E">
            <w:pPr>
              <w:ind w:left="0" w:hanging="2"/>
            </w:pPr>
            <w:r w:rsidRPr="00FD07D5">
              <w:t>2</w:t>
            </w:r>
          </w:p>
        </w:tc>
        <w:tc>
          <w:tcPr>
            <w:tcW w:w="815" w:type="dxa"/>
          </w:tcPr>
          <w:p w14:paraId="33100D82" w14:textId="77777777" w:rsidR="00953D36" w:rsidRPr="00FD07D5" w:rsidRDefault="0090466E">
            <w:pPr>
              <w:ind w:left="0" w:hanging="2"/>
            </w:pPr>
            <w:r w:rsidRPr="00FD07D5">
              <w:t>20</w:t>
            </w:r>
          </w:p>
        </w:tc>
        <w:tc>
          <w:tcPr>
            <w:tcW w:w="974" w:type="dxa"/>
          </w:tcPr>
          <w:p w14:paraId="09E2FD23" w14:textId="77777777" w:rsidR="00953D36" w:rsidRPr="00FD07D5" w:rsidRDefault="0090466E">
            <w:pPr>
              <w:ind w:left="0" w:hanging="2"/>
            </w:pPr>
            <w:r w:rsidRPr="00FD07D5">
              <w:t>C</w:t>
            </w:r>
          </w:p>
        </w:tc>
        <w:tc>
          <w:tcPr>
            <w:tcW w:w="1215" w:type="dxa"/>
            <w:gridSpan w:val="2"/>
          </w:tcPr>
          <w:p w14:paraId="6415D113" w14:textId="77777777" w:rsidR="00953D36" w:rsidRPr="00FD07D5" w:rsidRDefault="0090466E">
            <w:pPr>
              <w:ind w:left="0" w:hanging="2"/>
            </w:pPr>
            <w:r w:rsidRPr="00FD07D5">
              <w:t>119</w:t>
            </w:r>
          </w:p>
        </w:tc>
        <w:tc>
          <w:tcPr>
            <w:tcW w:w="5785" w:type="dxa"/>
          </w:tcPr>
          <w:p w14:paraId="4984E0D4" w14:textId="68DE557A" w:rsidR="00953D36" w:rsidRPr="00FD07D5" w:rsidRDefault="0090466E" w:rsidP="00E36853">
            <w:pPr>
              <w:ind w:left="0" w:hanging="2"/>
              <w:jc w:val="both"/>
            </w:pPr>
            <w:r w:rsidRPr="00FD07D5">
              <w:t>Areas of agricultural land under conservation agriculture</w:t>
            </w:r>
            <w:r w:rsidR="009D6A39" w:rsidRPr="00FD07D5">
              <w:t xml:space="preserve"> </w:t>
            </w:r>
            <w:r w:rsidR="00314C4D" w:rsidRPr="00FD07D5">
              <w:t xml:space="preserve">as an indicator should consider, for instance, the adoption of continuous improvements such as: i) good agricultural practices; ii) technologies that allow to enhance productivity and maximize the outputs per hectare, fostering adaptation of agricultural systems and reducing GHG emissions; iii) conservation and restoration of native vegetation on farms as a trigger to promote carbon stocks, biodiversity corridors and </w:t>
            </w:r>
            <w:r w:rsidR="00306FB2" w:rsidRPr="00FD07D5">
              <w:t xml:space="preserve">soil conservation, among other benefits; iv) integration of agriculture, livestock and forestry as ways to enhance the total productivity per hectare, promote and enhance soil fertility, avoid degradation and diversify production.  </w:t>
            </w:r>
          </w:p>
          <w:p w14:paraId="3402A9EF" w14:textId="45F2A1EE" w:rsidR="00306FB2" w:rsidRPr="00FD07D5" w:rsidRDefault="00306FB2" w:rsidP="00E36853">
            <w:pPr>
              <w:ind w:left="0" w:hanging="2"/>
              <w:jc w:val="both"/>
            </w:pPr>
            <w:r w:rsidRPr="00FD07D5">
              <w:t xml:space="preserve">The coexistence of different agricultural systems provided they promote and effectively adopt the indicators above is key to foster a resilient and sustainable agriculture.  </w:t>
            </w:r>
          </w:p>
        </w:tc>
      </w:tr>
      <w:tr w:rsidR="00FD07D5" w:rsidRPr="00FD07D5" w14:paraId="66033671" w14:textId="77777777">
        <w:trPr>
          <w:trHeight w:val="224"/>
        </w:trPr>
        <w:tc>
          <w:tcPr>
            <w:tcW w:w="817" w:type="dxa"/>
          </w:tcPr>
          <w:p w14:paraId="55CB7C38" w14:textId="244C6DB6" w:rsidR="00306FB2" w:rsidRPr="00FD07D5" w:rsidRDefault="00306FB2">
            <w:pPr>
              <w:ind w:left="0" w:hanging="2"/>
            </w:pPr>
            <w:r w:rsidRPr="00FD07D5">
              <w:t>2</w:t>
            </w:r>
          </w:p>
        </w:tc>
        <w:tc>
          <w:tcPr>
            <w:tcW w:w="815" w:type="dxa"/>
          </w:tcPr>
          <w:p w14:paraId="7A695232" w14:textId="28EB4DF1" w:rsidR="00306FB2" w:rsidRPr="00FD07D5" w:rsidRDefault="00306FB2">
            <w:pPr>
              <w:ind w:left="0" w:hanging="2"/>
            </w:pPr>
            <w:r w:rsidRPr="00FD07D5">
              <w:t>21</w:t>
            </w:r>
          </w:p>
        </w:tc>
        <w:tc>
          <w:tcPr>
            <w:tcW w:w="974" w:type="dxa"/>
          </w:tcPr>
          <w:p w14:paraId="358350E9" w14:textId="6619E081" w:rsidR="00306FB2" w:rsidRPr="00FD07D5" w:rsidRDefault="00306FB2">
            <w:pPr>
              <w:ind w:left="0" w:hanging="2"/>
            </w:pPr>
            <w:r w:rsidRPr="00FD07D5">
              <w:t>C</w:t>
            </w:r>
          </w:p>
        </w:tc>
        <w:tc>
          <w:tcPr>
            <w:tcW w:w="1215" w:type="dxa"/>
            <w:gridSpan w:val="2"/>
          </w:tcPr>
          <w:p w14:paraId="09C3C128" w14:textId="2FB6A291" w:rsidR="00306FB2" w:rsidRPr="00FD07D5" w:rsidRDefault="00306FB2">
            <w:pPr>
              <w:ind w:left="0" w:hanging="2"/>
            </w:pPr>
            <w:r w:rsidRPr="00FD07D5">
              <w:t>126</w:t>
            </w:r>
          </w:p>
        </w:tc>
        <w:tc>
          <w:tcPr>
            <w:tcW w:w="5785" w:type="dxa"/>
          </w:tcPr>
          <w:p w14:paraId="35D5CC16" w14:textId="699A3F63" w:rsidR="00D01F16" w:rsidRPr="00FD07D5" w:rsidRDefault="00306FB2" w:rsidP="00D01F16">
            <w:pPr>
              <w:ind w:left="0" w:hanging="2"/>
              <w:jc w:val="both"/>
            </w:pPr>
            <w:r w:rsidRPr="00FD07D5">
              <w:t>The sustainable management of all types of forest can be supported by forest certification schemes</w:t>
            </w:r>
            <w:r w:rsidR="001906FF" w:rsidRPr="00FD07D5">
              <w:t xml:space="preserve">. Considering that those schemes are voluntary and not mandated by Parties </w:t>
            </w:r>
            <w:r w:rsidR="001906FF" w:rsidRPr="00FD07D5">
              <w:lastRenderedPageBreak/>
              <w:t xml:space="preserve">regulations, it is not </w:t>
            </w:r>
            <w:r w:rsidR="00D01F16" w:rsidRPr="00FD07D5">
              <w:t xml:space="preserve">reasonable to agree on an indicator naming specific certification schemes. This could disregard other schemes and mechanisms; the effective management of the forests is the goal, regardless how it has been achieved. </w:t>
            </w:r>
          </w:p>
        </w:tc>
      </w:tr>
      <w:tr w:rsidR="000E110F" w:rsidRPr="00FD07D5" w14:paraId="2B648521" w14:textId="77777777">
        <w:trPr>
          <w:trHeight w:val="224"/>
        </w:trPr>
        <w:tc>
          <w:tcPr>
            <w:tcW w:w="817" w:type="dxa"/>
          </w:tcPr>
          <w:p w14:paraId="26C11435" w14:textId="4A5411E3" w:rsidR="000E110F" w:rsidRPr="00FD07D5" w:rsidRDefault="000E110F">
            <w:pPr>
              <w:ind w:left="0" w:hanging="2"/>
            </w:pPr>
            <w:r w:rsidRPr="00FD07D5">
              <w:lastRenderedPageBreak/>
              <w:t>2</w:t>
            </w:r>
          </w:p>
        </w:tc>
        <w:tc>
          <w:tcPr>
            <w:tcW w:w="815" w:type="dxa"/>
          </w:tcPr>
          <w:p w14:paraId="5830F9BD" w14:textId="0D2B4F4B" w:rsidR="000E110F" w:rsidRPr="00FD07D5" w:rsidRDefault="000E110F">
            <w:pPr>
              <w:ind w:left="0" w:hanging="2"/>
            </w:pPr>
            <w:r w:rsidRPr="00FD07D5">
              <w:t>22</w:t>
            </w:r>
          </w:p>
        </w:tc>
        <w:tc>
          <w:tcPr>
            <w:tcW w:w="974" w:type="dxa"/>
          </w:tcPr>
          <w:p w14:paraId="69E9A23F" w14:textId="142C2CEF" w:rsidR="000E110F" w:rsidRPr="00FD07D5" w:rsidRDefault="000E110F">
            <w:pPr>
              <w:ind w:left="0" w:hanging="2"/>
            </w:pPr>
            <w:r w:rsidRPr="00FD07D5">
              <w:t>A</w:t>
            </w:r>
          </w:p>
        </w:tc>
        <w:tc>
          <w:tcPr>
            <w:tcW w:w="1215" w:type="dxa"/>
            <w:gridSpan w:val="2"/>
          </w:tcPr>
          <w:p w14:paraId="43023BE1" w14:textId="155C8CED" w:rsidR="000E110F" w:rsidRPr="00FD07D5" w:rsidRDefault="000E110F">
            <w:pPr>
              <w:ind w:left="0" w:hanging="2"/>
            </w:pPr>
            <w:r w:rsidRPr="00FD07D5">
              <w:t>140/145</w:t>
            </w:r>
          </w:p>
        </w:tc>
        <w:tc>
          <w:tcPr>
            <w:tcW w:w="5785" w:type="dxa"/>
          </w:tcPr>
          <w:p w14:paraId="47BFFD48" w14:textId="0182716F" w:rsidR="000E110F" w:rsidRPr="00FD07D5" w:rsidRDefault="000E110F" w:rsidP="00D01F16">
            <w:pPr>
              <w:ind w:left="0" w:hanging="2"/>
              <w:jc w:val="both"/>
            </w:pPr>
            <w:r w:rsidRPr="00FD07D5">
              <w:t>Considering the basic goals of the CBD and the Nagoya Protocol, it is extremely relevant to promote, incentivize and support the access, knowledge, research and development based on genetic resources. In this sense, it seems quite important to promote the creation of genetic resources banks on a regional basis, especially in countries that are biodiversity rich and/or centers of origin, especially in developing countries. Those genetic banks should strive the creation and increment of genetic banks, the share of resources on a Nagoya Protocol basis, comprising PIC and MAT protocols, leading to innovation and benefit sharing. Developed countries should support the establishment of those genetic resource’s banks in all continents, according to decisions from the Parties aimed at implementing the Global Biodiversity Framework.</w:t>
            </w:r>
          </w:p>
        </w:tc>
      </w:tr>
      <w:tr w:rsidR="00FD07D5" w:rsidRPr="00FD07D5" w14:paraId="1AC6C789" w14:textId="77777777">
        <w:trPr>
          <w:trHeight w:val="224"/>
        </w:trPr>
        <w:tc>
          <w:tcPr>
            <w:tcW w:w="817" w:type="dxa"/>
          </w:tcPr>
          <w:p w14:paraId="15FD8030" w14:textId="77777777" w:rsidR="00953D36" w:rsidRPr="00FD07D5" w:rsidRDefault="00F14C2A">
            <w:pPr>
              <w:ind w:left="0" w:hanging="2"/>
            </w:pPr>
            <w:r w:rsidRPr="00FD07D5">
              <w:t>2</w:t>
            </w:r>
          </w:p>
        </w:tc>
        <w:tc>
          <w:tcPr>
            <w:tcW w:w="815" w:type="dxa"/>
          </w:tcPr>
          <w:p w14:paraId="392B65E3" w14:textId="77777777" w:rsidR="00953D36" w:rsidRPr="00FD07D5" w:rsidRDefault="00F14C2A">
            <w:pPr>
              <w:ind w:left="0" w:hanging="2"/>
            </w:pPr>
            <w:r w:rsidRPr="00FD07D5">
              <w:t>29</w:t>
            </w:r>
          </w:p>
        </w:tc>
        <w:tc>
          <w:tcPr>
            <w:tcW w:w="974" w:type="dxa"/>
          </w:tcPr>
          <w:p w14:paraId="50F094FF" w14:textId="77777777" w:rsidR="00953D36" w:rsidRPr="00FD07D5" w:rsidRDefault="00F14C2A">
            <w:pPr>
              <w:ind w:left="0" w:hanging="2"/>
            </w:pPr>
            <w:r w:rsidRPr="00FD07D5">
              <w:t>C</w:t>
            </w:r>
          </w:p>
        </w:tc>
        <w:tc>
          <w:tcPr>
            <w:tcW w:w="1215" w:type="dxa"/>
            <w:gridSpan w:val="2"/>
          </w:tcPr>
          <w:p w14:paraId="3890EB2E" w14:textId="77777777" w:rsidR="00953D36" w:rsidRPr="00FD07D5" w:rsidRDefault="00F14C2A">
            <w:pPr>
              <w:ind w:left="0" w:hanging="2"/>
            </w:pPr>
            <w:r w:rsidRPr="00FD07D5">
              <w:t>177</w:t>
            </w:r>
          </w:p>
        </w:tc>
        <w:tc>
          <w:tcPr>
            <w:tcW w:w="5785" w:type="dxa"/>
          </w:tcPr>
          <w:p w14:paraId="738C6873" w14:textId="1BCDDBA0" w:rsidR="0035450A" w:rsidRPr="00FD07D5" w:rsidRDefault="00D708FE" w:rsidP="00D53C24">
            <w:pPr>
              <w:suppressAutoHyphens w:val="0"/>
              <w:autoSpaceDE w:val="0"/>
              <w:autoSpaceDN w:val="0"/>
              <w:adjustRightInd w:val="0"/>
              <w:spacing w:line="240" w:lineRule="auto"/>
              <w:ind w:leftChars="0" w:left="0" w:firstLineChars="0" w:firstLine="0"/>
              <w:jc w:val="both"/>
              <w:textDirection w:val="lrTb"/>
              <w:textAlignment w:val="auto"/>
              <w:outlineLvl w:val="9"/>
            </w:pPr>
            <w:r w:rsidRPr="00FD07D5">
              <w:t>The debate around the p</w:t>
            </w:r>
            <w:r w:rsidR="00F7464D" w:rsidRPr="00FD07D5">
              <w:t>rivate sustainable forestry certification schemes</w:t>
            </w:r>
            <w:r w:rsidRPr="00FD07D5">
              <w:t xml:space="preserve"> </w:t>
            </w:r>
            <w:r w:rsidR="00F7464D" w:rsidRPr="00FD07D5">
              <w:t>and other market-based mechanisms</w:t>
            </w:r>
            <w:r w:rsidRPr="00FD07D5">
              <w:t xml:space="preserve"> focused on timber products </w:t>
            </w:r>
            <w:r w:rsidR="00D53C24" w:rsidRPr="00FD07D5">
              <w:t xml:space="preserve">ought not be treated too simplistically. </w:t>
            </w:r>
            <w:r w:rsidRPr="00FD07D5">
              <w:t>Since FSC and PEFC forest management certification</w:t>
            </w:r>
            <w:r w:rsidR="00766477" w:rsidRPr="00FD07D5">
              <w:t>s</w:t>
            </w:r>
            <w:r w:rsidRPr="00FD07D5">
              <w:t xml:space="preserve"> </w:t>
            </w:r>
            <w:r w:rsidR="00766477" w:rsidRPr="00FD07D5">
              <w:t>are</w:t>
            </w:r>
            <w:r w:rsidRPr="00FD07D5">
              <w:t xml:space="preserve"> voluntary </w:t>
            </w:r>
            <w:r w:rsidR="00766477" w:rsidRPr="00FD07D5">
              <w:t>initiatives in</w:t>
            </w:r>
            <w:r w:rsidRPr="00FD07D5">
              <w:t xml:space="preserve"> nature</w:t>
            </w:r>
            <w:r w:rsidR="00766477" w:rsidRPr="00FD07D5">
              <w:t xml:space="preserve">, there are substantial and critical concerns </w:t>
            </w:r>
            <w:r w:rsidR="00D53C24" w:rsidRPr="00FD07D5">
              <w:t xml:space="preserve">on the potential of standards to hinder international trade, pose market access problems between countries, and provoke the incurrence of extra costs of compliance at national level, especially for producers in developing regions. </w:t>
            </w:r>
            <w:r w:rsidR="0035450A" w:rsidRPr="00FD07D5">
              <w:t>The CB</w:t>
            </w:r>
            <w:r w:rsidR="00BD4070">
              <w:t>D</w:t>
            </w:r>
            <w:r w:rsidR="0035450A" w:rsidRPr="00FD07D5">
              <w:t xml:space="preserve"> should not promote specific certification schemes as ways to assure sustainable production. </w:t>
            </w:r>
            <w:r w:rsidR="00D53C24" w:rsidRPr="00FD07D5">
              <w:t>In addition, the confidence among consumers on the certification schemes is a question to be carefully considered at the national level through transparent public timber procurement policies.</w:t>
            </w:r>
          </w:p>
          <w:p w14:paraId="2A9B16CF" w14:textId="62D00D53" w:rsidR="00953D36" w:rsidRPr="00FD07D5" w:rsidRDefault="0035450A" w:rsidP="00D53C24">
            <w:pPr>
              <w:suppressAutoHyphens w:val="0"/>
              <w:autoSpaceDE w:val="0"/>
              <w:autoSpaceDN w:val="0"/>
              <w:adjustRightInd w:val="0"/>
              <w:spacing w:line="240" w:lineRule="auto"/>
              <w:ind w:leftChars="0" w:left="0" w:firstLineChars="0" w:firstLine="0"/>
              <w:jc w:val="both"/>
              <w:textDirection w:val="lrTb"/>
              <w:textAlignment w:val="auto"/>
              <w:outlineLvl w:val="9"/>
            </w:pPr>
            <w:r w:rsidRPr="00FD07D5">
              <w:t xml:space="preserve">The use of voluntary certification can be a way to promote sustainable production, but Parties should agree on the best ways to promote it as targets that would be managed and </w:t>
            </w:r>
            <w:r w:rsidR="0069738B" w:rsidRPr="00FD07D5">
              <w:t>supported</w:t>
            </w:r>
            <w:r w:rsidRPr="00FD07D5">
              <w:t xml:space="preserve"> by Parties.</w:t>
            </w:r>
            <w:r w:rsidR="00D53C24" w:rsidRPr="00FD07D5">
              <w:t xml:space="preserve"> </w:t>
            </w:r>
          </w:p>
        </w:tc>
      </w:tr>
      <w:tr w:rsidR="00FD07D5" w:rsidRPr="00FD07D5" w14:paraId="2EC551E5" w14:textId="77777777">
        <w:trPr>
          <w:trHeight w:val="224"/>
        </w:trPr>
        <w:tc>
          <w:tcPr>
            <w:tcW w:w="817" w:type="dxa"/>
          </w:tcPr>
          <w:p w14:paraId="56E19F6C" w14:textId="77777777" w:rsidR="00953D36" w:rsidRPr="00FD07D5" w:rsidRDefault="00F14C2A">
            <w:pPr>
              <w:ind w:left="0" w:hanging="2"/>
            </w:pPr>
            <w:r w:rsidRPr="00FD07D5">
              <w:t>2</w:t>
            </w:r>
          </w:p>
        </w:tc>
        <w:tc>
          <w:tcPr>
            <w:tcW w:w="815" w:type="dxa"/>
          </w:tcPr>
          <w:p w14:paraId="28ADC51B" w14:textId="77777777" w:rsidR="00953D36" w:rsidRPr="00FD07D5" w:rsidRDefault="00F14C2A">
            <w:pPr>
              <w:ind w:left="0" w:hanging="2"/>
            </w:pPr>
            <w:r w:rsidRPr="00FD07D5">
              <w:t>33</w:t>
            </w:r>
          </w:p>
        </w:tc>
        <w:tc>
          <w:tcPr>
            <w:tcW w:w="974" w:type="dxa"/>
          </w:tcPr>
          <w:p w14:paraId="2D6F729A" w14:textId="77777777" w:rsidR="00953D36" w:rsidRPr="00FD07D5" w:rsidRDefault="00F14C2A">
            <w:pPr>
              <w:ind w:left="0" w:hanging="2"/>
            </w:pPr>
            <w:r w:rsidRPr="00FD07D5">
              <w:t>A</w:t>
            </w:r>
          </w:p>
        </w:tc>
        <w:tc>
          <w:tcPr>
            <w:tcW w:w="1215" w:type="dxa"/>
            <w:gridSpan w:val="2"/>
          </w:tcPr>
          <w:p w14:paraId="278C56F6" w14:textId="77777777" w:rsidR="00953D36" w:rsidRPr="00FD07D5" w:rsidRDefault="00F14C2A">
            <w:pPr>
              <w:ind w:left="0" w:hanging="2"/>
            </w:pPr>
            <w:r w:rsidRPr="00FD07D5">
              <w:t>203-204</w:t>
            </w:r>
          </w:p>
        </w:tc>
        <w:tc>
          <w:tcPr>
            <w:tcW w:w="5785" w:type="dxa"/>
          </w:tcPr>
          <w:p w14:paraId="4DF0ED1D" w14:textId="19D9C626" w:rsidR="00953D36" w:rsidRPr="00BD4070" w:rsidRDefault="00DB0139" w:rsidP="00A451F0">
            <w:pPr>
              <w:suppressAutoHyphens w:val="0"/>
              <w:autoSpaceDE w:val="0"/>
              <w:autoSpaceDN w:val="0"/>
              <w:adjustRightInd w:val="0"/>
              <w:spacing w:line="240" w:lineRule="auto"/>
              <w:ind w:leftChars="0" w:left="0" w:firstLineChars="0" w:firstLine="0"/>
              <w:jc w:val="both"/>
              <w:textDirection w:val="lrTb"/>
              <w:textAlignment w:val="auto"/>
              <w:outlineLvl w:val="9"/>
            </w:pPr>
            <w:r w:rsidRPr="00BD4070">
              <w:rPr>
                <w:position w:val="0"/>
                <w:lang w:eastAsia="pt-BR"/>
              </w:rPr>
              <w:t>To allow an objective indicator, the r</w:t>
            </w:r>
            <w:r w:rsidR="00F14C2A" w:rsidRPr="00BD4070">
              <w:rPr>
                <w:position w:val="0"/>
                <w:lang w:eastAsia="pt-BR"/>
              </w:rPr>
              <w:t>estoration and</w:t>
            </w:r>
            <w:r w:rsidR="00F7464D" w:rsidRPr="00BD4070">
              <w:rPr>
                <w:position w:val="0"/>
                <w:lang w:eastAsia="pt-BR"/>
              </w:rPr>
              <w:t xml:space="preserve"> </w:t>
            </w:r>
            <w:r w:rsidR="00F14C2A" w:rsidRPr="00BD4070">
              <w:rPr>
                <w:position w:val="0"/>
                <w:lang w:eastAsia="pt-BR"/>
              </w:rPr>
              <w:t>compensation for damage</w:t>
            </w:r>
            <w:r w:rsidRPr="00BD4070">
              <w:rPr>
                <w:position w:val="0"/>
                <w:lang w:eastAsia="pt-BR"/>
              </w:rPr>
              <w:t>s</w:t>
            </w:r>
            <w:r w:rsidR="00F14C2A" w:rsidRPr="00BD4070">
              <w:rPr>
                <w:position w:val="0"/>
                <w:lang w:eastAsia="pt-BR"/>
              </w:rPr>
              <w:t xml:space="preserve"> to</w:t>
            </w:r>
            <w:r w:rsidR="00F7464D" w:rsidRPr="00BD4070">
              <w:rPr>
                <w:position w:val="0"/>
                <w:lang w:eastAsia="pt-BR"/>
              </w:rPr>
              <w:t xml:space="preserve"> </w:t>
            </w:r>
            <w:r w:rsidR="00F14C2A" w:rsidRPr="00BD4070">
              <w:rPr>
                <w:position w:val="0"/>
                <w:lang w:eastAsia="pt-BR"/>
              </w:rPr>
              <w:t>biodiversity caused by LMOs</w:t>
            </w:r>
            <w:r w:rsidRPr="00BD4070">
              <w:rPr>
                <w:position w:val="0"/>
                <w:lang w:eastAsia="pt-BR"/>
              </w:rPr>
              <w:t xml:space="preserve"> must be based on the concept of damage and significant from Article 2</w:t>
            </w:r>
            <w:r w:rsidR="00A451F0" w:rsidRPr="00BD4070">
              <w:rPr>
                <w:position w:val="0"/>
                <w:lang w:eastAsia="pt-BR"/>
              </w:rPr>
              <w:t>.</w:t>
            </w:r>
            <w:r w:rsidRPr="00BD4070">
              <w:rPr>
                <w:position w:val="0"/>
                <w:lang w:eastAsia="pt-BR"/>
              </w:rPr>
              <w:t xml:space="preserve">2 (b) and Article 2.3 of the Nagoya-Kuala Lumpur Supplementary Protocol. </w:t>
            </w:r>
            <w:r w:rsidR="00A451F0" w:rsidRPr="00BD4070">
              <w:rPr>
                <w:position w:val="0"/>
                <w:lang w:eastAsia="pt-BR"/>
              </w:rPr>
              <w:t xml:space="preserve"> </w:t>
            </w:r>
          </w:p>
        </w:tc>
      </w:tr>
      <w:tr w:rsidR="00FD07D5" w:rsidRPr="00FD07D5" w14:paraId="0742B210" w14:textId="77777777">
        <w:trPr>
          <w:trHeight w:val="224"/>
        </w:trPr>
        <w:tc>
          <w:tcPr>
            <w:tcW w:w="817" w:type="dxa"/>
          </w:tcPr>
          <w:p w14:paraId="62E3884B" w14:textId="77777777" w:rsidR="00953D36" w:rsidRPr="00FD07D5" w:rsidRDefault="00F14C2A">
            <w:pPr>
              <w:ind w:left="0" w:hanging="2"/>
            </w:pPr>
            <w:r w:rsidRPr="00FD07D5">
              <w:t>2</w:t>
            </w:r>
          </w:p>
        </w:tc>
        <w:tc>
          <w:tcPr>
            <w:tcW w:w="815" w:type="dxa"/>
          </w:tcPr>
          <w:p w14:paraId="4DF097BC" w14:textId="77777777" w:rsidR="00953D36" w:rsidRPr="00FD07D5" w:rsidRDefault="00F14C2A">
            <w:pPr>
              <w:ind w:left="0" w:hanging="2"/>
            </w:pPr>
            <w:r w:rsidRPr="00FD07D5">
              <w:t>35</w:t>
            </w:r>
          </w:p>
        </w:tc>
        <w:tc>
          <w:tcPr>
            <w:tcW w:w="974" w:type="dxa"/>
          </w:tcPr>
          <w:p w14:paraId="21F9F61E" w14:textId="77777777" w:rsidR="00953D36" w:rsidRPr="00FD07D5" w:rsidRDefault="00F14C2A">
            <w:pPr>
              <w:ind w:left="0" w:hanging="2"/>
            </w:pPr>
            <w:r w:rsidRPr="00FD07D5">
              <w:t>B</w:t>
            </w:r>
          </w:p>
        </w:tc>
        <w:tc>
          <w:tcPr>
            <w:tcW w:w="1215" w:type="dxa"/>
            <w:gridSpan w:val="2"/>
          </w:tcPr>
          <w:p w14:paraId="0D63A92E" w14:textId="77777777" w:rsidR="00953D36" w:rsidRPr="00FD07D5" w:rsidRDefault="00F14C2A">
            <w:pPr>
              <w:ind w:left="0" w:hanging="2"/>
            </w:pPr>
            <w:r w:rsidRPr="00FD07D5">
              <w:t>217</w:t>
            </w:r>
          </w:p>
        </w:tc>
        <w:tc>
          <w:tcPr>
            <w:tcW w:w="5785" w:type="dxa"/>
          </w:tcPr>
          <w:p w14:paraId="435DF9BD" w14:textId="385EBC22" w:rsidR="00953D36" w:rsidRPr="00FD07D5" w:rsidRDefault="00BC2E1A" w:rsidP="00A451F0">
            <w:pPr>
              <w:suppressAutoHyphens w:val="0"/>
              <w:autoSpaceDE w:val="0"/>
              <w:autoSpaceDN w:val="0"/>
              <w:adjustRightInd w:val="0"/>
              <w:spacing w:line="240" w:lineRule="auto"/>
              <w:ind w:leftChars="0" w:left="0" w:firstLineChars="0" w:firstLine="0"/>
              <w:jc w:val="both"/>
              <w:textDirection w:val="lrTb"/>
              <w:textAlignment w:val="auto"/>
              <w:outlineLvl w:val="9"/>
            </w:pPr>
            <w:r w:rsidRPr="00FD07D5">
              <w:t>Considering that CBD is a Party-driven process, potential indicators on the measurement of the resource mobilization efforts from the private sector are not applicable.</w:t>
            </w:r>
            <w:r w:rsidR="00DB0139" w:rsidRPr="00FD07D5">
              <w:t xml:space="preserve"> Efforts should be strived to creating effective </w:t>
            </w:r>
            <w:r w:rsidR="00DB0139" w:rsidRPr="00FD07D5">
              <w:lastRenderedPageBreak/>
              <w:t xml:space="preserve">and reliable sources of funding from Parties to support the implementation of the Global Biodiversity Framework. Voluntary funding from the private sector could be considered as a separate source of funds, not controlled or managed by Parties. </w:t>
            </w:r>
          </w:p>
        </w:tc>
      </w:tr>
      <w:tr w:rsidR="00FD07D5" w:rsidRPr="00FD07D5" w14:paraId="1B3FF9A5" w14:textId="77777777">
        <w:trPr>
          <w:trHeight w:val="224"/>
        </w:trPr>
        <w:tc>
          <w:tcPr>
            <w:tcW w:w="817" w:type="dxa"/>
          </w:tcPr>
          <w:p w14:paraId="24B5C098" w14:textId="77777777" w:rsidR="00D53C24" w:rsidRPr="00FD07D5" w:rsidRDefault="00D53C24" w:rsidP="00D53C24">
            <w:pPr>
              <w:ind w:left="0" w:hanging="2"/>
            </w:pPr>
            <w:bookmarkStart w:id="2" w:name="_Hlk46224902"/>
            <w:r w:rsidRPr="00FD07D5">
              <w:lastRenderedPageBreak/>
              <w:t>2</w:t>
            </w:r>
          </w:p>
        </w:tc>
        <w:tc>
          <w:tcPr>
            <w:tcW w:w="815" w:type="dxa"/>
          </w:tcPr>
          <w:p w14:paraId="6BAA4435" w14:textId="77777777" w:rsidR="00D53C24" w:rsidRPr="00FD07D5" w:rsidRDefault="00D53C24" w:rsidP="00D53C24">
            <w:pPr>
              <w:ind w:left="0" w:hanging="2"/>
            </w:pPr>
            <w:r w:rsidRPr="00FD07D5">
              <w:t>37</w:t>
            </w:r>
          </w:p>
        </w:tc>
        <w:tc>
          <w:tcPr>
            <w:tcW w:w="974" w:type="dxa"/>
          </w:tcPr>
          <w:p w14:paraId="7E079FE8" w14:textId="77777777" w:rsidR="00D53C24" w:rsidRPr="00FD07D5" w:rsidRDefault="00D53C24" w:rsidP="00D53C24">
            <w:pPr>
              <w:ind w:left="0" w:hanging="2"/>
            </w:pPr>
            <w:r w:rsidRPr="00FD07D5">
              <w:t>C</w:t>
            </w:r>
          </w:p>
        </w:tc>
        <w:tc>
          <w:tcPr>
            <w:tcW w:w="1215" w:type="dxa"/>
            <w:gridSpan w:val="2"/>
          </w:tcPr>
          <w:p w14:paraId="058E94D3" w14:textId="77777777" w:rsidR="00D53C24" w:rsidRPr="00FD07D5" w:rsidRDefault="00D53C24" w:rsidP="00D53C24">
            <w:pPr>
              <w:ind w:left="0" w:hanging="2"/>
            </w:pPr>
            <w:r w:rsidRPr="00FD07D5">
              <w:t>231</w:t>
            </w:r>
          </w:p>
        </w:tc>
        <w:tc>
          <w:tcPr>
            <w:tcW w:w="5785" w:type="dxa"/>
          </w:tcPr>
          <w:p w14:paraId="06848A5D" w14:textId="5ABBB31A" w:rsidR="008E0AC5" w:rsidRDefault="00D53C24" w:rsidP="00D53C24">
            <w:pPr>
              <w:ind w:left="0" w:hanging="2"/>
              <w:jc w:val="both"/>
              <w:rPr>
                <w:lang w:val="en-AU"/>
              </w:rPr>
            </w:pPr>
            <w:r w:rsidRPr="00FD07D5">
              <w:rPr>
                <w:lang w:eastAsia="pt-BR"/>
              </w:rPr>
              <w:t>Indicator 12.6.1 requires data on the number of companies publishing sustainability reports. However,</w:t>
            </w:r>
            <w:r w:rsidR="00FD07D5" w:rsidRPr="00FD07D5">
              <w:rPr>
                <w:lang w:eastAsia="pt-BR"/>
              </w:rPr>
              <w:t xml:space="preserve"> a decision from the Parties</w:t>
            </w:r>
            <w:r w:rsidRPr="00FD07D5">
              <w:rPr>
                <w:lang w:eastAsia="pt-BR"/>
              </w:rPr>
              <w:t xml:space="preserve"> cannot</w:t>
            </w:r>
            <w:r w:rsidR="00FD07D5" w:rsidRPr="00FD07D5">
              <w:rPr>
                <w:lang w:eastAsia="pt-BR"/>
              </w:rPr>
              <w:t xml:space="preserve">, </w:t>
            </w:r>
            <w:r w:rsidR="00FD07D5" w:rsidRPr="00FD07D5">
              <w:rPr>
                <w:i/>
                <w:iCs/>
                <w:lang w:eastAsia="pt-BR"/>
              </w:rPr>
              <w:t>per se</w:t>
            </w:r>
            <w:r w:rsidR="00FD07D5" w:rsidRPr="00FD07D5">
              <w:rPr>
                <w:lang w:eastAsia="pt-BR"/>
              </w:rPr>
              <w:t>,</w:t>
            </w:r>
            <w:r w:rsidRPr="00FD07D5">
              <w:rPr>
                <w:lang w:eastAsia="pt-BR"/>
              </w:rPr>
              <w:t xml:space="preserve"> mandate </w:t>
            </w:r>
            <w:r w:rsidR="00FD07D5" w:rsidRPr="00FD07D5">
              <w:rPr>
                <w:lang w:eastAsia="pt-BR"/>
              </w:rPr>
              <w:t xml:space="preserve">and create obligations to </w:t>
            </w:r>
            <w:r w:rsidRPr="00FD07D5">
              <w:rPr>
                <w:lang w:eastAsia="pt-BR"/>
              </w:rPr>
              <w:t>the private sector within the CB</w:t>
            </w:r>
            <w:r w:rsidR="00BD4070">
              <w:rPr>
                <w:lang w:eastAsia="pt-BR"/>
              </w:rPr>
              <w:t>D</w:t>
            </w:r>
            <w:r w:rsidR="00FD07D5" w:rsidRPr="00FD07D5">
              <w:rPr>
                <w:lang w:eastAsia="pt-BR"/>
              </w:rPr>
              <w:t>. I</w:t>
            </w:r>
            <w:r w:rsidRPr="00FD07D5">
              <w:rPr>
                <w:lang w:eastAsia="pt-BR"/>
              </w:rPr>
              <w:t xml:space="preserve">t is important to understand that the full development and effective application of voluntary and mandatory reporting frameworks or policies are subject to national circumstances and well-recognized sustainability standards by and across sectors, which are adopted at national level and company level. </w:t>
            </w:r>
            <w:r w:rsidR="008E0AC5">
              <w:rPr>
                <w:lang w:eastAsia="pt-BR"/>
              </w:rPr>
              <w:t xml:space="preserve">Currently, for instance, the </w:t>
            </w:r>
            <w:r w:rsidR="008E0AC5">
              <w:rPr>
                <w:lang w:val="en-AU"/>
              </w:rPr>
              <w:t xml:space="preserve">UN Global Compact </w:t>
            </w:r>
            <w:r w:rsidR="008E0AC5" w:rsidRPr="008E0AC5">
              <w:rPr>
                <w:lang w:val="en-AU"/>
              </w:rPr>
              <w:t xml:space="preserve">is </w:t>
            </w:r>
            <w:r w:rsidR="008C320E" w:rsidRPr="008C320E">
              <w:rPr>
                <w:lang w:val="en-AU"/>
              </w:rPr>
              <w:t xml:space="preserve">widely recognised </w:t>
            </w:r>
            <w:r w:rsidR="008C320E">
              <w:rPr>
                <w:lang w:val="en-AU"/>
              </w:rPr>
              <w:t>and one</w:t>
            </w:r>
            <w:r w:rsidR="008E0AC5">
              <w:rPr>
                <w:lang w:val="en-AU"/>
              </w:rPr>
              <w:t xml:space="preserve"> of the</w:t>
            </w:r>
            <w:r w:rsidR="008E0AC5" w:rsidRPr="008E0AC5">
              <w:rPr>
                <w:lang w:val="en-AU"/>
              </w:rPr>
              <w:t xml:space="preserve"> world's largest corporate sustainability initiative</w:t>
            </w:r>
            <w:r w:rsidR="008E0AC5">
              <w:rPr>
                <w:lang w:val="en-AU"/>
              </w:rPr>
              <w:t>s supported on a voluntary basis by companies</w:t>
            </w:r>
            <w:r w:rsidR="002259F0">
              <w:rPr>
                <w:lang w:val="en-AU"/>
              </w:rPr>
              <w:t xml:space="preserve">. </w:t>
            </w:r>
          </w:p>
          <w:p w14:paraId="49F01AC6" w14:textId="00F4DC2E" w:rsidR="00D53C24" w:rsidRPr="00FD07D5" w:rsidRDefault="00D53C24" w:rsidP="008E0AC5">
            <w:pPr>
              <w:ind w:left="0" w:hanging="2"/>
              <w:jc w:val="both"/>
            </w:pPr>
            <w:r w:rsidRPr="00FD07D5">
              <w:rPr>
                <w:lang w:eastAsia="pt-BR"/>
              </w:rPr>
              <w:t xml:space="preserve">In general, this is a process that requires time and capacity building in the field of SDG reporting, in order to avoid the creation of new reporting standards or frameworks. In this sense, pilot-testing are needed to validate </w:t>
            </w:r>
            <w:r w:rsidR="008E0AC5">
              <w:rPr>
                <w:lang w:eastAsia="pt-BR"/>
              </w:rPr>
              <w:t xml:space="preserve">new </w:t>
            </w:r>
            <w:r w:rsidRPr="00FD07D5">
              <w:rPr>
                <w:lang w:eastAsia="pt-BR"/>
              </w:rPr>
              <w:t>proposed methodolog</w:t>
            </w:r>
            <w:r w:rsidR="008E0AC5">
              <w:rPr>
                <w:lang w:eastAsia="pt-BR"/>
              </w:rPr>
              <w:t>ies</w:t>
            </w:r>
            <w:r w:rsidRPr="00FD07D5">
              <w:rPr>
                <w:lang w:eastAsia="pt-BR"/>
              </w:rPr>
              <w:t xml:space="preserve"> for data collection. Further developments and considerations are needed before turning the indicator 12.6.1 into an indicator of the GBF.  </w:t>
            </w:r>
          </w:p>
        </w:tc>
      </w:tr>
      <w:bookmarkEnd w:id="2"/>
      <w:tr w:rsidR="00D53C24" w:rsidRPr="00FD07D5" w14:paraId="2BD7E33F" w14:textId="77777777">
        <w:trPr>
          <w:trHeight w:val="224"/>
        </w:trPr>
        <w:tc>
          <w:tcPr>
            <w:tcW w:w="817" w:type="dxa"/>
          </w:tcPr>
          <w:p w14:paraId="0058EF02" w14:textId="77777777" w:rsidR="00D53C24" w:rsidRPr="00FD07D5" w:rsidRDefault="00D53C24" w:rsidP="00D53C24">
            <w:pPr>
              <w:ind w:left="0" w:hanging="2"/>
            </w:pPr>
          </w:p>
        </w:tc>
        <w:tc>
          <w:tcPr>
            <w:tcW w:w="815" w:type="dxa"/>
          </w:tcPr>
          <w:p w14:paraId="6ED5DED0" w14:textId="77777777" w:rsidR="00D53C24" w:rsidRPr="00FD07D5" w:rsidRDefault="00D53C24" w:rsidP="00D53C24">
            <w:pPr>
              <w:ind w:left="0" w:hanging="2"/>
            </w:pPr>
          </w:p>
        </w:tc>
        <w:tc>
          <w:tcPr>
            <w:tcW w:w="974" w:type="dxa"/>
          </w:tcPr>
          <w:p w14:paraId="1DD1CF85" w14:textId="77777777" w:rsidR="00D53C24" w:rsidRPr="00FD07D5" w:rsidRDefault="00D53C24" w:rsidP="00D53C24">
            <w:pPr>
              <w:ind w:left="0" w:hanging="2"/>
            </w:pPr>
          </w:p>
        </w:tc>
        <w:tc>
          <w:tcPr>
            <w:tcW w:w="1215" w:type="dxa"/>
            <w:gridSpan w:val="2"/>
          </w:tcPr>
          <w:p w14:paraId="1512F038" w14:textId="77777777" w:rsidR="00D53C24" w:rsidRPr="00FD07D5" w:rsidRDefault="00D53C24" w:rsidP="00D53C24">
            <w:pPr>
              <w:ind w:left="0" w:hanging="2"/>
            </w:pPr>
          </w:p>
        </w:tc>
        <w:tc>
          <w:tcPr>
            <w:tcW w:w="5785" w:type="dxa"/>
          </w:tcPr>
          <w:p w14:paraId="12965216" w14:textId="77777777" w:rsidR="00D53C24" w:rsidRPr="00FD07D5" w:rsidRDefault="00D53C24" w:rsidP="00D53C24">
            <w:pPr>
              <w:ind w:left="0" w:hanging="2"/>
            </w:pPr>
            <w:r w:rsidRPr="00FD07D5">
              <w:rPr>
                <w:sz w:val="22"/>
                <w:szCs w:val="22"/>
              </w:rPr>
              <w:t>Additional rows can be added to this table by selecting “Table” followed by “insert” and “rows below”</w:t>
            </w:r>
          </w:p>
        </w:tc>
      </w:tr>
    </w:tbl>
    <w:p w14:paraId="1435A5C8" w14:textId="77777777" w:rsidR="00953D36" w:rsidRPr="00FD07D5" w:rsidRDefault="00953D36">
      <w:pPr>
        <w:pBdr>
          <w:top w:val="nil"/>
          <w:left w:val="nil"/>
          <w:bottom w:val="nil"/>
          <w:right w:val="nil"/>
          <w:between w:val="nil"/>
        </w:pBdr>
        <w:spacing w:line="240" w:lineRule="auto"/>
        <w:ind w:left="0" w:hanging="2"/>
        <w:jc w:val="center"/>
        <w:rPr>
          <w:sz w:val="22"/>
          <w:szCs w:val="22"/>
          <w:u w:val="single"/>
        </w:rPr>
      </w:pPr>
    </w:p>
    <w:p w14:paraId="69259E7A" w14:textId="77777777" w:rsidR="00953D36" w:rsidRDefault="005A078D">
      <w:pPr>
        <w:ind w:left="0" w:hanging="2"/>
        <w:jc w:val="both"/>
      </w:pPr>
      <w:r w:rsidRPr="00FD07D5">
        <w:rPr>
          <w:i/>
          <w:sz w:val="22"/>
          <w:szCs w:val="22"/>
        </w:rPr>
        <w:t xml:space="preserve">Comments should be sent by e-mail to </w:t>
      </w:r>
      <w:hyperlink r:id="rId13">
        <w:r w:rsidRPr="00FD07D5">
          <w:rPr>
            <w:i/>
            <w:sz w:val="22"/>
            <w:szCs w:val="22"/>
            <w:u w:val="single"/>
          </w:rPr>
          <w:t>secretariat@cbd.int</w:t>
        </w:r>
      </w:hyperlink>
      <w:r w:rsidRPr="00FD07D5">
        <w:rPr>
          <w:i/>
          <w:sz w:val="22"/>
          <w:szCs w:val="22"/>
        </w:rPr>
        <w:t xml:space="preserve"> </w:t>
      </w:r>
      <w:r w:rsidRPr="00FD07D5">
        <w:rPr>
          <w:b/>
          <w:i/>
          <w:sz w:val="22"/>
          <w:szCs w:val="22"/>
        </w:rPr>
        <w:t>no later than 25 July 202</w:t>
      </w:r>
      <w:r>
        <w:rPr>
          <w:b/>
          <w:i/>
          <w:sz w:val="22"/>
          <w:szCs w:val="22"/>
        </w:rPr>
        <w:t>0</w:t>
      </w:r>
      <w:r>
        <w:rPr>
          <w:i/>
          <w:sz w:val="22"/>
          <w:szCs w:val="22"/>
        </w:rPr>
        <w:t>.</w:t>
      </w:r>
    </w:p>
    <w:sectPr w:rsidR="00953D36">
      <w:headerReference w:type="first" r:id="rId14"/>
      <w:pgSz w:w="12240" w:h="15840"/>
      <w:pgMar w:top="1134" w:right="1418" w:bottom="1134" w:left="1418" w:header="340"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81FFB" w14:textId="77777777" w:rsidR="003417D2" w:rsidRDefault="003417D2">
      <w:pPr>
        <w:spacing w:line="240" w:lineRule="auto"/>
        <w:ind w:left="0" w:hanging="2"/>
      </w:pPr>
      <w:r>
        <w:separator/>
      </w:r>
    </w:p>
  </w:endnote>
  <w:endnote w:type="continuationSeparator" w:id="0">
    <w:p w14:paraId="5D7498B5" w14:textId="77777777" w:rsidR="003417D2" w:rsidRDefault="003417D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E8D48" w14:textId="77777777" w:rsidR="003417D2" w:rsidRDefault="003417D2">
      <w:pPr>
        <w:spacing w:line="240" w:lineRule="auto"/>
        <w:ind w:left="0" w:hanging="2"/>
      </w:pPr>
      <w:r>
        <w:separator/>
      </w:r>
    </w:p>
  </w:footnote>
  <w:footnote w:type="continuationSeparator" w:id="0">
    <w:p w14:paraId="0E448066" w14:textId="77777777" w:rsidR="003417D2" w:rsidRDefault="003417D2">
      <w:pPr>
        <w:spacing w:line="240" w:lineRule="auto"/>
        <w:ind w:left="0" w:hanging="2"/>
      </w:pPr>
      <w:r>
        <w:continuationSeparator/>
      </w:r>
    </w:p>
  </w:footnote>
  <w:footnote w:id="1">
    <w:p w14:paraId="4B9548A5" w14:textId="77777777" w:rsidR="00953D36" w:rsidRDefault="005A078D">
      <w:pPr>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1">
        <w:r>
          <w:rPr>
            <w:rFonts w:ascii="Calibri" w:eastAsia="Calibri" w:hAnsi="Calibri" w:cs="Calibri"/>
            <w:color w:val="0000FF"/>
            <w:sz w:val="20"/>
            <w:szCs w:val="20"/>
            <w:u w:val="single"/>
          </w:rPr>
          <w:t>CBD/WG2020/REC/2/1</w:t>
        </w:r>
      </w:hyperlink>
    </w:p>
  </w:footnote>
  <w:footnote w:id="2">
    <w:p w14:paraId="3910B8A2" w14:textId="77777777" w:rsidR="00953D36" w:rsidRDefault="005A078D">
      <w:pPr>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2">
        <w:r>
          <w:rPr>
            <w:rFonts w:ascii="Calibri" w:eastAsia="Calibri" w:hAnsi="Calibri" w:cs="Calibri"/>
            <w:color w:val="0000FF"/>
            <w:sz w:val="20"/>
            <w:szCs w:val="20"/>
            <w:u w:val="single"/>
          </w:rPr>
          <w:t>https://www.cbd.int/conferences/post2020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89EED" w14:textId="77777777" w:rsidR="00953D36" w:rsidRDefault="00953D36">
    <w:pPr>
      <w:pBdr>
        <w:top w:val="nil"/>
        <w:left w:val="nil"/>
        <w:bottom w:val="nil"/>
        <w:right w:val="nil"/>
        <w:between w:val="nil"/>
      </w:pBdr>
      <w:tabs>
        <w:tab w:val="right" w:pos="10260"/>
      </w:tabs>
      <w:spacing w:line="480" w:lineRule="auto"/>
      <w:ind w:left="1" w:right="-856" w:hanging="3"/>
      <w:jc w:val="center"/>
      <w:rPr>
        <w:rFonts w:ascii="Arial" w:eastAsia="Arial" w:hAnsi="Arial" w:cs="Arial"/>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67AAD"/>
    <w:multiLevelType w:val="multilevel"/>
    <w:tmpl w:val="3FB68B2E"/>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AF95B5D"/>
    <w:multiLevelType w:val="multilevel"/>
    <w:tmpl w:val="AFCA5098"/>
    <w:lvl w:ilvl="0">
      <w:start w:val="1"/>
      <w:numFmt w:val="decimal"/>
      <w:lvlText w:val="%1."/>
      <w:lvlJc w:val="left"/>
      <w:pPr>
        <w:ind w:left="648" w:hanging="288"/>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3454144"/>
    <w:multiLevelType w:val="multilevel"/>
    <w:tmpl w:val="1C1220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D36"/>
    <w:rsid w:val="00013397"/>
    <w:rsid w:val="00016AF3"/>
    <w:rsid w:val="000E110F"/>
    <w:rsid w:val="000F156B"/>
    <w:rsid w:val="00105E2B"/>
    <w:rsid w:val="00121119"/>
    <w:rsid w:val="001906FF"/>
    <w:rsid w:val="001B1D51"/>
    <w:rsid w:val="00217D82"/>
    <w:rsid w:val="002259F0"/>
    <w:rsid w:val="002E068D"/>
    <w:rsid w:val="00306FB2"/>
    <w:rsid w:val="00314C4D"/>
    <w:rsid w:val="003417D2"/>
    <w:rsid w:val="0035450A"/>
    <w:rsid w:val="00551A39"/>
    <w:rsid w:val="005A078D"/>
    <w:rsid w:val="005D0E6F"/>
    <w:rsid w:val="006262A4"/>
    <w:rsid w:val="00644642"/>
    <w:rsid w:val="0069738B"/>
    <w:rsid w:val="0075133B"/>
    <w:rsid w:val="00766477"/>
    <w:rsid w:val="00810FCC"/>
    <w:rsid w:val="008C320E"/>
    <w:rsid w:val="008E0AC5"/>
    <w:rsid w:val="0090466E"/>
    <w:rsid w:val="00953D36"/>
    <w:rsid w:val="009D6A39"/>
    <w:rsid w:val="00A21A1D"/>
    <w:rsid w:val="00A451F0"/>
    <w:rsid w:val="00A8176F"/>
    <w:rsid w:val="00BB2F1E"/>
    <w:rsid w:val="00BB37A6"/>
    <w:rsid w:val="00BC2E1A"/>
    <w:rsid w:val="00BD4070"/>
    <w:rsid w:val="00D01F16"/>
    <w:rsid w:val="00D53C24"/>
    <w:rsid w:val="00D708FE"/>
    <w:rsid w:val="00D8370B"/>
    <w:rsid w:val="00DB0139"/>
    <w:rsid w:val="00E36853"/>
    <w:rsid w:val="00F14C2A"/>
    <w:rsid w:val="00F2028C"/>
    <w:rsid w:val="00F7464D"/>
    <w:rsid w:val="00FB095F"/>
    <w:rsid w:val="00FD07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FDFE"/>
  <w15:docId w15:val="{311A01B9-AE85-4197-8E92-BCE5715A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spacing w:before="240" w:after="60"/>
      <w:outlineLvl w:val="1"/>
    </w:pPr>
    <w:rPr>
      <w:rFonts w:ascii="Arial" w:hAnsi="Arial" w:cs="Arial"/>
      <w:b/>
      <w:bCs/>
      <w:i/>
      <w:iCs/>
      <w:sz w:val="26"/>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overflowPunct w:val="0"/>
      <w:autoSpaceDE w:val="0"/>
      <w:autoSpaceDN w:val="0"/>
      <w:adjustRightInd w:val="0"/>
      <w:jc w:val="center"/>
      <w:textAlignment w:val="baseline"/>
    </w:pPr>
    <w:rPr>
      <w:b/>
      <w:sz w:val="32"/>
      <w:szCs w:val="20"/>
      <w:lang w:val="fr-CA"/>
    </w:rPr>
  </w:style>
  <w:style w:type="character" w:customStyle="1" w:styleId="Ttulo2Char">
    <w:name w:val="Título 2 Char"/>
    <w:rPr>
      <w:rFonts w:ascii="Arial" w:hAnsi="Arial" w:cs="Arial"/>
      <w:b/>
      <w:bCs/>
      <w:i/>
      <w:iCs/>
      <w:w w:val="100"/>
      <w:position w:val="-1"/>
      <w:sz w:val="28"/>
      <w:szCs w:val="28"/>
      <w:effect w:val="none"/>
      <w:vertAlign w:val="baseline"/>
      <w:cs w:val="0"/>
      <w:em w:val="none"/>
    </w:rPr>
  </w:style>
  <w:style w:type="paragraph" w:styleId="Cabealho">
    <w:name w:val="header"/>
    <w:basedOn w:val="Normal"/>
  </w:style>
  <w:style w:type="character" w:customStyle="1" w:styleId="CabealhoChar">
    <w:name w:val="Cabeçalho Char"/>
    <w:rPr>
      <w:w w:val="100"/>
      <w:position w:val="-1"/>
      <w:sz w:val="24"/>
      <w:szCs w:val="24"/>
      <w:effect w:val="none"/>
      <w:vertAlign w:val="baseline"/>
      <w:cs w:val="0"/>
      <w:em w:val="none"/>
    </w:rPr>
  </w:style>
  <w:style w:type="paragraph" w:styleId="Rodap">
    <w:name w:val="footer"/>
    <w:basedOn w:val="Normal"/>
  </w:style>
  <w:style w:type="character" w:customStyle="1" w:styleId="RodapChar">
    <w:name w:val="Rodapé Char"/>
    <w:rPr>
      <w:w w:val="100"/>
      <w:position w:val="-1"/>
      <w:sz w:val="24"/>
      <w:szCs w:val="24"/>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rPr>
      <w:rFonts w:ascii="Tahoma" w:hAnsi="Tahoma" w:cs="Tahoma"/>
      <w:sz w:val="16"/>
      <w:szCs w:val="16"/>
    </w:rPr>
  </w:style>
  <w:style w:type="character" w:customStyle="1" w:styleId="TextodebaloChar">
    <w:name w:val="Texto de balão Char"/>
    <w:rPr>
      <w:w w:val="100"/>
      <w:position w:val="-1"/>
      <w:sz w:val="0"/>
      <w:szCs w:val="0"/>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TtuloChar">
    <w:name w:val="Título Char"/>
    <w:rPr>
      <w:b/>
      <w:w w:val="100"/>
      <w:position w:val="-1"/>
      <w:sz w:val="32"/>
      <w:effect w:val="none"/>
      <w:vertAlign w:val="baseline"/>
      <w:cs w:val="0"/>
      <w:em w:val="none"/>
      <w:lang w:val="fr-CA"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en-US"/>
    </w:rPr>
  </w:style>
  <w:style w:type="paragraph" w:styleId="Textodecomentrio">
    <w:name w:val="annotation text"/>
    <w:basedOn w:val="Normal"/>
    <w:rPr>
      <w:sz w:val="20"/>
      <w:szCs w:val="20"/>
    </w:rPr>
  </w:style>
  <w:style w:type="character" w:customStyle="1" w:styleId="TextodecomentrioChar">
    <w:name w:val="Texto de comentário Char"/>
    <w:rPr>
      <w:w w:val="100"/>
      <w:position w:val="-1"/>
      <w:effect w:val="none"/>
      <w:vertAlign w:val="baseline"/>
      <w:cs w:val="0"/>
      <w:em w:val="none"/>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b/>
      <w:bCs/>
      <w:w w:val="100"/>
      <w:position w:val="-1"/>
      <w:effect w:val="none"/>
      <w:vertAlign w:val="baseline"/>
      <w:cs w:val="0"/>
      <w:em w:val="none"/>
    </w:rPr>
  </w:style>
  <w:style w:type="paragraph" w:customStyle="1" w:styleId="Form">
    <w:name w:val="Form"/>
    <w:basedOn w:val="Normal"/>
    <w:pPr>
      <w:autoSpaceDE w:val="0"/>
      <w:autoSpaceDN w:val="0"/>
      <w:adjustRightInd w:val="0"/>
      <w:spacing w:before="60" w:after="60"/>
    </w:pPr>
    <w:rPr>
      <w:rFonts w:ascii="Arial" w:eastAsia="MS Mincho" w:hAnsi="Arial" w:cs="Arial"/>
      <w:sz w:val="16"/>
    </w:rPr>
  </w:style>
  <w:style w:type="paragraph" w:styleId="PargrafodaLista">
    <w:name w:val="List Paragraph"/>
    <w:basedOn w:val="Normal"/>
    <w:pPr>
      <w:ind w:left="720"/>
    </w:pPr>
  </w:style>
  <w:style w:type="character" w:styleId="Refdecomentrio">
    <w:name w:val="annotation reference"/>
    <w:rPr>
      <w:w w:val="100"/>
      <w:position w:val="-1"/>
      <w:sz w:val="16"/>
      <w:szCs w:val="16"/>
      <w:effect w:val="none"/>
      <w:vertAlign w:val="baseline"/>
      <w:cs w:val="0"/>
      <w:em w:val="none"/>
    </w:rPr>
  </w:style>
  <w:style w:type="character" w:styleId="Forte">
    <w:name w:val="Strong"/>
    <w:rPr>
      <w:b/>
      <w:bCs/>
      <w:w w:val="100"/>
      <w:position w:val="-1"/>
      <w:effect w:val="none"/>
      <w:vertAlign w:val="baseline"/>
      <w:cs w:val="0"/>
      <w:em w:val="none"/>
    </w:rPr>
  </w:style>
  <w:style w:type="character" w:styleId="HiperlinkVisitado">
    <w:name w:val="FollowedHyperlink"/>
    <w:rPr>
      <w:color w:val="800080"/>
      <w:w w:val="100"/>
      <w:position w:val="-1"/>
      <w:u w:val="single"/>
      <w:effect w:val="none"/>
      <w:vertAlign w:val="baseline"/>
      <w:cs w:val="0"/>
      <w:em w:val="none"/>
    </w:rPr>
  </w:style>
  <w:style w:type="character" w:styleId="MenoPendente">
    <w:name w:val="Unresolved Mention"/>
    <w:qFormat/>
    <w:rPr>
      <w:color w:val="605E5C"/>
      <w:w w:val="100"/>
      <w:position w:val="-1"/>
      <w:effect w:val="none"/>
      <w:shd w:val="clear" w:color="auto" w:fill="E1DFDD"/>
      <w:vertAlign w:val="baseline"/>
      <w:cs w:val="0"/>
      <w:em w:val="none"/>
    </w:rPr>
  </w:style>
  <w:style w:type="paragraph" w:styleId="Textodenotaderodap">
    <w:name w:val="footnote text"/>
    <w:basedOn w:val="Normal"/>
    <w:qFormat/>
    <w:rPr>
      <w:rFonts w:ascii="Calibri" w:eastAsia="Calibri" w:hAnsi="Calibri"/>
      <w:sz w:val="20"/>
      <w:szCs w:val="20"/>
      <w:lang w:val="en-CA"/>
    </w:rPr>
  </w:style>
  <w:style w:type="character" w:customStyle="1" w:styleId="TextodenotaderodapChar">
    <w:name w:val="Texto de nota de rodapé Char"/>
    <w:rPr>
      <w:rFonts w:ascii="Calibri" w:eastAsia="Calibri" w:hAnsi="Calibri"/>
      <w:w w:val="100"/>
      <w:position w:val="-1"/>
      <w:effect w:val="none"/>
      <w:vertAlign w:val="baseline"/>
      <w:cs w:val="0"/>
      <w:em w:val="none"/>
      <w:lang w:eastAsia="en-US"/>
    </w:rPr>
  </w:style>
  <w:style w:type="character" w:styleId="Refdenotaderodap">
    <w:name w:val="footnote reference"/>
    <w:qFormat/>
    <w:rPr>
      <w:w w:val="100"/>
      <w:position w:val="-1"/>
      <w:effect w:val="none"/>
      <w:vertAlign w:val="superscript"/>
      <w:cs w:val="0"/>
      <w:em w:val="none"/>
    </w:rPr>
  </w:style>
  <w:style w:type="character" w:customStyle="1" w:styleId="ng-binding">
    <w:name w:val="ng-binding"/>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fase">
    <w:name w:val="Emphasis"/>
    <w:basedOn w:val="Fontepargpadro"/>
    <w:uiPriority w:val="20"/>
    <w:qFormat/>
    <w:rsid w:val="00D708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955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t@cbd.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iat@cbd.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cbd.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post2020" TargetMode="External"/><Relationship Id="rId1" Type="http://schemas.openxmlformats.org/officeDocument/2006/relationships/hyperlink" Target="https://www.cbd.int/doc/recommendations/wg2020-02/wg2020-02-rec-0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fN8j/zXgAXyN407oCFcRbd8onA==">AMUW2mV3qGnDleRc4/fnwCm9GsM554mSKxQ40OlSz4IJbKxK+JaskxCO+JD/ojWrmFQeKyvSf5WZ+ygAzDJsfs35YZQo+n5Pn7SNXZGfcOnwEuU1XYDQGvOXJrt77CwrClfJWHi7RHKQ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06B83EE70687794CBC55929843ECECF9" ma:contentTypeVersion="12" ma:contentTypeDescription="Crie um novo documento." ma:contentTypeScope="" ma:versionID="5bd3e62dd3600484385f44e5180f530b">
  <xsd:schema xmlns:xsd="http://www.w3.org/2001/XMLSchema" xmlns:xs="http://www.w3.org/2001/XMLSchema" xmlns:p="http://schemas.microsoft.com/office/2006/metadata/properties" xmlns:ns3="88035bd6-0f86-4e07-9b54-9aebc6f833cd" xmlns:ns4="be6021f9-4df9-4c21-b5f5-d6706ee8c7af" targetNamespace="http://schemas.microsoft.com/office/2006/metadata/properties" ma:root="true" ma:fieldsID="91c4eba869ab6cc494aa3198ae1cadbd" ns3:_="" ns4:_="">
    <xsd:import namespace="88035bd6-0f86-4e07-9b54-9aebc6f833cd"/>
    <xsd:import namespace="be6021f9-4df9-4c21-b5f5-d6706ee8c7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35bd6-0f86-4e07-9b54-9aebc6f83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6021f9-4df9-4c21-b5f5-d6706ee8c7af"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element name="SharingHintHash" ma:index="19"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472BE5-32B2-4B7F-89A6-52BC511FA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35bd6-0f86-4e07-9b54-9aebc6f833cd"/>
    <ds:schemaRef ds:uri="be6021f9-4df9-4c21-b5f5-d6706ee8c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623C0-F5E1-4D0F-BFBA-B77631633D96}">
  <ds:schemaRefs>
    <ds:schemaRef ds:uri="http://schemas.microsoft.com/sharepoint/v3/contenttype/forms"/>
  </ds:schemaRefs>
</ds:datastoreItem>
</file>

<file path=customXml/itemProps4.xml><?xml version="1.0" encoding="utf-8"?>
<ds:datastoreItem xmlns:ds="http://schemas.openxmlformats.org/officeDocument/2006/customXml" ds:itemID="{8633ACBD-A9FF-4B1A-89B2-11B9FFE20E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2233</Words>
  <Characters>12060</Characters>
  <Application>Microsoft Office Word</Application>
  <DocSecurity>4</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Lima</dc:creator>
  <cp:lastModifiedBy>Ary Albuquerque</cp:lastModifiedBy>
  <cp:revision>2</cp:revision>
  <cp:lastPrinted>2020-07-22T15:14:00Z</cp:lastPrinted>
  <dcterms:created xsi:type="dcterms:W3CDTF">2020-07-22T15:15:00Z</dcterms:created>
  <dcterms:modified xsi:type="dcterms:W3CDTF">2020-07-22T15:15:00Z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0x01010006B83EE70687794CBC55929843ECECF9</vt:lpwstr>
  </property>
</Properties>
</file>