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68012" w14:textId="77777777" w:rsidR="00150043" w:rsidRPr="00CA0B18" w:rsidRDefault="00150043" w:rsidP="006279FE">
      <w:pPr>
        <w:pStyle w:val="Heading1"/>
        <w:spacing w:before="0"/>
        <w:jc w:val="center"/>
        <w:rPr>
          <w:rFonts w:asciiTheme="minorHAnsi" w:hAnsiTheme="minorHAnsi" w:cstheme="minorHAnsi"/>
          <w:sz w:val="28"/>
          <w:szCs w:val="28"/>
        </w:rPr>
      </w:pPr>
      <w:r w:rsidRPr="00CA0B18">
        <w:rPr>
          <w:rFonts w:asciiTheme="minorHAnsi" w:hAnsiTheme="minorHAnsi" w:cstheme="minorHAnsi"/>
          <w:noProof/>
          <w:sz w:val="28"/>
          <w:szCs w:val="28"/>
          <w:lang w:val="en-US"/>
        </w:rPr>
        <w:drawing>
          <wp:inline distT="0" distB="0" distL="0" distR="0" wp14:anchorId="402496CA" wp14:editId="56B98E29">
            <wp:extent cx="2226005" cy="786433"/>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trade_LogoONL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6547" cy="790157"/>
                    </a:xfrm>
                    <a:prstGeom prst="rect">
                      <a:avLst/>
                    </a:prstGeom>
                  </pic:spPr>
                </pic:pic>
              </a:graphicData>
            </a:graphic>
          </wp:inline>
        </w:drawing>
      </w:r>
    </w:p>
    <w:p w14:paraId="6B03D3C4" w14:textId="77777777" w:rsidR="00150043" w:rsidRPr="00CA0B18" w:rsidRDefault="00150043" w:rsidP="006279FE">
      <w:pPr>
        <w:pStyle w:val="Heading1"/>
        <w:spacing w:before="0"/>
        <w:jc w:val="center"/>
        <w:rPr>
          <w:rFonts w:asciiTheme="minorHAnsi" w:hAnsiTheme="minorHAnsi" w:cstheme="minorHAnsi"/>
          <w:sz w:val="28"/>
          <w:szCs w:val="28"/>
        </w:rPr>
      </w:pPr>
    </w:p>
    <w:p w14:paraId="2B74A724" w14:textId="77777777" w:rsidR="004C1935" w:rsidRPr="00CA0B18" w:rsidRDefault="00C72A16" w:rsidP="006279FE">
      <w:pPr>
        <w:pStyle w:val="Heading1"/>
        <w:spacing w:before="0"/>
        <w:jc w:val="center"/>
        <w:rPr>
          <w:rFonts w:asciiTheme="minorHAnsi" w:hAnsiTheme="minorHAnsi" w:cstheme="minorHAnsi"/>
          <w:sz w:val="28"/>
          <w:szCs w:val="28"/>
        </w:rPr>
      </w:pPr>
      <w:r w:rsidRPr="00CA0B18">
        <w:rPr>
          <w:rFonts w:asciiTheme="minorHAnsi" w:hAnsiTheme="minorHAnsi" w:cstheme="minorHAnsi"/>
          <w:sz w:val="28"/>
          <w:szCs w:val="28"/>
        </w:rPr>
        <w:t xml:space="preserve">Initial views on </w:t>
      </w:r>
      <w:r w:rsidR="007213C9" w:rsidRPr="00CA0B18">
        <w:rPr>
          <w:rFonts w:asciiTheme="minorHAnsi" w:hAnsiTheme="minorHAnsi" w:cstheme="minorHAnsi"/>
          <w:sz w:val="28"/>
          <w:szCs w:val="28"/>
        </w:rPr>
        <w:t xml:space="preserve">the discussion paper </w:t>
      </w:r>
      <w:r w:rsidR="007213C9" w:rsidRPr="00CA0B18">
        <w:rPr>
          <w:rFonts w:asciiTheme="minorHAnsi" w:hAnsiTheme="minorHAnsi" w:cstheme="minorHAnsi"/>
          <w:sz w:val="28"/>
          <w:szCs w:val="28"/>
          <w:lang w:val="en-US"/>
        </w:rPr>
        <w:t>“</w:t>
      </w:r>
      <w:r w:rsidRPr="00CA0B18">
        <w:rPr>
          <w:rFonts w:asciiTheme="minorHAnsi" w:hAnsiTheme="minorHAnsi" w:cstheme="minorHAnsi"/>
          <w:i/>
          <w:sz w:val="28"/>
          <w:szCs w:val="28"/>
        </w:rPr>
        <w:t xml:space="preserve">Post-2020 </w:t>
      </w:r>
      <w:r w:rsidR="007213C9" w:rsidRPr="00CA0B18">
        <w:rPr>
          <w:rFonts w:asciiTheme="minorHAnsi" w:hAnsiTheme="minorHAnsi" w:cstheme="minorHAnsi"/>
          <w:i/>
          <w:sz w:val="28"/>
          <w:szCs w:val="28"/>
        </w:rPr>
        <w:t>global biodiversity framework</w:t>
      </w:r>
      <w:r w:rsidR="007213C9" w:rsidRPr="00CA0B18">
        <w:rPr>
          <w:rFonts w:asciiTheme="minorHAnsi" w:hAnsiTheme="minorHAnsi" w:cstheme="minorHAnsi"/>
          <w:sz w:val="28"/>
          <w:szCs w:val="28"/>
        </w:rPr>
        <w:t xml:space="preserve"> </w:t>
      </w:r>
      <w:r w:rsidR="007213C9" w:rsidRPr="00CA0B18">
        <w:rPr>
          <w:rFonts w:asciiTheme="minorHAnsi" w:hAnsiTheme="minorHAnsi" w:cstheme="minorHAnsi"/>
          <w:i/>
          <w:sz w:val="28"/>
          <w:szCs w:val="28"/>
        </w:rPr>
        <w:t>(CBD/POST2020/PREP/1/1)</w:t>
      </w:r>
      <w:r w:rsidR="007213C9" w:rsidRPr="00CA0B18">
        <w:rPr>
          <w:rFonts w:asciiTheme="minorHAnsi" w:hAnsiTheme="minorHAnsi" w:cstheme="minorHAnsi"/>
          <w:sz w:val="28"/>
          <w:szCs w:val="28"/>
        </w:rPr>
        <w:t>”</w:t>
      </w:r>
    </w:p>
    <w:p w14:paraId="54852693" w14:textId="3FEE13A6" w:rsidR="008C745E" w:rsidRPr="00CA0B18" w:rsidRDefault="007213C9" w:rsidP="006279FE">
      <w:pPr>
        <w:pStyle w:val="Heading1"/>
        <w:spacing w:before="0"/>
        <w:jc w:val="center"/>
        <w:rPr>
          <w:rFonts w:asciiTheme="minorHAnsi" w:hAnsiTheme="minorHAnsi" w:cstheme="minorHAnsi"/>
          <w:sz w:val="28"/>
          <w:szCs w:val="28"/>
        </w:rPr>
      </w:pPr>
      <w:r w:rsidRPr="00CA0B18">
        <w:rPr>
          <w:rFonts w:asciiTheme="minorHAnsi" w:hAnsiTheme="minorHAnsi" w:cstheme="minorHAnsi"/>
          <w:sz w:val="28"/>
          <w:szCs w:val="28"/>
        </w:rPr>
        <w:t xml:space="preserve"> </w:t>
      </w:r>
    </w:p>
    <w:p w14:paraId="6DEF1AAC" w14:textId="4BAAC839" w:rsidR="007213C9" w:rsidRPr="00B42EAF" w:rsidRDefault="004C1935" w:rsidP="00F323D3">
      <w:pPr>
        <w:pStyle w:val="Heading1"/>
        <w:spacing w:before="0"/>
        <w:ind w:left="360"/>
        <w:jc w:val="center"/>
        <w:rPr>
          <w:rFonts w:asciiTheme="minorHAnsi" w:hAnsiTheme="minorHAnsi" w:cstheme="minorHAnsi"/>
          <w:sz w:val="22"/>
          <w:szCs w:val="24"/>
        </w:rPr>
      </w:pPr>
      <w:r w:rsidRPr="00B42EAF">
        <w:rPr>
          <w:rFonts w:asciiTheme="minorHAnsi" w:hAnsiTheme="minorHAnsi" w:cstheme="minorHAnsi"/>
          <w:sz w:val="22"/>
          <w:szCs w:val="24"/>
        </w:rPr>
        <w:t xml:space="preserve">- </w:t>
      </w:r>
      <w:r w:rsidR="00B42EAF" w:rsidRPr="00B42EAF">
        <w:rPr>
          <w:rFonts w:asciiTheme="minorHAnsi" w:hAnsiTheme="minorHAnsi" w:cstheme="minorHAnsi"/>
          <w:sz w:val="22"/>
          <w:szCs w:val="24"/>
        </w:rPr>
        <w:t xml:space="preserve">Contribution by </w:t>
      </w:r>
      <w:r w:rsidR="007213C9" w:rsidRPr="00B42EAF">
        <w:rPr>
          <w:rFonts w:asciiTheme="minorHAnsi" w:hAnsiTheme="minorHAnsi" w:cstheme="minorHAnsi"/>
          <w:sz w:val="22"/>
          <w:szCs w:val="24"/>
        </w:rPr>
        <w:t>UNCTAD</w:t>
      </w:r>
      <w:r w:rsidR="00B42EAF" w:rsidRPr="00B42EAF">
        <w:rPr>
          <w:rFonts w:asciiTheme="minorHAnsi" w:hAnsiTheme="minorHAnsi" w:cstheme="minorHAnsi"/>
          <w:sz w:val="22"/>
          <w:szCs w:val="24"/>
        </w:rPr>
        <w:t xml:space="preserve"> BioTrade, CITES Secretariat, CAF, </w:t>
      </w:r>
      <w:proofErr w:type="spellStart"/>
      <w:r w:rsidR="00A2119C" w:rsidRPr="00A2119C">
        <w:rPr>
          <w:rFonts w:asciiTheme="minorHAnsi" w:hAnsiTheme="minorHAnsi" w:cstheme="minorHAnsi"/>
          <w:sz w:val="22"/>
          <w:szCs w:val="24"/>
        </w:rPr>
        <w:t>PromPerú</w:t>
      </w:r>
      <w:proofErr w:type="spellEnd"/>
      <w:r w:rsidR="00B42EAF" w:rsidRPr="00B42EAF">
        <w:rPr>
          <w:rFonts w:asciiTheme="minorHAnsi" w:hAnsiTheme="minorHAnsi" w:cstheme="minorHAnsi"/>
          <w:sz w:val="22"/>
          <w:szCs w:val="24"/>
        </w:rPr>
        <w:t xml:space="preserve">, UEBT and FLEDGE </w:t>
      </w:r>
      <w:r w:rsidR="007213C9" w:rsidRPr="00B42EAF">
        <w:rPr>
          <w:rFonts w:asciiTheme="minorHAnsi" w:hAnsiTheme="minorHAnsi" w:cstheme="minorHAnsi"/>
          <w:sz w:val="22"/>
          <w:szCs w:val="24"/>
        </w:rPr>
        <w:t xml:space="preserve">- </w:t>
      </w:r>
    </w:p>
    <w:p w14:paraId="39BB9FD2" w14:textId="4967CFB8" w:rsidR="007213C9" w:rsidRPr="00CA0B18" w:rsidRDefault="007213C9" w:rsidP="006279FE">
      <w:pPr>
        <w:spacing w:after="0" w:line="240" w:lineRule="auto"/>
        <w:rPr>
          <w:rFonts w:cstheme="minorHAnsi"/>
          <w:sz w:val="24"/>
          <w:szCs w:val="24"/>
          <w:lang w:val="en-CA"/>
        </w:rPr>
      </w:pPr>
    </w:p>
    <w:p w14:paraId="69439C8E" w14:textId="54A66640" w:rsidR="00C211A0" w:rsidRPr="00CA0B18" w:rsidRDefault="0057159C" w:rsidP="006279FE">
      <w:pPr>
        <w:pStyle w:val="Heading1"/>
        <w:numPr>
          <w:ilvl w:val="0"/>
          <w:numId w:val="8"/>
        </w:numPr>
        <w:spacing w:before="0"/>
        <w:rPr>
          <w:rFonts w:asciiTheme="minorHAnsi" w:hAnsiTheme="minorHAnsi" w:cstheme="minorHAnsi"/>
          <w:sz w:val="24"/>
          <w:szCs w:val="24"/>
        </w:rPr>
      </w:pPr>
      <w:r w:rsidRPr="00CA0B18">
        <w:rPr>
          <w:rFonts w:asciiTheme="minorHAnsi" w:hAnsiTheme="minorHAnsi" w:cstheme="minorHAnsi"/>
          <w:sz w:val="24"/>
          <w:szCs w:val="24"/>
        </w:rPr>
        <w:t>Background</w:t>
      </w:r>
    </w:p>
    <w:p w14:paraId="78312B0F" w14:textId="77777777" w:rsidR="00D93FDD" w:rsidRPr="00CA0B18" w:rsidRDefault="00D93FDD" w:rsidP="006279FE">
      <w:pPr>
        <w:spacing w:after="0" w:line="240" w:lineRule="auto"/>
        <w:jc w:val="both"/>
        <w:rPr>
          <w:rFonts w:cstheme="minorHAnsi"/>
          <w:lang w:val="en-US"/>
        </w:rPr>
      </w:pPr>
    </w:p>
    <w:p w14:paraId="7C98871C" w14:textId="2E6CFA28" w:rsidR="00664C16" w:rsidRPr="00CA0B18" w:rsidRDefault="00664C16" w:rsidP="006279FE">
      <w:pPr>
        <w:spacing w:after="0" w:line="240" w:lineRule="auto"/>
        <w:jc w:val="both"/>
        <w:rPr>
          <w:rFonts w:cstheme="minorHAnsi"/>
          <w:lang w:val="en-US"/>
        </w:rPr>
      </w:pPr>
      <w:r w:rsidRPr="00CA0B18">
        <w:rPr>
          <w:rFonts w:cstheme="minorHAnsi"/>
          <w:lang w:val="en-US"/>
        </w:rPr>
        <w:t>Biodiversity is being lost at significant rates</w:t>
      </w:r>
      <w:r w:rsidR="004C1935" w:rsidRPr="00CA0B18">
        <w:rPr>
          <w:rFonts w:cstheme="minorHAnsi"/>
          <w:lang w:val="en-US"/>
        </w:rPr>
        <w:t>,</w:t>
      </w:r>
      <w:r w:rsidRPr="00CA0B18">
        <w:rPr>
          <w:rFonts w:cstheme="minorHAnsi"/>
          <w:lang w:val="en-US"/>
        </w:rPr>
        <w:t xml:space="preserve"> as stated in the </w:t>
      </w:r>
      <w:r w:rsidR="00C92764" w:rsidRPr="00CA0B18">
        <w:rPr>
          <w:rFonts w:cstheme="minorHAnsi"/>
          <w:lang w:val="en-US"/>
        </w:rPr>
        <w:t>sixth Global Environment Outlook (</w:t>
      </w:r>
      <w:r w:rsidRPr="00CA0B18">
        <w:rPr>
          <w:rFonts w:cstheme="minorHAnsi"/>
          <w:lang w:val="en-US"/>
        </w:rPr>
        <w:t>GEO-6</w:t>
      </w:r>
      <w:r w:rsidR="00C92764" w:rsidRPr="00CA0B18">
        <w:rPr>
          <w:rFonts w:cstheme="minorHAnsi"/>
          <w:lang w:val="en-US"/>
        </w:rPr>
        <w:t>)</w:t>
      </w:r>
      <w:r w:rsidR="004C1935" w:rsidRPr="00CA0B18">
        <w:rPr>
          <w:rFonts w:cstheme="minorHAnsi"/>
          <w:lang w:val="en-US"/>
        </w:rPr>
        <w:t>,</w:t>
      </w:r>
      <w:r w:rsidRPr="00CA0B18">
        <w:rPr>
          <w:rFonts w:cstheme="minorHAnsi"/>
          <w:lang w:val="en-US"/>
        </w:rPr>
        <w:t xml:space="preserve"> due to both direct and indirect drivers such as</w:t>
      </w:r>
      <w:r w:rsidR="00786795" w:rsidRPr="00CA0B18">
        <w:rPr>
          <w:rFonts w:cstheme="minorHAnsi"/>
          <w:lang w:val="en-US"/>
        </w:rPr>
        <w:t xml:space="preserve"> deforestation, </w:t>
      </w:r>
      <w:r w:rsidR="00C92764" w:rsidRPr="00CA0B18">
        <w:rPr>
          <w:rFonts w:cstheme="minorHAnsi"/>
          <w:lang w:val="en-US"/>
        </w:rPr>
        <w:t xml:space="preserve">land fragmentation, </w:t>
      </w:r>
      <w:r w:rsidR="00786795" w:rsidRPr="00CA0B18">
        <w:rPr>
          <w:rFonts w:cstheme="minorHAnsi"/>
          <w:lang w:val="en-US"/>
        </w:rPr>
        <w:t>land use change, climate change, pollution,</w:t>
      </w:r>
      <w:r w:rsidR="004C1935" w:rsidRPr="00CA0B18">
        <w:rPr>
          <w:rFonts w:cstheme="minorHAnsi"/>
          <w:lang w:val="en-US"/>
        </w:rPr>
        <w:t xml:space="preserve"> </w:t>
      </w:r>
      <w:r w:rsidR="00040856" w:rsidRPr="00CA0B18">
        <w:rPr>
          <w:rFonts w:cstheme="minorHAnsi"/>
          <w:lang w:val="en-US"/>
        </w:rPr>
        <w:t xml:space="preserve">or </w:t>
      </w:r>
      <w:r w:rsidR="00D535FB" w:rsidRPr="00CA0B18">
        <w:rPr>
          <w:rFonts w:cstheme="minorHAnsi"/>
          <w:lang w:val="en-US"/>
        </w:rPr>
        <w:t>the overexploitation</w:t>
      </w:r>
      <w:r w:rsidR="00786795" w:rsidRPr="00CA0B18">
        <w:rPr>
          <w:rFonts w:cstheme="minorHAnsi"/>
          <w:lang w:val="en-US"/>
        </w:rPr>
        <w:t xml:space="preserve"> of natural resources. Thi</w:t>
      </w:r>
      <w:r w:rsidRPr="00CA0B18">
        <w:rPr>
          <w:rFonts w:cstheme="minorHAnsi"/>
          <w:lang w:val="en-US"/>
        </w:rPr>
        <w:t xml:space="preserve">s calls for urgent action to ensure the conservation of our planet while not undermining </w:t>
      </w:r>
      <w:r w:rsidR="004C1935" w:rsidRPr="00CA0B18">
        <w:rPr>
          <w:rFonts w:cstheme="minorHAnsi"/>
          <w:lang w:val="en-US"/>
        </w:rPr>
        <w:t xml:space="preserve">prospects for </w:t>
      </w:r>
      <w:r w:rsidR="00175C6F" w:rsidRPr="00CA0B18">
        <w:rPr>
          <w:rFonts w:cstheme="minorHAnsi"/>
          <w:lang w:val="en-US"/>
        </w:rPr>
        <w:t xml:space="preserve">long term prosperity and </w:t>
      </w:r>
      <w:r w:rsidRPr="00CA0B18">
        <w:rPr>
          <w:rFonts w:cstheme="minorHAnsi"/>
          <w:lang w:val="en-US"/>
        </w:rPr>
        <w:t>development. Innovative partnerships with all stakeholders, including governments</w:t>
      </w:r>
      <w:r w:rsidR="00DF5092" w:rsidRPr="00CA0B18">
        <w:rPr>
          <w:rFonts w:cstheme="minorHAnsi"/>
          <w:lang w:val="en-US"/>
        </w:rPr>
        <w:t xml:space="preserve">, </w:t>
      </w:r>
      <w:r w:rsidR="004C1935" w:rsidRPr="00CA0B18">
        <w:rPr>
          <w:rFonts w:cstheme="minorHAnsi"/>
          <w:lang w:val="en-US"/>
        </w:rPr>
        <w:t xml:space="preserve">the </w:t>
      </w:r>
      <w:r w:rsidRPr="00CA0B18">
        <w:rPr>
          <w:rFonts w:cstheme="minorHAnsi"/>
          <w:lang w:val="en-US"/>
        </w:rPr>
        <w:t>private sector</w:t>
      </w:r>
      <w:r w:rsidR="00175C6F" w:rsidRPr="00CA0B18">
        <w:rPr>
          <w:rFonts w:cstheme="minorHAnsi"/>
          <w:lang w:val="en-US"/>
        </w:rPr>
        <w:t xml:space="preserve">, local communities </w:t>
      </w:r>
      <w:r w:rsidR="00DF5092" w:rsidRPr="00CA0B18">
        <w:rPr>
          <w:rFonts w:cstheme="minorHAnsi"/>
          <w:lang w:val="en-US"/>
        </w:rPr>
        <w:t>and civil society</w:t>
      </w:r>
      <w:r w:rsidR="004C1935" w:rsidRPr="00CA0B18">
        <w:rPr>
          <w:rFonts w:cstheme="minorHAnsi"/>
          <w:lang w:val="en-US"/>
        </w:rPr>
        <w:t>,</w:t>
      </w:r>
      <w:r w:rsidRPr="00CA0B18">
        <w:rPr>
          <w:rFonts w:cstheme="minorHAnsi"/>
          <w:lang w:val="en-US"/>
        </w:rPr>
        <w:t xml:space="preserve"> can significantly scale-up biodiversity protection</w:t>
      </w:r>
      <w:r w:rsidR="00040856" w:rsidRPr="00CA0B18">
        <w:rPr>
          <w:rFonts w:cstheme="minorHAnsi"/>
          <w:lang w:val="en-US"/>
        </w:rPr>
        <w:t>,</w:t>
      </w:r>
      <w:r w:rsidRPr="00CA0B18">
        <w:rPr>
          <w:rFonts w:cstheme="minorHAnsi"/>
          <w:lang w:val="en-US"/>
        </w:rPr>
        <w:t xml:space="preserve"> ecosystem conservation</w:t>
      </w:r>
      <w:r w:rsidR="00175C6F" w:rsidRPr="00CA0B18">
        <w:rPr>
          <w:rFonts w:cstheme="minorHAnsi"/>
          <w:lang w:val="en-US"/>
        </w:rPr>
        <w:t xml:space="preserve">, restoration and sustainable use </w:t>
      </w:r>
      <w:r w:rsidRPr="00CA0B18">
        <w:rPr>
          <w:rFonts w:cstheme="minorHAnsi"/>
          <w:lang w:val="en-US"/>
        </w:rPr>
        <w:t>across the globe</w:t>
      </w:r>
      <w:r w:rsidR="00DF5092" w:rsidRPr="00CA0B18">
        <w:rPr>
          <w:rFonts w:cstheme="minorHAnsi"/>
          <w:lang w:val="en-US"/>
        </w:rPr>
        <w:t xml:space="preserve"> by building on existing experiences and mobilizing resources</w:t>
      </w:r>
      <w:r w:rsidRPr="00CA0B18">
        <w:rPr>
          <w:rFonts w:cstheme="minorHAnsi"/>
          <w:lang w:val="en-US"/>
        </w:rPr>
        <w:t xml:space="preserve">. </w:t>
      </w:r>
    </w:p>
    <w:p w14:paraId="73386047" w14:textId="77777777" w:rsidR="00D93FDD" w:rsidRPr="00CA0B18" w:rsidRDefault="00D93FDD" w:rsidP="006279FE">
      <w:pPr>
        <w:spacing w:after="0" w:line="240" w:lineRule="auto"/>
        <w:jc w:val="both"/>
        <w:rPr>
          <w:rFonts w:cstheme="minorHAnsi"/>
          <w:lang w:val="en-CA"/>
        </w:rPr>
      </w:pPr>
    </w:p>
    <w:p w14:paraId="1054442F" w14:textId="6BA569E5" w:rsidR="009F7F3E" w:rsidRPr="00CA0B18" w:rsidRDefault="00664C16" w:rsidP="006279FE">
      <w:pPr>
        <w:spacing w:after="0" w:line="240" w:lineRule="auto"/>
        <w:jc w:val="both"/>
        <w:rPr>
          <w:rFonts w:eastAsia="Times New Roman" w:cstheme="minorHAnsi"/>
          <w:lang w:val="en-US"/>
        </w:rPr>
      </w:pPr>
      <w:r w:rsidRPr="00CA0B18">
        <w:rPr>
          <w:rFonts w:cstheme="minorHAnsi"/>
          <w:lang w:val="en-CA"/>
        </w:rPr>
        <w:t xml:space="preserve">In this context, </w:t>
      </w:r>
      <w:r w:rsidR="007213C9" w:rsidRPr="00CA0B18">
        <w:rPr>
          <w:rFonts w:cstheme="minorHAnsi"/>
          <w:lang w:val="en-CA"/>
        </w:rPr>
        <w:t xml:space="preserve">UNCTAD and </w:t>
      </w:r>
      <w:r w:rsidR="00356789" w:rsidRPr="00CA0B18">
        <w:rPr>
          <w:rFonts w:cstheme="minorHAnsi"/>
          <w:lang w:val="en-CA"/>
        </w:rPr>
        <w:t xml:space="preserve">other BioTrade </w:t>
      </w:r>
      <w:r w:rsidR="004C1935" w:rsidRPr="00CA0B18">
        <w:rPr>
          <w:rFonts w:cstheme="minorHAnsi"/>
          <w:lang w:val="en-CA"/>
        </w:rPr>
        <w:t xml:space="preserve">partners </w:t>
      </w:r>
      <w:r w:rsidR="007213C9" w:rsidRPr="00CA0B18">
        <w:rPr>
          <w:rFonts w:cstheme="minorHAnsi"/>
          <w:lang w:val="en-CA"/>
        </w:rPr>
        <w:t xml:space="preserve">welcome the opportunity to provide views on the discussion document </w:t>
      </w:r>
      <w:r w:rsidR="004C1935" w:rsidRPr="00CA0B18">
        <w:rPr>
          <w:rFonts w:cstheme="minorHAnsi"/>
          <w:lang w:val="en-CA"/>
        </w:rPr>
        <w:t xml:space="preserve">on </w:t>
      </w:r>
      <w:r w:rsidR="007213C9" w:rsidRPr="00CA0B18">
        <w:rPr>
          <w:rFonts w:cstheme="minorHAnsi"/>
          <w:lang w:val="en-CA"/>
        </w:rPr>
        <w:t xml:space="preserve">the scope and content of the </w:t>
      </w:r>
      <w:r w:rsidR="007213C9" w:rsidRPr="00CA0B18">
        <w:rPr>
          <w:rFonts w:cstheme="minorHAnsi"/>
          <w:lang w:val="en-US"/>
        </w:rPr>
        <w:t xml:space="preserve">Post-2020 Global Biodiversity Framework (CBD/POST2020/PREP/1/1). </w:t>
      </w:r>
      <w:r w:rsidR="009F7F3E" w:rsidRPr="00CA0B18">
        <w:rPr>
          <w:rFonts w:cstheme="minorHAnsi"/>
          <w:lang w:val="en-US"/>
        </w:rPr>
        <w:t>We support the proposal for a comprehensive, knowledge based, participatory,</w:t>
      </w:r>
      <w:r w:rsidRPr="00CA0B18">
        <w:rPr>
          <w:rFonts w:cstheme="minorHAnsi"/>
          <w:lang w:val="en-US"/>
        </w:rPr>
        <w:t xml:space="preserve"> and</w:t>
      </w:r>
      <w:r w:rsidR="009F7F3E" w:rsidRPr="00CA0B18">
        <w:rPr>
          <w:rFonts w:cstheme="minorHAnsi"/>
          <w:lang w:val="en-US"/>
        </w:rPr>
        <w:t xml:space="preserve"> transparent consultation process</w:t>
      </w:r>
      <w:r w:rsidR="00C211A0" w:rsidRPr="00CA0B18">
        <w:rPr>
          <w:rFonts w:cstheme="minorHAnsi"/>
          <w:lang w:val="en-US"/>
        </w:rPr>
        <w:t xml:space="preserve">. </w:t>
      </w:r>
      <w:r w:rsidR="00DB2F9F" w:rsidRPr="00CA0B18">
        <w:rPr>
          <w:rFonts w:cstheme="minorHAnsi"/>
          <w:lang w:val="en-US"/>
        </w:rPr>
        <w:t xml:space="preserve">The </w:t>
      </w:r>
      <w:r w:rsidR="004C1935" w:rsidRPr="00CA0B18">
        <w:rPr>
          <w:rFonts w:cstheme="minorHAnsi"/>
          <w:lang w:val="en-CA"/>
        </w:rPr>
        <w:t>P</w:t>
      </w:r>
      <w:r w:rsidR="00DB2F9F" w:rsidRPr="00CA0B18">
        <w:rPr>
          <w:rFonts w:cstheme="minorHAnsi"/>
          <w:lang w:val="en-US"/>
        </w:rPr>
        <w:t xml:space="preserve">ost-2020 </w:t>
      </w:r>
      <w:r w:rsidR="004C1935" w:rsidRPr="00CA0B18">
        <w:rPr>
          <w:rFonts w:cstheme="minorHAnsi"/>
          <w:lang w:val="en-CA"/>
        </w:rPr>
        <w:t xml:space="preserve">framework will </w:t>
      </w:r>
      <w:r w:rsidRPr="00CA0B18">
        <w:rPr>
          <w:rFonts w:cstheme="minorHAnsi"/>
          <w:lang w:val="en-US"/>
        </w:rPr>
        <w:t>aim at generating</w:t>
      </w:r>
      <w:r w:rsidR="00DB2F9F" w:rsidRPr="00CA0B18">
        <w:rPr>
          <w:rFonts w:cstheme="minorHAnsi"/>
          <w:lang w:val="en-US"/>
        </w:rPr>
        <w:t xml:space="preserve"> transformational </w:t>
      </w:r>
      <w:r w:rsidRPr="00CA0B18">
        <w:rPr>
          <w:rFonts w:cstheme="minorHAnsi"/>
          <w:lang w:val="en-US"/>
        </w:rPr>
        <w:t>as opposed to</w:t>
      </w:r>
      <w:r w:rsidR="00DB2F9F" w:rsidRPr="00CA0B18">
        <w:rPr>
          <w:rFonts w:cstheme="minorHAnsi"/>
          <w:lang w:val="en-US"/>
        </w:rPr>
        <w:t xml:space="preserve"> incremental change</w:t>
      </w:r>
      <w:r w:rsidR="00040856" w:rsidRPr="00CA0B18">
        <w:rPr>
          <w:rFonts w:cstheme="minorHAnsi"/>
          <w:lang w:val="en-CA"/>
        </w:rPr>
        <w:t>. T</w:t>
      </w:r>
      <w:r w:rsidR="0057159C" w:rsidRPr="00CA0B18">
        <w:rPr>
          <w:rFonts w:cstheme="minorHAnsi"/>
          <w:lang w:val="en-US"/>
        </w:rPr>
        <w:t xml:space="preserve">his </w:t>
      </w:r>
      <w:r w:rsidR="00DB2F9F" w:rsidRPr="00CA0B18">
        <w:rPr>
          <w:rFonts w:cstheme="minorHAnsi"/>
          <w:lang w:val="en-US"/>
        </w:rPr>
        <w:t xml:space="preserve">will necessarily </w:t>
      </w:r>
      <w:r w:rsidR="0057159C" w:rsidRPr="00CA0B18">
        <w:rPr>
          <w:rFonts w:cstheme="minorHAnsi"/>
          <w:lang w:val="en-US"/>
        </w:rPr>
        <w:t>require</w:t>
      </w:r>
      <w:r w:rsidR="00DB2F9F" w:rsidRPr="00CA0B18">
        <w:rPr>
          <w:rFonts w:cstheme="minorHAnsi"/>
          <w:lang w:val="en-US"/>
        </w:rPr>
        <w:t xml:space="preserve"> </w:t>
      </w:r>
      <w:r w:rsidR="0057159C" w:rsidRPr="00CA0B18">
        <w:rPr>
          <w:rFonts w:cstheme="minorHAnsi"/>
          <w:lang w:val="en-US"/>
        </w:rPr>
        <w:t>the participation and engagement of public and</w:t>
      </w:r>
      <w:r w:rsidR="00DB2F9F" w:rsidRPr="00CA0B18">
        <w:rPr>
          <w:rFonts w:cstheme="minorHAnsi"/>
          <w:lang w:val="en-US"/>
        </w:rPr>
        <w:t xml:space="preserve"> private sector</w:t>
      </w:r>
      <w:r w:rsidR="0057159C" w:rsidRPr="00CA0B18">
        <w:rPr>
          <w:rFonts w:cstheme="minorHAnsi"/>
          <w:lang w:val="en-US"/>
        </w:rPr>
        <w:t>s</w:t>
      </w:r>
      <w:r w:rsidRPr="00CA0B18">
        <w:rPr>
          <w:rFonts w:cstheme="minorHAnsi"/>
          <w:lang w:val="en-US"/>
        </w:rPr>
        <w:t xml:space="preserve"> actors</w:t>
      </w:r>
      <w:r w:rsidR="004C1935" w:rsidRPr="00CA0B18">
        <w:rPr>
          <w:rFonts w:cstheme="minorHAnsi"/>
          <w:lang w:val="en-US"/>
        </w:rPr>
        <w:t>,</w:t>
      </w:r>
      <w:r w:rsidR="00DB2F9F" w:rsidRPr="00CA0B18">
        <w:rPr>
          <w:rFonts w:cstheme="minorHAnsi"/>
          <w:lang w:val="en-US"/>
        </w:rPr>
        <w:t xml:space="preserve"> a</w:t>
      </w:r>
      <w:r w:rsidRPr="00CA0B18">
        <w:rPr>
          <w:rFonts w:cstheme="minorHAnsi"/>
          <w:lang w:val="en-US"/>
        </w:rPr>
        <w:t>s well as</w:t>
      </w:r>
      <w:r w:rsidR="00175C6F" w:rsidRPr="00CA0B18">
        <w:rPr>
          <w:rFonts w:cstheme="minorHAnsi"/>
          <w:lang w:val="en-US"/>
        </w:rPr>
        <w:t xml:space="preserve">, local communities </w:t>
      </w:r>
      <w:r w:rsidR="00776117" w:rsidRPr="00CA0B18">
        <w:rPr>
          <w:rFonts w:cstheme="minorHAnsi"/>
          <w:lang w:val="en-US"/>
        </w:rPr>
        <w:t>and civil</w:t>
      </w:r>
      <w:r w:rsidR="00DB2F9F" w:rsidRPr="00CA0B18">
        <w:rPr>
          <w:rFonts w:cstheme="minorHAnsi"/>
          <w:lang w:val="en-US"/>
        </w:rPr>
        <w:t xml:space="preserve"> society </w:t>
      </w:r>
      <w:r w:rsidRPr="00CA0B18">
        <w:rPr>
          <w:rFonts w:cstheme="minorHAnsi"/>
          <w:lang w:val="en-US"/>
        </w:rPr>
        <w:t>representative</w:t>
      </w:r>
      <w:r w:rsidR="004C1935" w:rsidRPr="00CA0B18">
        <w:rPr>
          <w:rFonts w:cstheme="minorHAnsi"/>
          <w:lang w:val="en-US"/>
        </w:rPr>
        <w:t>s</w:t>
      </w:r>
      <w:r w:rsidRPr="00CA0B18">
        <w:rPr>
          <w:rFonts w:cstheme="minorHAnsi"/>
          <w:lang w:val="en-US"/>
        </w:rPr>
        <w:t xml:space="preserve"> </w:t>
      </w:r>
      <w:r w:rsidR="00DB2F9F" w:rsidRPr="00CA0B18">
        <w:rPr>
          <w:rFonts w:cstheme="minorHAnsi"/>
          <w:lang w:val="en-US"/>
        </w:rPr>
        <w:t>involved in biodiversity-based sectors.</w:t>
      </w:r>
    </w:p>
    <w:p w14:paraId="28D159F9" w14:textId="77777777" w:rsidR="00D93FDD" w:rsidRPr="00CA0B18" w:rsidRDefault="00D93FDD" w:rsidP="006279FE">
      <w:pPr>
        <w:pStyle w:val="Heading1"/>
        <w:spacing w:before="0"/>
        <w:rPr>
          <w:rFonts w:asciiTheme="minorHAnsi" w:hAnsiTheme="minorHAnsi" w:cstheme="minorHAnsi"/>
          <w:sz w:val="24"/>
          <w:szCs w:val="24"/>
        </w:rPr>
      </w:pPr>
    </w:p>
    <w:p w14:paraId="1F6A5B3F" w14:textId="7EB54B56" w:rsidR="0057159C" w:rsidRPr="00CA0B18" w:rsidRDefault="0057159C" w:rsidP="006279FE">
      <w:pPr>
        <w:pStyle w:val="Heading1"/>
        <w:numPr>
          <w:ilvl w:val="0"/>
          <w:numId w:val="8"/>
        </w:numPr>
        <w:spacing w:before="0"/>
        <w:rPr>
          <w:rFonts w:asciiTheme="minorHAnsi" w:hAnsiTheme="minorHAnsi" w:cstheme="minorHAnsi"/>
          <w:sz w:val="24"/>
          <w:szCs w:val="24"/>
        </w:rPr>
      </w:pPr>
      <w:r w:rsidRPr="00CA0B18">
        <w:rPr>
          <w:rFonts w:asciiTheme="minorHAnsi" w:hAnsiTheme="minorHAnsi" w:cstheme="minorHAnsi"/>
          <w:sz w:val="24"/>
          <w:szCs w:val="24"/>
        </w:rPr>
        <w:t xml:space="preserve">The contribution </w:t>
      </w:r>
      <w:r w:rsidR="00D93FDD" w:rsidRPr="00CA0B18">
        <w:rPr>
          <w:rFonts w:asciiTheme="minorHAnsi" w:hAnsiTheme="minorHAnsi" w:cstheme="minorHAnsi"/>
          <w:sz w:val="24"/>
          <w:szCs w:val="24"/>
        </w:rPr>
        <w:t xml:space="preserve">of </w:t>
      </w:r>
      <w:r w:rsidRPr="00CA0B18">
        <w:rPr>
          <w:rFonts w:asciiTheme="minorHAnsi" w:hAnsiTheme="minorHAnsi" w:cstheme="minorHAnsi"/>
          <w:sz w:val="24"/>
          <w:szCs w:val="24"/>
        </w:rPr>
        <w:t xml:space="preserve">sustainable use and trade, including BioTrade, to the Post-2020 Global Biodiversity Framework </w:t>
      </w:r>
    </w:p>
    <w:p w14:paraId="6D06A1CB" w14:textId="77777777" w:rsidR="00D93FDD" w:rsidRPr="00CA0B18" w:rsidRDefault="00D93FDD" w:rsidP="006279FE">
      <w:pPr>
        <w:spacing w:after="0" w:line="240" w:lineRule="auto"/>
        <w:jc w:val="both"/>
        <w:rPr>
          <w:rFonts w:cstheme="minorHAnsi"/>
          <w:lang w:val="en-US"/>
        </w:rPr>
      </w:pPr>
    </w:p>
    <w:p w14:paraId="3A3D2A2C" w14:textId="24F2C1DA" w:rsidR="007213C9" w:rsidRPr="00CA0B18" w:rsidRDefault="007213C9" w:rsidP="006279FE">
      <w:pPr>
        <w:spacing w:after="0" w:line="240" w:lineRule="auto"/>
        <w:jc w:val="both"/>
        <w:rPr>
          <w:rFonts w:cstheme="minorHAnsi"/>
          <w:lang w:val="en-US"/>
        </w:rPr>
      </w:pPr>
      <w:r w:rsidRPr="00CA0B18">
        <w:rPr>
          <w:rFonts w:cstheme="minorHAnsi"/>
          <w:lang w:val="en-US"/>
        </w:rPr>
        <w:t>It has been noted that trade as a form of indirect pressure on biodiversity was insufficiently reflected in the Strategic Plan</w:t>
      </w:r>
      <w:r w:rsidR="00C92764" w:rsidRPr="00CA0B18">
        <w:rPr>
          <w:rFonts w:cstheme="minorHAnsi"/>
          <w:lang w:val="en-US"/>
        </w:rPr>
        <w:t xml:space="preserve"> for Biodiversity</w:t>
      </w:r>
      <w:r w:rsidRPr="00CA0B18">
        <w:rPr>
          <w:rFonts w:cstheme="minorHAnsi"/>
          <w:lang w:val="en-US"/>
        </w:rPr>
        <w:t xml:space="preserve"> 2011-2020</w:t>
      </w:r>
      <w:r w:rsidRPr="00CA0B18">
        <w:rPr>
          <w:rStyle w:val="FootnoteReference"/>
          <w:rFonts w:cstheme="minorHAnsi"/>
        </w:rPr>
        <w:footnoteReference w:id="1"/>
      </w:r>
      <w:r w:rsidR="00776117" w:rsidRPr="00CA0B18">
        <w:rPr>
          <w:rFonts w:cstheme="minorHAnsi"/>
          <w:lang w:val="en-US"/>
        </w:rPr>
        <w:t xml:space="preserve">. </w:t>
      </w:r>
      <w:r w:rsidR="000478FF" w:rsidRPr="00CA0B18">
        <w:rPr>
          <w:rFonts w:cstheme="minorHAnsi"/>
          <w:kern w:val="22"/>
          <w:lang w:val="en-US"/>
        </w:rPr>
        <w:t xml:space="preserve">Under the </w:t>
      </w:r>
      <w:r w:rsidRPr="00CA0B18">
        <w:rPr>
          <w:rFonts w:cstheme="minorHAnsi"/>
          <w:kern w:val="22"/>
          <w:lang w:val="en-US"/>
        </w:rPr>
        <w:t>submissions that proposed specific wording for targets were</w:t>
      </w:r>
      <w:r w:rsidR="000478FF" w:rsidRPr="00CA0B18">
        <w:rPr>
          <w:rFonts w:cstheme="minorHAnsi"/>
          <w:kern w:val="22"/>
          <w:lang w:val="en-US"/>
        </w:rPr>
        <w:t xml:space="preserve"> </w:t>
      </w:r>
      <w:r w:rsidR="006F6A45" w:rsidRPr="00CA0B18">
        <w:rPr>
          <w:rFonts w:cstheme="minorHAnsi"/>
          <w:kern w:val="22"/>
          <w:lang w:val="en-US"/>
        </w:rPr>
        <w:t>a</w:t>
      </w:r>
      <w:r w:rsidRPr="00CA0B18">
        <w:rPr>
          <w:rFonts w:cstheme="minorHAnsi"/>
          <w:kern w:val="22"/>
          <w:lang w:val="en-US"/>
        </w:rPr>
        <w:t xml:space="preserve"> </w:t>
      </w:r>
      <w:r w:rsidR="000478FF" w:rsidRPr="00CA0B18">
        <w:rPr>
          <w:rFonts w:cstheme="minorHAnsi"/>
          <w:kern w:val="22"/>
          <w:lang w:val="en-US"/>
        </w:rPr>
        <w:t>“</w:t>
      </w:r>
      <w:r w:rsidRPr="00CA0B18">
        <w:rPr>
          <w:rFonts w:cstheme="minorHAnsi"/>
          <w:kern w:val="22"/>
          <w:lang w:val="en-US"/>
        </w:rPr>
        <w:t>target related to the impacts of trade</w:t>
      </w:r>
      <w:r w:rsidR="000478FF" w:rsidRPr="00CA0B18">
        <w:rPr>
          <w:rFonts w:cstheme="minorHAnsi"/>
          <w:kern w:val="22"/>
          <w:lang w:val="en-US"/>
        </w:rPr>
        <w:t>”</w:t>
      </w:r>
      <w:r w:rsidRPr="00CA0B18">
        <w:rPr>
          <w:rFonts w:cstheme="minorHAnsi"/>
          <w:kern w:val="22"/>
          <w:lang w:val="en-US"/>
        </w:rPr>
        <w:t>.</w:t>
      </w:r>
      <w:r w:rsidRPr="00CA0B18">
        <w:rPr>
          <w:rStyle w:val="FootnoteReference"/>
          <w:rFonts w:cstheme="minorHAnsi"/>
          <w:kern w:val="22"/>
        </w:rPr>
        <w:footnoteReference w:id="2"/>
      </w:r>
      <w:r w:rsidRPr="00CA0B18">
        <w:rPr>
          <w:rFonts w:cstheme="minorHAnsi"/>
          <w:kern w:val="22"/>
          <w:lang w:val="en-US"/>
        </w:rPr>
        <w:t xml:space="preserve"> In terms of implementation tools, some submissions</w:t>
      </w:r>
      <w:r w:rsidR="00664C16" w:rsidRPr="00CA0B18">
        <w:rPr>
          <w:rFonts w:cstheme="minorHAnsi"/>
          <w:kern w:val="22"/>
          <w:lang w:val="en-US"/>
        </w:rPr>
        <w:t xml:space="preserve"> also</w:t>
      </w:r>
      <w:r w:rsidRPr="00CA0B18">
        <w:rPr>
          <w:rFonts w:cstheme="minorHAnsi"/>
          <w:kern w:val="22"/>
          <w:lang w:val="en-US"/>
        </w:rPr>
        <w:t xml:space="preserve"> emphasized “the need for full and effective financing from all sources”.</w:t>
      </w:r>
      <w:r w:rsidRPr="00CA0B18">
        <w:rPr>
          <w:rStyle w:val="FootnoteReference"/>
          <w:rFonts w:cstheme="minorHAnsi"/>
          <w:kern w:val="22"/>
        </w:rPr>
        <w:footnoteReference w:id="3"/>
      </w:r>
      <w:r w:rsidR="00496330" w:rsidRPr="00CA0B18">
        <w:rPr>
          <w:rFonts w:cstheme="minorHAnsi"/>
          <w:kern w:val="22"/>
          <w:lang w:val="en-US"/>
        </w:rPr>
        <w:t xml:space="preserve"> </w:t>
      </w:r>
      <w:r w:rsidR="00040856" w:rsidRPr="00CA0B18">
        <w:rPr>
          <w:rFonts w:cstheme="minorHAnsi"/>
          <w:kern w:val="22"/>
          <w:lang w:val="en-US"/>
        </w:rPr>
        <w:t>By contrast, t</w:t>
      </w:r>
      <w:r w:rsidR="00664C16" w:rsidRPr="00CA0B18">
        <w:rPr>
          <w:rFonts w:cstheme="minorHAnsi"/>
          <w:kern w:val="22"/>
          <w:lang w:val="en-US"/>
        </w:rPr>
        <w:t>he role of trade is well recognized u</w:t>
      </w:r>
      <w:r w:rsidR="00C12B9F" w:rsidRPr="00CA0B18">
        <w:rPr>
          <w:rFonts w:cstheme="minorHAnsi"/>
          <w:kern w:val="22"/>
          <w:lang w:val="en-US"/>
        </w:rPr>
        <w:t>nder the 2030 Agenda and the Sustainable Development Goals (SDGs)</w:t>
      </w:r>
      <w:r w:rsidR="0041288D" w:rsidRPr="00CA0B18">
        <w:rPr>
          <w:rFonts w:cstheme="minorHAnsi"/>
          <w:kern w:val="22"/>
          <w:lang w:val="en-US"/>
        </w:rPr>
        <w:t xml:space="preserve"> </w:t>
      </w:r>
      <w:r w:rsidR="00C12B9F" w:rsidRPr="00CA0B18">
        <w:rPr>
          <w:rFonts w:cstheme="minorHAnsi"/>
          <w:kern w:val="22"/>
          <w:lang w:val="en-US"/>
        </w:rPr>
        <w:t>as a critical means of implementation</w:t>
      </w:r>
      <w:r w:rsidR="004C1935" w:rsidRPr="00CA0B18">
        <w:rPr>
          <w:rFonts w:cstheme="minorHAnsi"/>
          <w:kern w:val="22"/>
          <w:lang w:val="en-US"/>
        </w:rPr>
        <w:t>,</w:t>
      </w:r>
      <w:r w:rsidR="00C12B9F" w:rsidRPr="00CA0B18">
        <w:rPr>
          <w:rFonts w:cstheme="minorHAnsi"/>
          <w:kern w:val="22"/>
          <w:lang w:val="en-US"/>
        </w:rPr>
        <w:t xml:space="preserve"> supporting the achievement of several </w:t>
      </w:r>
      <w:r w:rsidR="00C0789D" w:rsidRPr="00CA0B18">
        <w:rPr>
          <w:rFonts w:cstheme="minorHAnsi"/>
          <w:kern w:val="22"/>
          <w:lang w:val="en-US"/>
        </w:rPr>
        <w:t>goal</w:t>
      </w:r>
      <w:r w:rsidR="004C1935" w:rsidRPr="00CA0B18">
        <w:rPr>
          <w:rFonts w:cstheme="minorHAnsi"/>
          <w:kern w:val="22"/>
          <w:lang w:val="en-US"/>
        </w:rPr>
        <w:t xml:space="preserve">s, such as </w:t>
      </w:r>
      <w:r w:rsidR="0041288D" w:rsidRPr="00CA0B18">
        <w:rPr>
          <w:rFonts w:cstheme="minorHAnsi"/>
          <w:kern w:val="22"/>
          <w:lang w:val="en-US"/>
        </w:rPr>
        <w:t xml:space="preserve">doubling </w:t>
      </w:r>
      <w:r w:rsidR="008F6C88" w:rsidRPr="00CA0B18">
        <w:rPr>
          <w:rFonts w:cstheme="minorHAnsi"/>
          <w:kern w:val="22"/>
          <w:lang w:val="en-US"/>
        </w:rPr>
        <w:t xml:space="preserve">the </w:t>
      </w:r>
      <w:r w:rsidR="0041288D" w:rsidRPr="00CA0B18">
        <w:rPr>
          <w:rFonts w:cstheme="minorHAnsi"/>
          <w:kern w:val="22"/>
          <w:lang w:val="en-US"/>
        </w:rPr>
        <w:t xml:space="preserve">exports </w:t>
      </w:r>
      <w:r w:rsidR="008F6C88" w:rsidRPr="00CA0B18">
        <w:rPr>
          <w:rFonts w:cstheme="minorHAnsi"/>
          <w:kern w:val="22"/>
          <w:lang w:val="en-US"/>
        </w:rPr>
        <w:t xml:space="preserve">of least developed countries </w:t>
      </w:r>
      <w:r w:rsidR="0041288D" w:rsidRPr="00CA0B18">
        <w:rPr>
          <w:rFonts w:cstheme="minorHAnsi"/>
          <w:kern w:val="22"/>
          <w:lang w:val="en-US"/>
        </w:rPr>
        <w:t>(17.11), or removing harmful fisheries subsidies (14.6)</w:t>
      </w:r>
      <w:r w:rsidR="00C0789D" w:rsidRPr="00CA0B18">
        <w:rPr>
          <w:rFonts w:cstheme="minorHAnsi"/>
          <w:kern w:val="22"/>
          <w:lang w:val="en-US"/>
        </w:rPr>
        <w:t>.</w:t>
      </w:r>
      <w:r w:rsidR="00C12B9F" w:rsidRPr="00CA0B18">
        <w:rPr>
          <w:rFonts w:cstheme="minorHAnsi"/>
          <w:kern w:val="22"/>
          <w:lang w:val="en-US"/>
        </w:rPr>
        <w:t xml:space="preserve"> </w:t>
      </w:r>
      <w:r w:rsidR="004C0064" w:rsidRPr="00CA0B18">
        <w:rPr>
          <w:rFonts w:cstheme="minorHAnsi"/>
          <w:kern w:val="22"/>
          <w:lang w:val="en-US"/>
        </w:rPr>
        <w:t xml:space="preserve">As we move forward, it may </w:t>
      </w:r>
      <w:r w:rsidR="002C4922" w:rsidRPr="00CA0B18">
        <w:rPr>
          <w:rFonts w:cstheme="minorHAnsi"/>
          <w:kern w:val="22"/>
          <w:lang w:val="en-US"/>
        </w:rPr>
        <w:t xml:space="preserve">therefore </w:t>
      </w:r>
      <w:r w:rsidR="004C0064" w:rsidRPr="00CA0B18">
        <w:rPr>
          <w:rFonts w:cstheme="minorHAnsi"/>
          <w:kern w:val="22"/>
          <w:lang w:val="en-US"/>
        </w:rPr>
        <w:t xml:space="preserve">be relevant to </w:t>
      </w:r>
      <w:r w:rsidR="002C4922" w:rsidRPr="00CA0B18">
        <w:rPr>
          <w:rFonts w:cstheme="minorHAnsi"/>
          <w:kern w:val="22"/>
          <w:lang w:val="en-US"/>
        </w:rPr>
        <w:t xml:space="preserve">address </w:t>
      </w:r>
      <w:r w:rsidR="004C0064" w:rsidRPr="00CA0B18">
        <w:rPr>
          <w:rFonts w:cstheme="minorHAnsi"/>
          <w:kern w:val="22"/>
          <w:lang w:val="en-US"/>
        </w:rPr>
        <w:t>the role of trade</w:t>
      </w:r>
      <w:r w:rsidR="008F6C88" w:rsidRPr="00CA0B18">
        <w:rPr>
          <w:rFonts w:cstheme="minorHAnsi"/>
          <w:kern w:val="22"/>
          <w:lang w:val="en-US"/>
        </w:rPr>
        <w:t>,</w:t>
      </w:r>
      <w:r w:rsidR="004C0064" w:rsidRPr="00CA0B18">
        <w:rPr>
          <w:rFonts w:cstheme="minorHAnsi"/>
          <w:kern w:val="22"/>
          <w:lang w:val="en-US"/>
        </w:rPr>
        <w:t xml:space="preserve"> </w:t>
      </w:r>
      <w:r w:rsidR="002C4922" w:rsidRPr="00CA0B18">
        <w:rPr>
          <w:rFonts w:cstheme="minorHAnsi"/>
          <w:kern w:val="22"/>
          <w:lang w:val="en-US"/>
        </w:rPr>
        <w:t xml:space="preserve">including its </w:t>
      </w:r>
      <w:r w:rsidR="008F6C88" w:rsidRPr="00CA0B18">
        <w:rPr>
          <w:rFonts w:cstheme="minorHAnsi"/>
          <w:kern w:val="22"/>
          <w:lang w:val="en-US"/>
        </w:rPr>
        <w:t xml:space="preserve">potential </w:t>
      </w:r>
      <w:r w:rsidR="002C4922" w:rsidRPr="00CA0B18">
        <w:rPr>
          <w:rFonts w:cstheme="minorHAnsi"/>
          <w:kern w:val="22"/>
          <w:lang w:val="en-US"/>
        </w:rPr>
        <w:t>positive contribution</w:t>
      </w:r>
      <w:r w:rsidR="008F6C88" w:rsidRPr="00CA0B18">
        <w:rPr>
          <w:rFonts w:cstheme="minorHAnsi"/>
          <w:kern w:val="22"/>
          <w:lang w:val="en-US"/>
        </w:rPr>
        <w:t>s,</w:t>
      </w:r>
      <w:r w:rsidR="002C4922" w:rsidRPr="00CA0B18">
        <w:rPr>
          <w:rFonts w:cstheme="minorHAnsi"/>
          <w:kern w:val="22"/>
          <w:lang w:val="en-US"/>
        </w:rPr>
        <w:t xml:space="preserve"> </w:t>
      </w:r>
      <w:r w:rsidR="004C0064" w:rsidRPr="00CA0B18">
        <w:rPr>
          <w:rFonts w:cstheme="minorHAnsi"/>
          <w:kern w:val="22"/>
          <w:lang w:val="en-US"/>
        </w:rPr>
        <w:t>in the Post-2020 Global Biodiversity Framework.</w:t>
      </w:r>
    </w:p>
    <w:p w14:paraId="06DF9E14" w14:textId="77777777" w:rsidR="00D93FDD" w:rsidRPr="00CA0B18" w:rsidRDefault="00D93FDD" w:rsidP="006279FE">
      <w:pPr>
        <w:spacing w:after="0" w:line="240" w:lineRule="auto"/>
        <w:jc w:val="both"/>
        <w:rPr>
          <w:rFonts w:cstheme="minorHAnsi"/>
          <w:lang w:val="en-US"/>
        </w:rPr>
      </w:pPr>
    </w:p>
    <w:p w14:paraId="2B90C1F1" w14:textId="429028DD" w:rsidR="009D0ABF" w:rsidRPr="00CA0B18" w:rsidRDefault="008F6C88" w:rsidP="006279FE">
      <w:pPr>
        <w:spacing w:after="0" w:line="240" w:lineRule="auto"/>
        <w:jc w:val="both"/>
        <w:rPr>
          <w:rFonts w:cstheme="minorHAnsi"/>
          <w:lang w:val="en-US"/>
        </w:rPr>
      </w:pPr>
      <w:r w:rsidRPr="00CA0B18">
        <w:rPr>
          <w:rFonts w:cstheme="minorHAnsi"/>
          <w:lang w:val="en-US"/>
        </w:rPr>
        <w:t xml:space="preserve">The BioTrade Initiative promoted by UNCTAD and its partners is one </w:t>
      </w:r>
      <w:r w:rsidR="009D0ABF" w:rsidRPr="00CA0B18">
        <w:rPr>
          <w:rFonts w:cstheme="minorHAnsi"/>
          <w:lang w:val="en-US"/>
        </w:rPr>
        <w:t xml:space="preserve">example of </w:t>
      </w:r>
      <w:r w:rsidRPr="00CA0B18">
        <w:rPr>
          <w:rFonts w:cstheme="minorHAnsi"/>
          <w:lang w:val="en-US"/>
        </w:rPr>
        <w:t xml:space="preserve">how </w:t>
      </w:r>
      <w:r w:rsidR="009D0ABF" w:rsidRPr="00CA0B18">
        <w:rPr>
          <w:rFonts w:cstheme="minorHAnsi"/>
          <w:lang w:val="en-US"/>
        </w:rPr>
        <w:t xml:space="preserve">trade </w:t>
      </w:r>
      <w:r w:rsidRPr="00CA0B18">
        <w:rPr>
          <w:rFonts w:cstheme="minorHAnsi"/>
          <w:lang w:val="en-US"/>
        </w:rPr>
        <w:t xml:space="preserve">can be used to make </w:t>
      </w:r>
      <w:r w:rsidR="006F6A45" w:rsidRPr="00CA0B18">
        <w:rPr>
          <w:rFonts w:cstheme="minorHAnsi"/>
          <w:lang w:val="en-US"/>
        </w:rPr>
        <w:t xml:space="preserve">a </w:t>
      </w:r>
      <w:r w:rsidRPr="00CA0B18">
        <w:rPr>
          <w:rFonts w:cstheme="minorHAnsi"/>
          <w:lang w:val="en-US"/>
        </w:rPr>
        <w:t xml:space="preserve">positive contribution to the </w:t>
      </w:r>
      <w:r w:rsidR="009D0ABF" w:rsidRPr="00CA0B18">
        <w:rPr>
          <w:rFonts w:cstheme="minorHAnsi"/>
          <w:lang w:val="en-US"/>
        </w:rPr>
        <w:t>conservation</w:t>
      </w:r>
      <w:r w:rsidR="00A55F1D" w:rsidRPr="00CA0B18">
        <w:rPr>
          <w:rFonts w:cstheme="minorHAnsi"/>
          <w:lang w:val="en-US"/>
        </w:rPr>
        <w:t>, rest</w:t>
      </w:r>
      <w:r w:rsidR="00095511">
        <w:rPr>
          <w:rFonts w:cstheme="minorHAnsi"/>
          <w:lang w:val="en-US"/>
        </w:rPr>
        <w:t>o</w:t>
      </w:r>
      <w:r w:rsidR="00A55F1D" w:rsidRPr="00CA0B18">
        <w:rPr>
          <w:rFonts w:cstheme="minorHAnsi"/>
          <w:lang w:val="en-US"/>
        </w:rPr>
        <w:t xml:space="preserve">ration </w:t>
      </w:r>
      <w:r w:rsidR="009D0ABF" w:rsidRPr="00CA0B18">
        <w:rPr>
          <w:rFonts w:cstheme="minorHAnsi"/>
          <w:lang w:val="en-US"/>
        </w:rPr>
        <w:t xml:space="preserve">and sustainable use of biodiversity. BioTrade refers to the collection, production, transformation and commercialization of goods and services derived from biodiversity under environmental, social and economic sustainability </w:t>
      </w:r>
      <w:r w:rsidR="004C0064" w:rsidRPr="00CA0B18">
        <w:rPr>
          <w:rFonts w:cstheme="minorHAnsi"/>
          <w:lang w:val="en-US"/>
        </w:rPr>
        <w:lastRenderedPageBreak/>
        <w:t xml:space="preserve">principles and </w:t>
      </w:r>
      <w:r w:rsidR="009D0ABF" w:rsidRPr="00CA0B18">
        <w:rPr>
          <w:rFonts w:cstheme="minorHAnsi"/>
          <w:lang w:val="en-US"/>
        </w:rPr>
        <w:t xml:space="preserve">criteria – known as </w:t>
      </w:r>
      <w:r w:rsidRPr="00CA0B18">
        <w:rPr>
          <w:rFonts w:cstheme="minorHAnsi"/>
          <w:lang w:val="en-US"/>
        </w:rPr>
        <w:t xml:space="preserve"> the</w:t>
      </w:r>
      <w:r w:rsidRPr="00CA0B18">
        <w:rPr>
          <w:rFonts w:cstheme="minorHAnsi"/>
          <w:lang w:val="en-CA"/>
        </w:rPr>
        <w:t xml:space="preserve"> </w:t>
      </w:r>
      <w:r w:rsidR="009D0ABF" w:rsidRPr="00CA0B18">
        <w:rPr>
          <w:rFonts w:cstheme="minorHAnsi"/>
          <w:lang w:val="en-US"/>
        </w:rPr>
        <w:t>BioTrade Principles</w:t>
      </w:r>
      <w:r w:rsidRPr="00CA0B18">
        <w:rPr>
          <w:rFonts w:cstheme="minorHAnsi"/>
          <w:lang w:val="en-CA"/>
        </w:rPr>
        <w:t xml:space="preserve"> and Criteria.</w:t>
      </w:r>
      <w:r w:rsidR="00150043" w:rsidRPr="00CA0B18">
        <w:rPr>
          <w:rStyle w:val="FootnoteReference"/>
          <w:rFonts w:cstheme="minorHAnsi"/>
        </w:rPr>
        <w:footnoteReference w:id="4"/>
      </w:r>
      <w:r w:rsidR="009D0ABF" w:rsidRPr="00CA0B18">
        <w:rPr>
          <w:rFonts w:cstheme="minorHAnsi"/>
          <w:lang w:val="en-US"/>
        </w:rPr>
        <w:t xml:space="preserve"> The</w:t>
      </w:r>
      <w:r w:rsidR="006F6A45" w:rsidRPr="00CA0B18">
        <w:rPr>
          <w:rFonts w:cstheme="minorHAnsi"/>
          <w:lang w:val="en-US"/>
        </w:rPr>
        <w:t>se</w:t>
      </w:r>
      <w:r w:rsidR="009D0ABF" w:rsidRPr="00CA0B18">
        <w:rPr>
          <w:rFonts w:cstheme="minorHAnsi"/>
          <w:lang w:val="en-US"/>
        </w:rPr>
        <w:t xml:space="preserve"> Principles and Criteria </w:t>
      </w:r>
      <w:r w:rsidR="004C0064" w:rsidRPr="00CA0B18">
        <w:rPr>
          <w:rFonts w:cstheme="minorHAnsi"/>
          <w:lang w:val="en-US"/>
        </w:rPr>
        <w:t xml:space="preserve">build on the </w:t>
      </w:r>
      <w:r w:rsidR="004C0064" w:rsidRPr="00CA0B18">
        <w:rPr>
          <w:rFonts w:cstheme="minorHAnsi"/>
          <w:i/>
          <w:lang w:val="en-US"/>
        </w:rPr>
        <w:t>Addis Ababa Principles and Guidelines for the Sustainable Use of Biodiversity</w:t>
      </w:r>
      <w:r w:rsidR="004C0064" w:rsidRPr="00CA0B18">
        <w:rPr>
          <w:rFonts w:cstheme="minorHAnsi"/>
          <w:lang w:val="en-US"/>
        </w:rPr>
        <w:t xml:space="preserve"> adopted by the CBD COP in 2004</w:t>
      </w:r>
      <w:r w:rsidRPr="00CA0B18">
        <w:rPr>
          <w:rFonts w:cstheme="minorHAnsi"/>
          <w:lang w:val="en-CA"/>
        </w:rPr>
        <w:t>,</w:t>
      </w:r>
      <w:r w:rsidR="004C0064" w:rsidRPr="00CA0B18">
        <w:rPr>
          <w:rStyle w:val="FootnoteReference"/>
          <w:rFonts w:cstheme="minorHAnsi"/>
        </w:rPr>
        <w:footnoteReference w:id="5"/>
      </w:r>
      <w:r w:rsidR="004C0064" w:rsidRPr="00CA0B18">
        <w:rPr>
          <w:rFonts w:cstheme="minorHAnsi"/>
          <w:lang w:val="en-US"/>
        </w:rPr>
        <w:t xml:space="preserve"> and </w:t>
      </w:r>
      <w:r w:rsidR="009D0ABF" w:rsidRPr="00CA0B18">
        <w:rPr>
          <w:rFonts w:cstheme="minorHAnsi"/>
          <w:lang w:val="en-US"/>
        </w:rPr>
        <w:t xml:space="preserve">provide an important framework for guiding </w:t>
      </w:r>
      <w:r w:rsidR="00496330" w:rsidRPr="00CA0B18">
        <w:rPr>
          <w:rFonts w:cstheme="minorHAnsi"/>
          <w:lang w:val="en-US"/>
        </w:rPr>
        <w:t>g</w:t>
      </w:r>
      <w:r w:rsidR="009D0ABF" w:rsidRPr="00CA0B18">
        <w:rPr>
          <w:rFonts w:cstheme="minorHAnsi"/>
          <w:lang w:val="en-US"/>
        </w:rPr>
        <w:t>overnment</w:t>
      </w:r>
      <w:r w:rsidRPr="00CA0B18">
        <w:rPr>
          <w:rFonts w:cstheme="minorHAnsi"/>
          <w:lang w:val="en-CA"/>
        </w:rPr>
        <w:t>s</w:t>
      </w:r>
      <w:r w:rsidR="009D0ABF" w:rsidRPr="00CA0B18">
        <w:rPr>
          <w:rFonts w:cstheme="minorHAnsi"/>
          <w:lang w:val="en-US"/>
        </w:rPr>
        <w:t xml:space="preserve">, </w:t>
      </w:r>
      <w:r w:rsidRPr="00CA0B18">
        <w:rPr>
          <w:rFonts w:cstheme="minorHAnsi"/>
          <w:lang w:val="en-CA"/>
        </w:rPr>
        <w:t xml:space="preserve">the </w:t>
      </w:r>
      <w:r w:rsidR="009D0ABF" w:rsidRPr="00CA0B18">
        <w:rPr>
          <w:rFonts w:cstheme="minorHAnsi"/>
          <w:lang w:val="en-US"/>
        </w:rPr>
        <w:t>private sector</w:t>
      </w:r>
      <w:r w:rsidRPr="00CA0B18">
        <w:rPr>
          <w:rFonts w:cstheme="minorHAnsi"/>
          <w:lang w:val="en-CA"/>
        </w:rPr>
        <w:t>,</w:t>
      </w:r>
      <w:r w:rsidR="009D0ABF" w:rsidRPr="00CA0B18">
        <w:rPr>
          <w:rFonts w:cstheme="minorHAnsi"/>
          <w:lang w:val="en-US"/>
        </w:rPr>
        <w:t xml:space="preserve"> and civil society practices </w:t>
      </w:r>
      <w:r w:rsidRPr="00CA0B18">
        <w:rPr>
          <w:rFonts w:cstheme="minorHAnsi"/>
          <w:lang w:val="en-US"/>
        </w:rPr>
        <w:t xml:space="preserve">on </w:t>
      </w:r>
      <w:r w:rsidR="009D0ABF" w:rsidRPr="00CA0B18">
        <w:rPr>
          <w:rFonts w:cstheme="minorHAnsi"/>
          <w:lang w:val="en-US"/>
        </w:rPr>
        <w:t>the conservation and sustainable use of biodiversity</w:t>
      </w:r>
      <w:r w:rsidRPr="00CA0B18">
        <w:rPr>
          <w:rFonts w:cstheme="minorHAnsi"/>
          <w:lang w:val="en-US"/>
        </w:rPr>
        <w:t>,</w:t>
      </w:r>
      <w:r w:rsidR="009D0ABF" w:rsidRPr="00CA0B18">
        <w:rPr>
          <w:rFonts w:cstheme="minorHAnsi"/>
          <w:lang w:val="en-US"/>
        </w:rPr>
        <w:t xml:space="preserve"> in line with Article</w:t>
      </w:r>
      <w:r w:rsidR="00E03A6E" w:rsidRPr="00CA0B18">
        <w:rPr>
          <w:rFonts w:cstheme="minorHAnsi"/>
          <w:lang w:val="en-US"/>
        </w:rPr>
        <w:t>s 10 and</w:t>
      </w:r>
      <w:r w:rsidR="009D0ABF" w:rsidRPr="00CA0B18">
        <w:rPr>
          <w:rFonts w:cstheme="minorHAnsi"/>
          <w:lang w:val="en-US"/>
        </w:rPr>
        <w:t xml:space="preserve"> 11 of the CBD</w:t>
      </w:r>
      <w:r w:rsidR="00F15F70" w:rsidRPr="00CA0B18">
        <w:rPr>
          <w:rFonts w:cstheme="minorHAnsi"/>
          <w:lang w:val="en-CA"/>
        </w:rPr>
        <w:t>.</w:t>
      </w:r>
      <w:r w:rsidR="009D0ABF" w:rsidRPr="00CA0B18">
        <w:rPr>
          <w:rStyle w:val="FootnoteReference"/>
          <w:rFonts w:cstheme="minorHAnsi"/>
        </w:rPr>
        <w:footnoteReference w:id="6"/>
      </w:r>
      <w:r w:rsidR="002220ED" w:rsidRPr="00CA0B18">
        <w:rPr>
          <w:rFonts w:cstheme="minorHAnsi"/>
          <w:lang w:val="en-US"/>
        </w:rPr>
        <w:t xml:space="preserve"> </w:t>
      </w:r>
    </w:p>
    <w:p w14:paraId="23C41FB9" w14:textId="77777777" w:rsidR="00D93FDD" w:rsidRPr="00CA0B18" w:rsidRDefault="00D93FDD" w:rsidP="006279FE">
      <w:pPr>
        <w:spacing w:after="0" w:line="240" w:lineRule="auto"/>
        <w:jc w:val="both"/>
        <w:rPr>
          <w:rFonts w:cstheme="minorHAnsi"/>
          <w:lang w:val="en-US"/>
        </w:rPr>
      </w:pPr>
    </w:p>
    <w:p w14:paraId="238A8441" w14:textId="47252305" w:rsidR="004A7BD0" w:rsidRPr="00CA0B18" w:rsidRDefault="005F1EB1" w:rsidP="006279FE">
      <w:pPr>
        <w:spacing w:after="0" w:line="240" w:lineRule="auto"/>
        <w:jc w:val="both"/>
        <w:rPr>
          <w:rFonts w:cstheme="minorHAnsi"/>
          <w:lang w:val="en-US"/>
        </w:rPr>
      </w:pPr>
      <w:r w:rsidRPr="00CA0B18">
        <w:rPr>
          <w:rFonts w:cstheme="minorHAnsi"/>
          <w:lang w:val="en-US"/>
        </w:rPr>
        <w:t>Today, o</w:t>
      </w:r>
      <w:r w:rsidR="004C0064" w:rsidRPr="00CA0B18">
        <w:rPr>
          <w:rFonts w:cstheme="minorHAnsi"/>
          <w:lang w:val="en-US"/>
        </w:rPr>
        <w:t xml:space="preserve">ver </w:t>
      </w:r>
      <w:r w:rsidR="00466E36" w:rsidRPr="00CA0B18">
        <w:rPr>
          <w:rFonts w:cstheme="minorHAnsi"/>
          <w:lang w:val="en-US"/>
        </w:rPr>
        <w:t>45</w:t>
      </w:r>
      <w:r w:rsidR="004C0064" w:rsidRPr="00CA0B18">
        <w:rPr>
          <w:rFonts w:cstheme="minorHAnsi"/>
          <w:lang w:val="en-US"/>
        </w:rPr>
        <w:t xml:space="preserve"> countries</w:t>
      </w:r>
      <w:r w:rsidR="00496330" w:rsidRPr="00CA0B18">
        <w:rPr>
          <w:rStyle w:val="FootnoteReference"/>
          <w:rFonts w:cstheme="minorHAnsi"/>
          <w:lang w:val="en-US"/>
        </w:rPr>
        <w:footnoteReference w:id="7"/>
      </w:r>
      <w:r w:rsidR="004C0064" w:rsidRPr="00CA0B18">
        <w:rPr>
          <w:rFonts w:cstheme="minorHAnsi"/>
          <w:lang w:val="en-US"/>
        </w:rPr>
        <w:t xml:space="preserve"> </w:t>
      </w:r>
      <w:r w:rsidR="006F6A45" w:rsidRPr="00CA0B18">
        <w:rPr>
          <w:rFonts w:cstheme="minorHAnsi"/>
          <w:lang w:val="en-US"/>
        </w:rPr>
        <w:t>have developed</w:t>
      </w:r>
      <w:r w:rsidR="004C0064" w:rsidRPr="00CA0B18">
        <w:rPr>
          <w:rFonts w:cstheme="minorHAnsi"/>
          <w:lang w:val="en-US"/>
        </w:rPr>
        <w:t xml:space="preserve"> BioTrade supply chains in the personal care, pharmaceutical, food, fashion, ornamental flora and fauna, handicrafts, textiles and natural </w:t>
      </w:r>
      <w:r w:rsidR="006F6A45" w:rsidRPr="00CA0B18">
        <w:rPr>
          <w:rFonts w:cstheme="minorHAnsi"/>
          <w:lang w:val="en-US"/>
        </w:rPr>
        <w:t>fibers</w:t>
      </w:r>
      <w:r w:rsidR="004C0064" w:rsidRPr="00CA0B18">
        <w:rPr>
          <w:rFonts w:cstheme="minorHAnsi"/>
          <w:lang w:val="en-US"/>
        </w:rPr>
        <w:t xml:space="preserve">, </w:t>
      </w:r>
      <w:r w:rsidR="008F6C88" w:rsidRPr="00CA0B18">
        <w:rPr>
          <w:rFonts w:cstheme="minorHAnsi"/>
          <w:lang w:val="en-CA"/>
        </w:rPr>
        <w:t xml:space="preserve">and </w:t>
      </w:r>
      <w:r w:rsidR="004C0064" w:rsidRPr="00CA0B18">
        <w:rPr>
          <w:rFonts w:cstheme="minorHAnsi"/>
          <w:lang w:val="en-US"/>
        </w:rPr>
        <w:t xml:space="preserve">sustainable tourism </w:t>
      </w:r>
      <w:r w:rsidR="008F6C88" w:rsidRPr="00CA0B18">
        <w:rPr>
          <w:rFonts w:cstheme="minorHAnsi"/>
          <w:lang w:val="en-CA"/>
        </w:rPr>
        <w:t xml:space="preserve">sectors </w:t>
      </w:r>
      <w:r w:rsidR="004C0064" w:rsidRPr="00CA0B18">
        <w:rPr>
          <w:rFonts w:cstheme="minorHAnsi"/>
          <w:lang w:val="en-US"/>
        </w:rPr>
        <w:t xml:space="preserve">and </w:t>
      </w:r>
      <w:r w:rsidR="008F6C88" w:rsidRPr="00CA0B18">
        <w:rPr>
          <w:rFonts w:cstheme="minorHAnsi"/>
          <w:lang w:val="en-CA"/>
        </w:rPr>
        <w:t xml:space="preserve">in </w:t>
      </w:r>
      <w:r w:rsidR="004C0064" w:rsidRPr="00CA0B18">
        <w:rPr>
          <w:rFonts w:cstheme="minorHAnsi"/>
          <w:lang w:val="en-US"/>
        </w:rPr>
        <w:t>forestry-based carbon credit activities.</w:t>
      </w:r>
      <w:r w:rsidRPr="00CA0B18">
        <w:rPr>
          <w:rFonts w:cstheme="minorHAnsi"/>
          <w:lang w:val="en-US"/>
        </w:rPr>
        <w:t xml:space="preserve"> These initiatives play a critical role in</w:t>
      </w:r>
      <w:r w:rsidR="009D0ABF" w:rsidRPr="00CA0B18">
        <w:rPr>
          <w:rFonts w:cstheme="minorHAnsi"/>
          <w:lang w:val="en-US"/>
        </w:rPr>
        <w:t xml:space="preserve"> </w:t>
      </w:r>
      <w:r w:rsidRPr="00CA0B18">
        <w:rPr>
          <w:rFonts w:cstheme="minorHAnsi"/>
          <w:lang w:val="en-US"/>
        </w:rPr>
        <w:t>mainstreaming</w:t>
      </w:r>
      <w:r w:rsidR="009D0ABF" w:rsidRPr="00CA0B18">
        <w:rPr>
          <w:rFonts w:cstheme="minorHAnsi"/>
          <w:lang w:val="en-US"/>
        </w:rPr>
        <w:t xml:space="preserve"> </w:t>
      </w:r>
      <w:r w:rsidR="007213C9" w:rsidRPr="00CA0B18">
        <w:rPr>
          <w:rFonts w:cstheme="minorHAnsi"/>
          <w:lang w:val="en-US"/>
        </w:rPr>
        <w:t xml:space="preserve">biodiversity conservation, the sustainable use of its components and the fair and equitable sharing of the benefits arising </w:t>
      </w:r>
      <w:r w:rsidRPr="00CA0B18">
        <w:rPr>
          <w:rFonts w:cstheme="minorHAnsi"/>
          <w:lang w:val="en-US"/>
        </w:rPr>
        <w:t>from</w:t>
      </w:r>
      <w:r w:rsidR="007213C9" w:rsidRPr="00CA0B18">
        <w:rPr>
          <w:rFonts w:cstheme="minorHAnsi"/>
          <w:lang w:val="en-US"/>
        </w:rPr>
        <w:t xml:space="preserve"> </w:t>
      </w:r>
      <w:r w:rsidR="008F6C88" w:rsidRPr="00CA0B18">
        <w:rPr>
          <w:rFonts w:cstheme="minorHAnsi"/>
          <w:lang w:val="en-CA"/>
        </w:rPr>
        <w:t>the utilization of biological resources</w:t>
      </w:r>
      <w:r w:rsidR="009D0ABF" w:rsidRPr="00CA0B18">
        <w:rPr>
          <w:rFonts w:cstheme="minorHAnsi"/>
          <w:lang w:val="en-US"/>
        </w:rPr>
        <w:t xml:space="preserve">. </w:t>
      </w:r>
      <w:r w:rsidRPr="00CA0B18">
        <w:rPr>
          <w:rFonts w:cstheme="minorHAnsi"/>
          <w:lang w:val="en-US"/>
        </w:rPr>
        <w:t>They</w:t>
      </w:r>
      <w:r w:rsidR="004A7BD0" w:rsidRPr="00CA0B18">
        <w:rPr>
          <w:rFonts w:cstheme="minorHAnsi"/>
          <w:lang w:val="en-US"/>
        </w:rPr>
        <w:t xml:space="preserve"> generate business opportunities, economic growth and sustainable livelihoods for </w:t>
      </w:r>
      <w:r w:rsidR="00D93FDD" w:rsidRPr="00CA0B18">
        <w:rPr>
          <w:rFonts w:cstheme="minorHAnsi"/>
          <w:lang w:val="en-US"/>
        </w:rPr>
        <w:t>more than 5 million people worldwide</w:t>
      </w:r>
      <w:r w:rsidR="004A7BD0" w:rsidRPr="00CA0B18">
        <w:rPr>
          <w:rFonts w:cstheme="minorHAnsi"/>
          <w:lang w:val="en-US"/>
        </w:rPr>
        <w:t xml:space="preserve"> while ensuring the conservation and sustainability of biodiversity</w:t>
      </w:r>
      <w:r w:rsidR="00F15F70" w:rsidRPr="00CA0B18">
        <w:rPr>
          <w:rFonts w:cstheme="minorHAnsi"/>
          <w:lang w:val="en-CA"/>
        </w:rPr>
        <w:t>.</w:t>
      </w:r>
      <w:r w:rsidR="00D93FDD" w:rsidRPr="00CA0B18">
        <w:rPr>
          <w:rStyle w:val="FootnoteReference"/>
          <w:rFonts w:cstheme="minorHAnsi"/>
        </w:rPr>
        <w:footnoteReference w:id="8"/>
      </w:r>
      <w:r w:rsidR="004A7BD0" w:rsidRPr="00CA0B18">
        <w:rPr>
          <w:rFonts w:cstheme="minorHAnsi"/>
          <w:lang w:val="en-US"/>
        </w:rPr>
        <w:t xml:space="preserve"> </w:t>
      </w:r>
    </w:p>
    <w:p w14:paraId="7CB75BF9" w14:textId="77777777" w:rsidR="00D93FDD" w:rsidRPr="00CA0B18" w:rsidRDefault="00D93FDD" w:rsidP="006279FE">
      <w:pPr>
        <w:spacing w:after="0" w:line="240" w:lineRule="auto"/>
        <w:jc w:val="both"/>
        <w:rPr>
          <w:rFonts w:cstheme="minorHAnsi"/>
          <w:lang w:val="en-US"/>
        </w:rPr>
      </w:pPr>
    </w:p>
    <w:p w14:paraId="670B2368" w14:textId="613A6B97" w:rsidR="006F6A45" w:rsidRPr="00CA0B18" w:rsidRDefault="00A9469E" w:rsidP="006F6A45">
      <w:pPr>
        <w:spacing w:after="0" w:line="240" w:lineRule="auto"/>
        <w:jc w:val="both"/>
        <w:rPr>
          <w:rFonts w:cstheme="minorHAnsi"/>
          <w:lang w:val="en-US"/>
        </w:rPr>
      </w:pPr>
      <w:r w:rsidRPr="00CA0B18">
        <w:rPr>
          <w:rFonts w:cstheme="minorHAnsi"/>
          <w:lang w:val="en-US"/>
        </w:rPr>
        <w:t xml:space="preserve">UNCTAD and </w:t>
      </w:r>
      <w:r w:rsidR="00356789" w:rsidRPr="00CA0B18">
        <w:rPr>
          <w:rFonts w:cstheme="minorHAnsi"/>
          <w:lang w:val="en-US"/>
        </w:rPr>
        <w:t xml:space="preserve">other </w:t>
      </w:r>
      <w:r w:rsidRPr="00CA0B18">
        <w:rPr>
          <w:rFonts w:cstheme="minorHAnsi"/>
          <w:lang w:val="en-US"/>
        </w:rPr>
        <w:t xml:space="preserve">BioTrade partners </w:t>
      </w:r>
      <w:r w:rsidR="00C92764" w:rsidRPr="00CA0B18">
        <w:rPr>
          <w:rFonts w:cstheme="minorHAnsi"/>
          <w:lang w:val="en-US"/>
        </w:rPr>
        <w:t>contribute</w:t>
      </w:r>
      <w:r w:rsidR="005F1EB1" w:rsidRPr="00CA0B18">
        <w:rPr>
          <w:rFonts w:cstheme="minorHAnsi"/>
          <w:lang w:val="en-US"/>
        </w:rPr>
        <w:t xml:space="preserve"> to the</w:t>
      </w:r>
      <w:r w:rsidR="004A7BD0" w:rsidRPr="00CA0B18">
        <w:rPr>
          <w:rFonts w:cstheme="minorHAnsi"/>
          <w:lang w:val="en-US"/>
        </w:rPr>
        <w:t xml:space="preserve"> development of </w:t>
      </w:r>
      <w:r w:rsidRPr="00CA0B18">
        <w:rPr>
          <w:rFonts w:cstheme="minorHAnsi"/>
          <w:lang w:val="en-US"/>
        </w:rPr>
        <w:t>biodiversity-based sectors through value chain, livelihood, adaptive management and ecosystem approaches</w:t>
      </w:r>
      <w:r w:rsidR="00356789" w:rsidRPr="00CA0B18">
        <w:rPr>
          <w:rFonts w:cstheme="minorHAnsi"/>
          <w:lang w:val="en-US"/>
        </w:rPr>
        <w:t>. They also</w:t>
      </w:r>
      <w:r w:rsidR="004A7BD0" w:rsidRPr="00CA0B18">
        <w:rPr>
          <w:rFonts w:cstheme="minorHAnsi"/>
          <w:lang w:val="en-US"/>
        </w:rPr>
        <w:t xml:space="preserve"> </w:t>
      </w:r>
      <w:r w:rsidR="00356789" w:rsidRPr="00CA0B18">
        <w:rPr>
          <w:rFonts w:cstheme="minorHAnsi"/>
          <w:lang w:val="en-US"/>
        </w:rPr>
        <w:t xml:space="preserve">support and engage in biodiversity-based innovation in line with </w:t>
      </w:r>
      <w:r w:rsidR="00C47313" w:rsidRPr="00CA0B18">
        <w:rPr>
          <w:rFonts w:cstheme="minorHAnsi"/>
          <w:lang w:val="en-US"/>
        </w:rPr>
        <w:t>access</w:t>
      </w:r>
      <w:r w:rsidR="004A7BD0" w:rsidRPr="00CA0B18">
        <w:rPr>
          <w:rFonts w:cstheme="minorHAnsi"/>
          <w:lang w:val="en-US"/>
        </w:rPr>
        <w:t xml:space="preserve"> and </w:t>
      </w:r>
      <w:r w:rsidR="00F15F70" w:rsidRPr="00CA0B18">
        <w:rPr>
          <w:rFonts w:cstheme="minorHAnsi"/>
          <w:lang w:val="en-US"/>
        </w:rPr>
        <w:t>b</w:t>
      </w:r>
      <w:r w:rsidR="004A7BD0" w:rsidRPr="00CA0B18">
        <w:rPr>
          <w:rFonts w:cstheme="minorHAnsi"/>
          <w:lang w:val="en-US"/>
        </w:rPr>
        <w:t>enefit</w:t>
      </w:r>
      <w:r w:rsidR="00F15F70" w:rsidRPr="00CA0B18">
        <w:rPr>
          <w:rFonts w:cstheme="minorHAnsi"/>
          <w:lang w:val="en-US"/>
        </w:rPr>
        <w:t>-</w:t>
      </w:r>
      <w:r w:rsidR="00F15F70" w:rsidRPr="00CA0B18">
        <w:rPr>
          <w:rFonts w:cstheme="minorHAnsi"/>
          <w:lang w:val="en-CA"/>
        </w:rPr>
        <w:t>s</w:t>
      </w:r>
      <w:r w:rsidR="004A7BD0" w:rsidRPr="00CA0B18">
        <w:rPr>
          <w:rFonts w:cstheme="minorHAnsi"/>
          <w:lang w:val="en-US"/>
        </w:rPr>
        <w:t>haring (ABS</w:t>
      </w:r>
      <w:r w:rsidR="00E004FB">
        <w:rPr>
          <w:rFonts w:cstheme="minorHAnsi"/>
          <w:lang w:val="en-US"/>
        </w:rPr>
        <w:t>)</w:t>
      </w:r>
      <w:r w:rsidR="00356789" w:rsidRPr="00CA0B18">
        <w:rPr>
          <w:rFonts w:cstheme="minorHAnsi"/>
          <w:lang w:val="en-US"/>
        </w:rPr>
        <w:t xml:space="preserve"> rules and principles</w:t>
      </w:r>
      <w:r w:rsidR="004A7BD0" w:rsidRPr="00CA0B18">
        <w:rPr>
          <w:rFonts w:cstheme="minorHAnsi"/>
          <w:lang w:val="en-US"/>
        </w:rPr>
        <w:t>.</w:t>
      </w:r>
      <w:r w:rsidR="004A7BD0" w:rsidRPr="00CA0B18">
        <w:rPr>
          <w:rStyle w:val="FootnoteReference"/>
          <w:rFonts w:cstheme="minorHAnsi"/>
        </w:rPr>
        <w:footnoteReference w:id="9"/>
      </w:r>
      <w:r w:rsidR="004A7BD0" w:rsidRPr="00CA0B18">
        <w:rPr>
          <w:rFonts w:cstheme="minorHAnsi"/>
          <w:lang w:val="en-US"/>
        </w:rPr>
        <w:t xml:space="preserve"> </w:t>
      </w:r>
      <w:r w:rsidR="005F1EB1" w:rsidRPr="00CA0B18">
        <w:rPr>
          <w:rFonts w:cstheme="minorHAnsi"/>
          <w:lang w:val="en-US"/>
        </w:rPr>
        <w:t xml:space="preserve">BioTrade </w:t>
      </w:r>
      <w:r w:rsidR="004A7BD0" w:rsidRPr="00CA0B18">
        <w:rPr>
          <w:rFonts w:cstheme="minorHAnsi"/>
          <w:lang w:val="en-US"/>
        </w:rPr>
        <w:t xml:space="preserve">thus </w:t>
      </w:r>
      <w:r w:rsidR="00A55F1D" w:rsidRPr="00CA0B18">
        <w:rPr>
          <w:rFonts w:cstheme="minorHAnsi"/>
          <w:lang w:val="en-US"/>
        </w:rPr>
        <w:t xml:space="preserve">has </w:t>
      </w:r>
      <w:r w:rsidR="006F6A45" w:rsidRPr="00CA0B18">
        <w:rPr>
          <w:rFonts w:cstheme="minorHAnsi"/>
          <w:lang w:val="en-US"/>
        </w:rPr>
        <w:t>proven to</w:t>
      </w:r>
      <w:r w:rsidR="00A55F1D" w:rsidRPr="00CA0B18">
        <w:rPr>
          <w:rFonts w:cstheme="minorHAnsi"/>
          <w:lang w:val="en-US"/>
        </w:rPr>
        <w:t xml:space="preserve"> be a</w:t>
      </w:r>
      <w:r w:rsidR="00C92764" w:rsidRPr="00CA0B18">
        <w:rPr>
          <w:rFonts w:cstheme="minorHAnsi"/>
          <w:lang w:val="en-US"/>
        </w:rPr>
        <w:t>n</w:t>
      </w:r>
      <w:r w:rsidR="00A55F1D" w:rsidRPr="00CA0B18">
        <w:rPr>
          <w:rFonts w:cstheme="minorHAnsi"/>
          <w:lang w:val="en-US"/>
        </w:rPr>
        <w:t xml:space="preserve"> effective model for </w:t>
      </w:r>
      <w:r w:rsidR="004A7BD0" w:rsidRPr="00CA0B18">
        <w:rPr>
          <w:rFonts w:cstheme="minorHAnsi"/>
          <w:lang w:val="en-US"/>
        </w:rPr>
        <w:t xml:space="preserve"> </w:t>
      </w:r>
      <w:r w:rsidR="00356789" w:rsidRPr="00CA0B18">
        <w:rPr>
          <w:rFonts w:cstheme="minorHAnsi"/>
          <w:lang w:val="en-US"/>
        </w:rPr>
        <w:t>advancing</w:t>
      </w:r>
      <w:r w:rsidR="00C47313" w:rsidRPr="00CA0B18">
        <w:rPr>
          <w:rFonts w:cstheme="minorHAnsi"/>
          <w:lang w:val="en-US"/>
        </w:rPr>
        <w:t xml:space="preserve"> </w:t>
      </w:r>
      <w:r w:rsidR="004A7BD0" w:rsidRPr="00CA0B18">
        <w:rPr>
          <w:rFonts w:cstheme="minorHAnsi"/>
          <w:lang w:val="en-US"/>
        </w:rPr>
        <w:t xml:space="preserve">all three objectives of the CBD and further the implementation of the </w:t>
      </w:r>
      <w:r w:rsidR="003D07E1" w:rsidRPr="003D07E1">
        <w:rPr>
          <w:rFonts w:cstheme="minorHAnsi"/>
          <w:i/>
          <w:lang w:val="en-US"/>
        </w:rPr>
        <w:t xml:space="preserve">Nagoya Protocol on Access to Genetic Resources and the Fair and Equitable Sharing of Benefits Arising from their Utilization to the </w:t>
      </w:r>
      <w:r w:rsidR="003D07E1">
        <w:rPr>
          <w:rFonts w:cstheme="minorHAnsi"/>
          <w:i/>
          <w:lang w:val="en-US"/>
        </w:rPr>
        <w:t>CBD</w:t>
      </w:r>
      <w:r w:rsidR="003D07E1" w:rsidRPr="003D07E1">
        <w:rPr>
          <w:rFonts w:cstheme="minorHAnsi"/>
          <w:lang w:val="en-US"/>
        </w:rPr>
        <w:t xml:space="preserve">, also known as the </w:t>
      </w:r>
      <w:r w:rsidR="004A7BD0" w:rsidRPr="00F56952">
        <w:rPr>
          <w:rFonts w:cstheme="minorHAnsi"/>
          <w:lang w:val="en-US"/>
        </w:rPr>
        <w:t>Nagoya Protocol.</w:t>
      </w:r>
      <w:r w:rsidR="00A55F1D" w:rsidRPr="00CA0B18">
        <w:rPr>
          <w:rFonts w:cstheme="minorHAnsi"/>
          <w:lang w:val="en-US"/>
        </w:rPr>
        <w:t xml:space="preserve"> </w:t>
      </w:r>
      <w:r w:rsidR="006F6A45" w:rsidRPr="00CA0B18">
        <w:rPr>
          <w:rFonts w:cstheme="minorHAnsi"/>
          <w:lang w:val="en-US"/>
        </w:rPr>
        <w:t>Given the recent CBD COP decisions calling for enhancing synergies between the Convention and its Protocols, BioTrade offers a good example that bridges the work programmes related to the Convention (for example sustainable use), the Cartagena Protocol (in relation to work on synthetic biology and the related) and the Nagoya Protocol (on ABS issues).</w:t>
      </w:r>
      <w:r w:rsidR="001569C4" w:rsidRPr="00CA0B18">
        <w:rPr>
          <w:rFonts w:cstheme="minorHAnsi"/>
          <w:lang w:val="en-US"/>
        </w:rPr>
        <w:t xml:space="preserve"> Finally</w:t>
      </w:r>
      <w:r w:rsidR="001569C4" w:rsidRPr="00CA0B18">
        <w:rPr>
          <w:rFonts w:cstheme="minorHAnsi"/>
        </w:rPr>
        <w:t>, BioTrade also plays a role in addressing the need to engage businesses in achieving CBD objectives.</w:t>
      </w:r>
    </w:p>
    <w:p w14:paraId="208DE560" w14:textId="77777777" w:rsidR="00040856" w:rsidRPr="00CA0B18" w:rsidRDefault="00040856" w:rsidP="001569C4">
      <w:pPr>
        <w:spacing w:after="0" w:line="240" w:lineRule="auto"/>
        <w:jc w:val="both"/>
        <w:rPr>
          <w:rFonts w:cstheme="minorHAnsi"/>
          <w:lang w:val="en-US"/>
        </w:rPr>
      </w:pPr>
    </w:p>
    <w:p w14:paraId="2BFA1E4E" w14:textId="4D265869" w:rsidR="00D133CB" w:rsidRPr="00CA0B18" w:rsidRDefault="00C0789D" w:rsidP="001569C4">
      <w:pPr>
        <w:spacing w:after="0" w:line="240" w:lineRule="auto"/>
        <w:jc w:val="both"/>
        <w:rPr>
          <w:rFonts w:cstheme="minorHAnsi"/>
          <w:lang w:val="en-US"/>
        </w:rPr>
      </w:pPr>
      <w:r w:rsidRPr="00CA0B18">
        <w:rPr>
          <w:rFonts w:cstheme="minorHAnsi"/>
          <w:lang w:val="en-US"/>
        </w:rPr>
        <w:t>Th</w:t>
      </w:r>
      <w:r w:rsidR="005F1EB1" w:rsidRPr="00CA0B18">
        <w:rPr>
          <w:rFonts w:cstheme="minorHAnsi"/>
          <w:lang w:val="en-US"/>
        </w:rPr>
        <w:t>ese</w:t>
      </w:r>
      <w:r w:rsidRPr="00CA0B18">
        <w:rPr>
          <w:rFonts w:cstheme="minorHAnsi"/>
          <w:lang w:val="en-US"/>
        </w:rPr>
        <w:t xml:space="preserve"> experience</w:t>
      </w:r>
      <w:r w:rsidR="005F1EB1" w:rsidRPr="00CA0B18">
        <w:rPr>
          <w:rFonts w:cstheme="minorHAnsi"/>
          <w:lang w:val="en-US"/>
        </w:rPr>
        <w:t>s</w:t>
      </w:r>
      <w:r w:rsidRPr="00CA0B18">
        <w:rPr>
          <w:rFonts w:cstheme="minorHAnsi"/>
          <w:lang w:val="en-US"/>
        </w:rPr>
        <w:t xml:space="preserve"> highlight the critical role that </w:t>
      </w:r>
      <w:r w:rsidR="005F1EB1" w:rsidRPr="00CA0B18">
        <w:rPr>
          <w:rFonts w:cstheme="minorHAnsi"/>
          <w:lang w:val="en-US"/>
        </w:rPr>
        <w:t xml:space="preserve">the </w:t>
      </w:r>
      <w:r w:rsidRPr="00CA0B18">
        <w:rPr>
          <w:rFonts w:cstheme="minorHAnsi"/>
          <w:lang w:val="en-US"/>
        </w:rPr>
        <w:t>collection, production, transformation and commercialization of goods and services derived from biodiversity under environmental, social and economic sustainability criteria can play</w:t>
      </w:r>
      <w:r w:rsidR="00C92764" w:rsidRPr="00CA0B18">
        <w:rPr>
          <w:rFonts w:cstheme="minorHAnsi"/>
          <w:lang w:val="en-US"/>
        </w:rPr>
        <w:t xml:space="preserve"> </w:t>
      </w:r>
      <w:r w:rsidR="00C92764" w:rsidRPr="00F56952">
        <w:rPr>
          <w:rFonts w:cstheme="minorHAnsi"/>
          <w:lang w:val="en-US"/>
        </w:rPr>
        <w:t>for local communities and business commitments to</w:t>
      </w:r>
      <w:r w:rsidRPr="00F56952">
        <w:rPr>
          <w:rFonts w:cstheme="minorHAnsi"/>
          <w:lang w:val="en-US"/>
        </w:rPr>
        <w:t xml:space="preserve"> main</w:t>
      </w:r>
      <w:r w:rsidR="00CA5E68">
        <w:rPr>
          <w:rFonts w:cstheme="minorHAnsi"/>
          <w:lang w:val="en-US"/>
        </w:rPr>
        <w:t>we</w:t>
      </w:r>
      <w:r w:rsidRPr="00F56952">
        <w:rPr>
          <w:rFonts w:cstheme="minorHAnsi"/>
          <w:lang w:val="en-US"/>
        </w:rPr>
        <w:t>stream</w:t>
      </w:r>
      <w:r w:rsidRPr="00CA0B18">
        <w:rPr>
          <w:rFonts w:cstheme="minorHAnsi"/>
          <w:lang w:val="en-US"/>
        </w:rPr>
        <w:t xml:space="preserve"> biodiversity</w:t>
      </w:r>
      <w:r w:rsidR="00F15F70" w:rsidRPr="00CA0B18">
        <w:rPr>
          <w:rFonts w:cstheme="minorHAnsi"/>
          <w:lang w:val="en-CA"/>
        </w:rPr>
        <w:t>,</w:t>
      </w:r>
      <w:r w:rsidRPr="00CA0B18">
        <w:rPr>
          <w:rFonts w:cstheme="minorHAnsi"/>
          <w:lang w:val="en-US"/>
        </w:rPr>
        <w:t xml:space="preserve"> and as a means of </w:t>
      </w:r>
      <w:r w:rsidR="00F15F70" w:rsidRPr="00CA0B18">
        <w:rPr>
          <w:rFonts w:cstheme="minorHAnsi"/>
          <w:lang w:val="en-CA"/>
        </w:rPr>
        <w:t xml:space="preserve">jointly achieving the </w:t>
      </w:r>
      <w:r w:rsidR="00354ED6" w:rsidRPr="00CA0B18">
        <w:rPr>
          <w:rFonts w:cstheme="minorHAnsi"/>
          <w:lang w:val="en-US"/>
        </w:rPr>
        <w:t>SDGs</w:t>
      </w:r>
      <w:r w:rsidR="00354ED6" w:rsidRPr="00CA0B18">
        <w:rPr>
          <w:rStyle w:val="FootnoteReference"/>
          <w:rFonts w:cstheme="minorHAnsi"/>
          <w:lang w:val="en-US"/>
        </w:rPr>
        <w:footnoteReference w:id="10"/>
      </w:r>
      <w:r w:rsidR="00354ED6" w:rsidRPr="00CA0B18">
        <w:rPr>
          <w:rFonts w:cstheme="minorHAnsi"/>
          <w:lang w:val="en-US"/>
        </w:rPr>
        <w:t xml:space="preserve"> and the </w:t>
      </w:r>
      <w:r w:rsidRPr="00CA0B18">
        <w:rPr>
          <w:rFonts w:cstheme="minorHAnsi"/>
          <w:lang w:val="en-US"/>
        </w:rPr>
        <w:t>Post-2020 Global Biodiversity Framework</w:t>
      </w:r>
      <w:r w:rsidRPr="00CA0B18">
        <w:rPr>
          <w:rFonts w:cstheme="minorHAnsi"/>
          <w:i/>
          <w:lang w:val="en-US"/>
        </w:rPr>
        <w:t xml:space="preserve">. </w:t>
      </w:r>
      <w:r w:rsidR="002C4922" w:rsidRPr="00CA0B18">
        <w:rPr>
          <w:rFonts w:cstheme="minorHAnsi"/>
          <w:lang w:val="en-US"/>
        </w:rPr>
        <w:t xml:space="preserve">Incorporating </w:t>
      </w:r>
      <w:r w:rsidR="00F15F70" w:rsidRPr="00CA0B18">
        <w:rPr>
          <w:rFonts w:cstheme="minorHAnsi"/>
          <w:lang w:val="en-CA"/>
        </w:rPr>
        <w:t xml:space="preserve">trade and sustainable use </w:t>
      </w:r>
      <w:r w:rsidR="002C4922" w:rsidRPr="00CA0B18">
        <w:rPr>
          <w:rFonts w:cstheme="minorHAnsi"/>
          <w:lang w:val="en-US"/>
        </w:rPr>
        <w:t xml:space="preserve">into the </w:t>
      </w:r>
      <w:r w:rsidR="00F15F70" w:rsidRPr="00CA0B18">
        <w:rPr>
          <w:rFonts w:cstheme="minorHAnsi"/>
          <w:lang w:val="en-CA"/>
        </w:rPr>
        <w:t>P</w:t>
      </w:r>
      <w:r w:rsidR="002C4922" w:rsidRPr="00CA0B18">
        <w:rPr>
          <w:rFonts w:cstheme="minorHAnsi"/>
          <w:lang w:val="en-US"/>
        </w:rPr>
        <w:t xml:space="preserve">ost-2020 </w:t>
      </w:r>
      <w:r w:rsidR="00F15F70" w:rsidRPr="00CA0B18">
        <w:rPr>
          <w:rFonts w:cstheme="minorHAnsi"/>
          <w:lang w:val="en-CA"/>
        </w:rPr>
        <w:t xml:space="preserve">Global Biodiversity Framework </w:t>
      </w:r>
      <w:r w:rsidR="002C4922" w:rsidRPr="00CA0B18">
        <w:rPr>
          <w:rFonts w:cstheme="minorHAnsi"/>
          <w:lang w:val="en-US"/>
        </w:rPr>
        <w:t xml:space="preserve">could </w:t>
      </w:r>
      <w:r w:rsidR="00D133CB" w:rsidRPr="00CA0B18">
        <w:rPr>
          <w:rFonts w:cstheme="minorHAnsi"/>
          <w:lang w:val="en-US"/>
        </w:rPr>
        <w:t xml:space="preserve">therefore </w:t>
      </w:r>
      <w:r w:rsidR="002C4922" w:rsidRPr="00CA0B18">
        <w:rPr>
          <w:rFonts w:cstheme="minorHAnsi"/>
          <w:lang w:val="en-US"/>
        </w:rPr>
        <w:t>prompt</w:t>
      </w:r>
      <w:r w:rsidR="00C92764" w:rsidRPr="00CA0B18">
        <w:rPr>
          <w:rFonts w:cstheme="minorHAnsi"/>
          <w:lang w:val="en-US"/>
        </w:rPr>
        <w:t xml:space="preserve"> countries, including</w:t>
      </w:r>
      <w:r w:rsidR="002C4922" w:rsidRPr="00CA0B18">
        <w:rPr>
          <w:rFonts w:cstheme="minorHAnsi"/>
          <w:lang w:val="en-US"/>
        </w:rPr>
        <w:t xml:space="preserve"> CBD Parties to adopt laws and policies helping to achieve broader goals around the conservation and sustainable use of biodiversity, as well as fair and equitable benefit-sharing. </w:t>
      </w:r>
      <w:r w:rsidR="0052352E" w:rsidRPr="00CA0B18">
        <w:rPr>
          <w:rFonts w:cstheme="minorHAnsi"/>
          <w:lang w:val="en-US"/>
        </w:rPr>
        <w:t>Moreover, it could foster interest of global financing facilities in promoting ethical trade as driver for biodiversity conservation and sustainable use.</w:t>
      </w:r>
    </w:p>
    <w:p w14:paraId="5BB922CF" w14:textId="77777777" w:rsidR="00D133CB" w:rsidRPr="00CA0B18" w:rsidRDefault="00D133CB" w:rsidP="006279FE">
      <w:pPr>
        <w:spacing w:after="0" w:line="240" w:lineRule="auto"/>
        <w:jc w:val="both"/>
        <w:rPr>
          <w:rFonts w:cstheme="minorHAnsi"/>
          <w:lang w:val="en-US"/>
        </w:rPr>
      </w:pPr>
    </w:p>
    <w:p w14:paraId="57A3E283" w14:textId="4AE04FD5" w:rsidR="00C12B9F" w:rsidRPr="00CA0B18" w:rsidRDefault="00C12B9F" w:rsidP="006279FE">
      <w:pPr>
        <w:spacing w:after="0" w:line="240" w:lineRule="auto"/>
        <w:jc w:val="both"/>
        <w:rPr>
          <w:rFonts w:cstheme="minorHAnsi"/>
          <w:lang w:val="en-US"/>
        </w:rPr>
      </w:pPr>
      <w:r w:rsidRPr="00CA0B18">
        <w:rPr>
          <w:rFonts w:cstheme="minorHAnsi"/>
          <w:lang w:val="en-US"/>
        </w:rPr>
        <w:t>CBD COP decisions over the past decade have recognized that initiatives such as BioTrade are part of the solution</w:t>
      </w:r>
      <w:r w:rsidR="00F15F70" w:rsidRPr="00CA0B18">
        <w:rPr>
          <w:rFonts w:cstheme="minorHAnsi"/>
          <w:lang w:val="en-CA"/>
        </w:rPr>
        <w:t>,</w:t>
      </w:r>
      <w:r w:rsidRPr="00CA0B18">
        <w:rPr>
          <w:rFonts w:cstheme="minorHAnsi"/>
          <w:lang w:val="en-US"/>
        </w:rPr>
        <w:t xml:space="preserve"> </w:t>
      </w:r>
      <w:r w:rsidR="005F1EB1" w:rsidRPr="00CA0B18">
        <w:rPr>
          <w:rFonts w:cstheme="minorHAnsi"/>
          <w:lang w:val="en-US"/>
        </w:rPr>
        <w:t>and can contribute to fostering</w:t>
      </w:r>
      <w:r w:rsidR="00C0789D" w:rsidRPr="00CA0B18">
        <w:rPr>
          <w:rFonts w:cstheme="minorHAnsi"/>
          <w:lang w:val="en-US"/>
        </w:rPr>
        <w:t xml:space="preserve"> </w:t>
      </w:r>
      <w:r w:rsidR="001B4F89" w:rsidRPr="00CA0B18">
        <w:rPr>
          <w:rFonts w:cstheme="minorHAnsi"/>
          <w:lang w:val="en-US"/>
        </w:rPr>
        <w:t xml:space="preserve">communities and </w:t>
      </w:r>
      <w:r w:rsidR="00C0789D" w:rsidRPr="00CA0B18">
        <w:rPr>
          <w:rFonts w:cstheme="minorHAnsi"/>
          <w:lang w:val="en-US"/>
        </w:rPr>
        <w:t xml:space="preserve">private sector </w:t>
      </w:r>
      <w:r w:rsidR="001B4F89" w:rsidRPr="00CA0B18">
        <w:rPr>
          <w:rFonts w:cstheme="minorHAnsi"/>
          <w:lang w:val="en-US"/>
        </w:rPr>
        <w:t xml:space="preserve">interest for biodiversity conservation, restoration and </w:t>
      </w:r>
      <w:r w:rsidR="00C0789D" w:rsidRPr="00CA0B18">
        <w:rPr>
          <w:rFonts w:cstheme="minorHAnsi"/>
          <w:lang w:val="en-US"/>
        </w:rPr>
        <w:t>engagement</w:t>
      </w:r>
      <w:r w:rsidRPr="00CA0B18">
        <w:rPr>
          <w:rFonts w:cstheme="minorHAnsi"/>
          <w:lang w:val="en-US"/>
        </w:rPr>
        <w:t xml:space="preserve"> in mainstreaming biodiversity within the global economy. </w:t>
      </w:r>
      <w:r w:rsidR="005F1EB1" w:rsidRPr="00CA0B18">
        <w:rPr>
          <w:rFonts w:cstheme="minorHAnsi"/>
          <w:lang w:val="en-US"/>
        </w:rPr>
        <w:t>Annex 1 provides an illustrative list of the various</w:t>
      </w:r>
      <w:r w:rsidRPr="00CA0B18">
        <w:rPr>
          <w:rFonts w:cstheme="minorHAnsi"/>
          <w:lang w:val="en-US"/>
        </w:rPr>
        <w:t xml:space="preserve"> COP mandate</w:t>
      </w:r>
      <w:r w:rsidR="005F1EB1" w:rsidRPr="00CA0B18">
        <w:rPr>
          <w:rFonts w:cstheme="minorHAnsi"/>
          <w:lang w:val="en-US"/>
        </w:rPr>
        <w:t>s and decisions</w:t>
      </w:r>
      <w:r w:rsidRPr="00CA0B18">
        <w:rPr>
          <w:rFonts w:cstheme="minorHAnsi"/>
          <w:lang w:val="en-US"/>
        </w:rPr>
        <w:t xml:space="preserve"> supporting the need </w:t>
      </w:r>
      <w:r w:rsidRPr="00CA0B18">
        <w:rPr>
          <w:rFonts w:cstheme="minorHAnsi"/>
          <w:lang w:val="en-US"/>
        </w:rPr>
        <w:lastRenderedPageBreak/>
        <w:t>to consider the potential role that trade can play in the biodiversity agenda.</w:t>
      </w:r>
      <w:r w:rsidR="002C4922" w:rsidRPr="00CA0B18">
        <w:rPr>
          <w:rFonts w:cstheme="minorHAnsi"/>
          <w:lang w:val="en-US"/>
        </w:rPr>
        <w:t xml:space="preserve"> </w:t>
      </w:r>
      <w:r w:rsidR="00D133CB" w:rsidRPr="00CA0B18">
        <w:rPr>
          <w:rFonts w:cstheme="minorHAnsi"/>
          <w:lang w:val="en-US"/>
        </w:rPr>
        <w:t>The positive role of trade has also been mainstreamed in the Resolutions and Decisions of the Convention on International trade in Endangered Species of Wild Fauna and Flora (CITES), whose main objectives are to ensure that the international trade in specimens of listed species are legal, sustainable, and traceable. For example, Resolution 16.6 on CITES and livelihoods provides a particularly important entry point for BioTrade</w:t>
      </w:r>
      <w:r w:rsidR="00C47313" w:rsidRPr="00CA0B18">
        <w:rPr>
          <w:rFonts w:cstheme="minorHAnsi"/>
          <w:lang w:val="en-US"/>
        </w:rPr>
        <w:t>.</w:t>
      </w:r>
    </w:p>
    <w:p w14:paraId="404A3401" w14:textId="77777777" w:rsidR="00D93FDD" w:rsidRPr="00CA0B18" w:rsidRDefault="00D93FDD" w:rsidP="006279FE">
      <w:pPr>
        <w:spacing w:after="0" w:line="240" w:lineRule="auto"/>
        <w:jc w:val="both"/>
        <w:rPr>
          <w:rFonts w:cstheme="minorHAnsi"/>
          <w:lang w:val="en-US"/>
        </w:rPr>
      </w:pPr>
    </w:p>
    <w:p w14:paraId="12837A1F" w14:textId="07421314" w:rsidR="00C211A0" w:rsidRPr="00CA0B18" w:rsidRDefault="002C4922" w:rsidP="006279FE">
      <w:pPr>
        <w:spacing w:after="0" w:line="240" w:lineRule="auto"/>
        <w:jc w:val="both"/>
        <w:rPr>
          <w:rFonts w:cstheme="minorHAnsi"/>
          <w:lang w:val="en-US"/>
        </w:rPr>
      </w:pPr>
      <w:r w:rsidRPr="00CA0B18">
        <w:rPr>
          <w:rFonts w:cstheme="minorHAnsi"/>
          <w:lang w:val="en-US"/>
        </w:rPr>
        <w:t xml:space="preserve">In conclusion, </w:t>
      </w:r>
      <w:r w:rsidR="00C211A0" w:rsidRPr="00CA0B18">
        <w:rPr>
          <w:rFonts w:cstheme="minorHAnsi"/>
          <w:lang w:val="en-US"/>
        </w:rPr>
        <w:t xml:space="preserve">UNCTAD and </w:t>
      </w:r>
      <w:r w:rsidR="00D93FDD" w:rsidRPr="00CA0B18">
        <w:rPr>
          <w:rFonts w:cstheme="minorHAnsi"/>
          <w:lang w:val="en-US"/>
        </w:rPr>
        <w:t xml:space="preserve">its </w:t>
      </w:r>
      <w:r w:rsidR="00C211A0" w:rsidRPr="00CA0B18">
        <w:rPr>
          <w:rFonts w:cstheme="minorHAnsi"/>
          <w:lang w:val="en-US"/>
        </w:rPr>
        <w:t xml:space="preserve">partners stand ready to continue contributing </w:t>
      </w:r>
      <w:r w:rsidR="0041288D" w:rsidRPr="00CA0B18">
        <w:rPr>
          <w:rFonts w:cstheme="minorHAnsi"/>
          <w:lang w:val="en-US"/>
        </w:rPr>
        <w:t xml:space="preserve">substantively and act as focal point for trade and biodiversity in the </w:t>
      </w:r>
      <w:r w:rsidR="00F15F70" w:rsidRPr="00CA0B18">
        <w:rPr>
          <w:rFonts w:cstheme="minorHAnsi"/>
          <w:lang w:val="en-CA"/>
        </w:rPr>
        <w:t xml:space="preserve">process leading to the adoption of the </w:t>
      </w:r>
      <w:r w:rsidR="0041288D" w:rsidRPr="00CA0B18">
        <w:rPr>
          <w:rFonts w:cstheme="minorHAnsi"/>
          <w:lang w:val="en-US"/>
        </w:rPr>
        <w:t xml:space="preserve">Post-2020 </w:t>
      </w:r>
      <w:r w:rsidR="00F15F70" w:rsidRPr="00CA0B18">
        <w:rPr>
          <w:rFonts w:cstheme="minorHAnsi"/>
          <w:lang w:val="en-US"/>
        </w:rPr>
        <w:t xml:space="preserve">Global Biodiversity Framework, </w:t>
      </w:r>
      <w:r w:rsidR="0041288D" w:rsidRPr="00CA0B18">
        <w:rPr>
          <w:rFonts w:cstheme="minorHAnsi"/>
          <w:lang w:val="en-US"/>
        </w:rPr>
        <w:t>focusing</w:t>
      </w:r>
      <w:r w:rsidR="00C211A0" w:rsidRPr="00CA0B18">
        <w:rPr>
          <w:rFonts w:cstheme="minorHAnsi"/>
          <w:lang w:val="en-US"/>
        </w:rPr>
        <w:t xml:space="preserve"> </w:t>
      </w:r>
      <w:r w:rsidRPr="00CA0B18">
        <w:rPr>
          <w:rFonts w:cstheme="minorHAnsi"/>
          <w:lang w:val="en-US"/>
        </w:rPr>
        <w:t>on the</w:t>
      </w:r>
      <w:r w:rsidR="00354ED6" w:rsidRPr="00CA0B18">
        <w:rPr>
          <w:rFonts w:cstheme="minorHAnsi"/>
          <w:lang w:val="en-US"/>
        </w:rPr>
        <w:t xml:space="preserve"> positive</w:t>
      </w:r>
      <w:r w:rsidRPr="00CA0B18">
        <w:rPr>
          <w:rFonts w:cstheme="minorHAnsi"/>
          <w:lang w:val="en-US"/>
        </w:rPr>
        <w:t xml:space="preserve"> role </w:t>
      </w:r>
      <w:r w:rsidR="00F15F70" w:rsidRPr="00CA0B18">
        <w:rPr>
          <w:rFonts w:cstheme="minorHAnsi"/>
          <w:lang w:val="en-US"/>
        </w:rPr>
        <w:t xml:space="preserve">that </w:t>
      </w:r>
      <w:r w:rsidR="007336C2" w:rsidRPr="00CA0B18">
        <w:rPr>
          <w:rFonts w:cstheme="minorHAnsi"/>
          <w:lang w:val="en-US"/>
        </w:rPr>
        <w:t xml:space="preserve">ethical and sustainable </w:t>
      </w:r>
      <w:r w:rsidR="00F15F70" w:rsidRPr="00CA0B18">
        <w:rPr>
          <w:rFonts w:cstheme="minorHAnsi"/>
          <w:lang w:val="en-US"/>
        </w:rPr>
        <w:t xml:space="preserve">trade can play </w:t>
      </w:r>
      <w:r w:rsidR="00C211A0" w:rsidRPr="00CA0B18">
        <w:rPr>
          <w:rFonts w:cstheme="minorHAnsi"/>
          <w:lang w:val="en-US"/>
        </w:rPr>
        <w:t xml:space="preserve">in implementing the objectives of the Convention on Biological Diversity and </w:t>
      </w:r>
      <w:r w:rsidR="00F15F70" w:rsidRPr="00CA0B18">
        <w:rPr>
          <w:rFonts w:cstheme="minorHAnsi"/>
          <w:lang w:val="en-US"/>
        </w:rPr>
        <w:t xml:space="preserve">achieving the </w:t>
      </w:r>
      <w:r w:rsidR="00C211A0" w:rsidRPr="00CA0B18">
        <w:rPr>
          <w:rFonts w:cstheme="minorHAnsi"/>
          <w:lang w:val="en-US"/>
        </w:rPr>
        <w:t>2050 vision of “</w:t>
      </w:r>
      <w:r w:rsidR="00C211A0" w:rsidRPr="00CA0B18">
        <w:rPr>
          <w:rFonts w:eastAsia="Times New Roman" w:cstheme="minorHAnsi"/>
          <w:i/>
          <w:iCs/>
          <w:lang w:val="en-US"/>
        </w:rPr>
        <w:t xml:space="preserve">Living in Harmony with Nature".  </w:t>
      </w:r>
      <w:r w:rsidR="00C211A0" w:rsidRPr="00CA0B18">
        <w:rPr>
          <w:rFonts w:eastAsia="Times New Roman" w:cstheme="minorHAnsi"/>
          <w:iCs/>
          <w:lang w:val="en-US"/>
        </w:rPr>
        <w:t xml:space="preserve">UNCTAD will </w:t>
      </w:r>
      <w:r w:rsidRPr="00CA0B18">
        <w:rPr>
          <w:rFonts w:eastAsia="Times New Roman" w:cstheme="minorHAnsi"/>
          <w:iCs/>
          <w:lang w:val="en-US"/>
        </w:rPr>
        <w:t xml:space="preserve">also </w:t>
      </w:r>
      <w:r w:rsidR="00C211A0" w:rsidRPr="00CA0B18">
        <w:rPr>
          <w:rFonts w:eastAsia="Times New Roman" w:cstheme="minorHAnsi"/>
          <w:iCs/>
          <w:lang w:val="en-US"/>
        </w:rPr>
        <w:t xml:space="preserve">continue to </w:t>
      </w:r>
      <w:r w:rsidR="00B665E4" w:rsidRPr="00CA0B18">
        <w:rPr>
          <w:rFonts w:eastAsia="Times New Roman" w:cstheme="minorHAnsi"/>
          <w:iCs/>
          <w:lang w:val="en-US"/>
        </w:rPr>
        <w:t xml:space="preserve">consult and promote the engagement and </w:t>
      </w:r>
      <w:r w:rsidR="00C211A0" w:rsidRPr="00CA0B18">
        <w:rPr>
          <w:rFonts w:eastAsia="Times New Roman" w:cstheme="minorHAnsi"/>
          <w:iCs/>
          <w:lang w:val="en-US"/>
        </w:rPr>
        <w:t>participation of its BioTrade partners and practitioners in the process.</w:t>
      </w:r>
    </w:p>
    <w:p w14:paraId="15A804E8" w14:textId="77777777" w:rsidR="00C92764" w:rsidRPr="00CA0B18" w:rsidRDefault="00C92764" w:rsidP="002A6478">
      <w:pPr>
        <w:pStyle w:val="Heading1"/>
        <w:spacing w:before="0"/>
        <w:rPr>
          <w:rFonts w:asciiTheme="minorHAnsi" w:hAnsiTheme="minorHAnsi" w:cstheme="minorHAnsi"/>
          <w:sz w:val="24"/>
          <w:szCs w:val="24"/>
        </w:rPr>
      </w:pPr>
    </w:p>
    <w:p w14:paraId="1C645812" w14:textId="59B8C4A0" w:rsidR="00BA4702" w:rsidRPr="00CA0B18" w:rsidRDefault="00BA4702" w:rsidP="00F56952">
      <w:pPr>
        <w:pStyle w:val="Heading1"/>
        <w:numPr>
          <w:ilvl w:val="0"/>
          <w:numId w:val="8"/>
        </w:numPr>
        <w:spacing w:before="0"/>
        <w:rPr>
          <w:rFonts w:asciiTheme="minorHAnsi" w:hAnsiTheme="minorHAnsi" w:cstheme="minorHAnsi"/>
          <w:sz w:val="24"/>
          <w:szCs w:val="24"/>
        </w:rPr>
      </w:pPr>
      <w:r w:rsidRPr="00CA0B18">
        <w:rPr>
          <w:rFonts w:asciiTheme="minorHAnsi" w:hAnsiTheme="minorHAnsi" w:cstheme="minorHAnsi"/>
          <w:sz w:val="24"/>
          <w:szCs w:val="24"/>
        </w:rPr>
        <w:t>BioTrade partners supporting the present submission</w:t>
      </w:r>
    </w:p>
    <w:p w14:paraId="50937C96" w14:textId="77777777" w:rsidR="00BA4702" w:rsidRPr="00CA0B18" w:rsidRDefault="00BA4702" w:rsidP="00BA4702">
      <w:pPr>
        <w:spacing w:after="0" w:line="240" w:lineRule="auto"/>
        <w:rPr>
          <w:rFonts w:cstheme="minorHAnsi"/>
          <w:lang w:val="en-US"/>
        </w:rPr>
      </w:pPr>
    </w:p>
    <w:p w14:paraId="6847A7CA" w14:textId="77777777" w:rsidR="00CA0B18" w:rsidRPr="00CA0B18" w:rsidRDefault="00CA0B18" w:rsidP="00BA4702">
      <w:pPr>
        <w:pStyle w:val="ListParagraph"/>
        <w:numPr>
          <w:ilvl w:val="0"/>
          <w:numId w:val="11"/>
        </w:numPr>
        <w:rPr>
          <w:rFonts w:asciiTheme="minorHAnsi" w:eastAsia="Times New Roman" w:hAnsiTheme="minorHAnsi" w:cstheme="minorHAnsi"/>
        </w:rPr>
      </w:pPr>
      <w:r w:rsidRPr="00CA0B18">
        <w:rPr>
          <w:rFonts w:asciiTheme="minorHAnsi" w:hAnsiTheme="minorHAnsi" w:cstheme="minorHAnsi"/>
          <w:smallCaps/>
          <w:shd w:val="clear" w:color="auto" w:fill="FFFFFF"/>
        </w:rPr>
        <w:t xml:space="preserve">UNCTAD </w:t>
      </w:r>
      <w:r w:rsidRPr="00CA0B18">
        <w:rPr>
          <w:rFonts w:asciiTheme="minorHAnsi" w:hAnsiTheme="minorHAnsi" w:cstheme="minorHAnsi"/>
          <w:shd w:val="clear" w:color="auto" w:fill="FFFFFF"/>
        </w:rPr>
        <w:t>BioTrade</w:t>
      </w:r>
      <w:r w:rsidRPr="00CA0B18">
        <w:rPr>
          <w:rFonts w:asciiTheme="minorHAnsi" w:eastAsia="Times New Roman" w:hAnsiTheme="minorHAnsi" w:cstheme="minorHAnsi"/>
        </w:rPr>
        <w:t xml:space="preserve"> </w:t>
      </w:r>
    </w:p>
    <w:p w14:paraId="451F5C5C" w14:textId="6463EB52" w:rsidR="00BA4702" w:rsidRPr="00CA0B18" w:rsidRDefault="00BA4702" w:rsidP="00BA4702">
      <w:pPr>
        <w:pStyle w:val="ListParagraph"/>
        <w:numPr>
          <w:ilvl w:val="0"/>
          <w:numId w:val="11"/>
        </w:numPr>
        <w:rPr>
          <w:rFonts w:asciiTheme="minorHAnsi" w:eastAsia="Times New Roman" w:hAnsiTheme="minorHAnsi" w:cstheme="minorHAnsi"/>
        </w:rPr>
      </w:pPr>
      <w:r w:rsidRPr="00CA0B18">
        <w:rPr>
          <w:rFonts w:asciiTheme="minorHAnsi" w:eastAsia="Times New Roman" w:hAnsiTheme="minorHAnsi" w:cstheme="minorHAnsi"/>
        </w:rPr>
        <w:t>CITES Secretariat</w:t>
      </w:r>
    </w:p>
    <w:p w14:paraId="5F271567" w14:textId="3DF6936D" w:rsidR="00BA4702" w:rsidRPr="00CA0B18" w:rsidRDefault="00BA4702" w:rsidP="00BA4702">
      <w:pPr>
        <w:pStyle w:val="ListParagraph"/>
        <w:numPr>
          <w:ilvl w:val="0"/>
          <w:numId w:val="11"/>
        </w:numPr>
        <w:rPr>
          <w:rFonts w:asciiTheme="minorHAnsi" w:eastAsia="Times New Roman" w:hAnsiTheme="minorHAnsi" w:cstheme="minorHAnsi"/>
        </w:rPr>
      </w:pPr>
      <w:r w:rsidRPr="00CA0B18">
        <w:rPr>
          <w:rFonts w:asciiTheme="minorHAnsi" w:eastAsia="Times New Roman" w:hAnsiTheme="minorHAnsi" w:cstheme="minorHAnsi"/>
        </w:rPr>
        <w:t xml:space="preserve">Development </w:t>
      </w:r>
      <w:r w:rsidR="006C43A2">
        <w:rPr>
          <w:rFonts w:asciiTheme="minorHAnsi" w:eastAsia="Times New Roman" w:hAnsiTheme="minorHAnsi" w:cstheme="minorHAnsi"/>
        </w:rPr>
        <w:t>B</w:t>
      </w:r>
      <w:r w:rsidRPr="00CA0B18">
        <w:rPr>
          <w:rFonts w:asciiTheme="minorHAnsi" w:eastAsia="Times New Roman" w:hAnsiTheme="minorHAnsi" w:cstheme="minorHAnsi"/>
        </w:rPr>
        <w:t>ank of Latin America (CAF)</w:t>
      </w:r>
    </w:p>
    <w:p w14:paraId="7D79DE71" w14:textId="3F585264" w:rsidR="00DB7C4E" w:rsidRPr="00CA0B18" w:rsidRDefault="00A2119C" w:rsidP="00DB7C4E">
      <w:pPr>
        <w:pStyle w:val="ListParagraph"/>
        <w:numPr>
          <w:ilvl w:val="0"/>
          <w:numId w:val="11"/>
        </w:numPr>
        <w:rPr>
          <w:rFonts w:asciiTheme="minorHAnsi" w:eastAsia="Times New Roman" w:hAnsiTheme="minorHAnsi" w:cstheme="minorHAnsi"/>
        </w:rPr>
      </w:pPr>
      <w:proofErr w:type="spellStart"/>
      <w:r w:rsidRPr="002F2662">
        <w:rPr>
          <w:rFonts w:asciiTheme="minorHAnsi" w:eastAsia="Times New Roman" w:hAnsiTheme="minorHAnsi" w:cstheme="minorHAnsi"/>
        </w:rPr>
        <w:t>PromPerú</w:t>
      </w:r>
      <w:proofErr w:type="spellEnd"/>
    </w:p>
    <w:p w14:paraId="78C4EDB7" w14:textId="46BB97F6" w:rsidR="00DB7C4E" w:rsidRPr="00F56952" w:rsidRDefault="00DB7C4E" w:rsidP="00BA4702">
      <w:pPr>
        <w:pStyle w:val="ListParagraph"/>
        <w:numPr>
          <w:ilvl w:val="0"/>
          <w:numId w:val="11"/>
        </w:numPr>
        <w:rPr>
          <w:rFonts w:asciiTheme="minorHAnsi" w:hAnsiTheme="minorHAnsi" w:cstheme="minorHAnsi"/>
          <w:shd w:val="clear" w:color="auto" w:fill="FFFFFF"/>
        </w:rPr>
      </w:pPr>
      <w:r w:rsidRPr="00CA0B18">
        <w:rPr>
          <w:rFonts w:asciiTheme="minorHAnsi" w:hAnsiTheme="minorHAnsi" w:cstheme="minorHAnsi"/>
        </w:rPr>
        <w:t>Union for Ethical BioTrade (UEBT)</w:t>
      </w:r>
    </w:p>
    <w:p w14:paraId="7C87909B" w14:textId="5565486F" w:rsidR="00BA4702" w:rsidRPr="00CA0B18" w:rsidRDefault="00BA4702" w:rsidP="000732C1">
      <w:pPr>
        <w:pStyle w:val="ListParagraph"/>
        <w:numPr>
          <w:ilvl w:val="0"/>
          <w:numId w:val="11"/>
        </w:numPr>
        <w:rPr>
          <w:rFonts w:asciiTheme="minorHAnsi" w:hAnsiTheme="minorHAnsi" w:cstheme="minorHAnsi"/>
          <w:shd w:val="clear" w:color="auto" w:fill="FFFFFF"/>
        </w:rPr>
      </w:pPr>
      <w:r w:rsidRPr="00CA0B18">
        <w:rPr>
          <w:rFonts w:asciiTheme="minorHAnsi" w:hAnsiTheme="minorHAnsi" w:cstheme="minorHAnsi"/>
        </w:rPr>
        <w:t>Forum for Law, Environment, Development and Governance (FLEDGE)</w:t>
      </w:r>
      <w:r w:rsidRPr="00CA0B18">
        <w:rPr>
          <w:rStyle w:val="FootnoteReference"/>
          <w:rFonts w:asciiTheme="minorHAnsi" w:hAnsiTheme="minorHAnsi" w:cstheme="minorHAnsi"/>
          <w:shd w:val="clear" w:color="auto" w:fill="FFFFFF"/>
        </w:rPr>
        <w:t xml:space="preserve"> </w:t>
      </w:r>
    </w:p>
    <w:p w14:paraId="77C39586" w14:textId="77777777" w:rsidR="00BA4702" w:rsidRPr="00CA0B18" w:rsidRDefault="00BA4702" w:rsidP="00BA4702">
      <w:pPr>
        <w:spacing w:after="0" w:line="240" w:lineRule="auto"/>
        <w:rPr>
          <w:rFonts w:eastAsiaTheme="majorEastAsia" w:cstheme="minorHAnsi"/>
          <w:color w:val="2F5496" w:themeColor="accent1" w:themeShade="BF"/>
          <w:sz w:val="24"/>
          <w:szCs w:val="24"/>
          <w:lang w:val="en-CA"/>
        </w:rPr>
      </w:pPr>
    </w:p>
    <w:p w14:paraId="3325249E" w14:textId="712F4B4C" w:rsidR="00C211A0" w:rsidRPr="00CA0B18" w:rsidRDefault="00BA4702" w:rsidP="00F56952">
      <w:pPr>
        <w:pStyle w:val="Heading1"/>
        <w:numPr>
          <w:ilvl w:val="0"/>
          <w:numId w:val="8"/>
        </w:numPr>
        <w:spacing w:before="0"/>
        <w:rPr>
          <w:rFonts w:asciiTheme="minorHAnsi" w:hAnsiTheme="minorHAnsi" w:cstheme="minorHAnsi"/>
          <w:sz w:val="24"/>
          <w:szCs w:val="24"/>
        </w:rPr>
      </w:pPr>
      <w:r w:rsidRPr="00CA0B18">
        <w:rPr>
          <w:rFonts w:asciiTheme="minorHAnsi" w:hAnsiTheme="minorHAnsi" w:cstheme="minorHAnsi"/>
          <w:sz w:val="24"/>
          <w:szCs w:val="24"/>
        </w:rPr>
        <w:t xml:space="preserve">About </w:t>
      </w:r>
      <w:r w:rsidR="00E951E8" w:rsidRPr="00CA0B18">
        <w:rPr>
          <w:rFonts w:asciiTheme="minorHAnsi" w:hAnsiTheme="minorHAnsi" w:cstheme="minorHAnsi"/>
          <w:sz w:val="24"/>
          <w:szCs w:val="24"/>
        </w:rPr>
        <w:t xml:space="preserve">UNCTAD </w:t>
      </w:r>
      <w:r w:rsidR="00C211A0" w:rsidRPr="00CA0B18">
        <w:rPr>
          <w:rFonts w:asciiTheme="minorHAnsi" w:hAnsiTheme="minorHAnsi" w:cstheme="minorHAnsi"/>
          <w:sz w:val="24"/>
          <w:szCs w:val="24"/>
        </w:rPr>
        <w:t xml:space="preserve">BioTrade </w:t>
      </w:r>
      <w:r w:rsidR="00E951E8" w:rsidRPr="00CA0B18">
        <w:rPr>
          <w:rFonts w:asciiTheme="minorHAnsi" w:hAnsiTheme="minorHAnsi" w:cstheme="minorHAnsi"/>
          <w:sz w:val="24"/>
          <w:szCs w:val="24"/>
        </w:rPr>
        <w:t>and partners</w:t>
      </w:r>
    </w:p>
    <w:p w14:paraId="37519922" w14:textId="77777777" w:rsidR="00D93FDD" w:rsidRPr="00CA0B18" w:rsidRDefault="00D93FDD" w:rsidP="006279FE">
      <w:pPr>
        <w:spacing w:after="0" w:line="240" w:lineRule="auto"/>
        <w:jc w:val="both"/>
        <w:rPr>
          <w:rFonts w:cstheme="minorHAnsi"/>
          <w:lang w:val="en-US"/>
        </w:rPr>
      </w:pPr>
    </w:p>
    <w:p w14:paraId="0DB9980C" w14:textId="77777777" w:rsidR="00C47313" w:rsidRPr="00CA0B18" w:rsidRDefault="00C211A0" w:rsidP="006279FE">
      <w:pPr>
        <w:spacing w:after="0" w:line="240" w:lineRule="auto"/>
        <w:jc w:val="both"/>
        <w:rPr>
          <w:rFonts w:cstheme="minorHAnsi"/>
          <w:lang w:val="en-US"/>
        </w:rPr>
      </w:pPr>
      <w:r w:rsidRPr="00CA0B18">
        <w:rPr>
          <w:rFonts w:cstheme="minorHAnsi"/>
          <w:lang w:val="en-US"/>
        </w:rPr>
        <w:t>For over two decades, UNCTAD’s BioTrade Initiative and its partners have been building the business case for trade as a positive incentive to enhance the importance of biodiversity for economic growth in developing countries, particularly those endowed with rich natural resources.</w:t>
      </w:r>
      <w:r w:rsidRPr="00CA0B18">
        <w:rPr>
          <w:rStyle w:val="FootnoteReference"/>
          <w:rFonts w:cstheme="minorHAnsi"/>
        </w:rPr>
        <w:footnoteReference w:id="11"/>
      </w:r>
      <w:r w:rsidRPr="00CA0B18">
        <w:rPr>
          <w:rFonts w:cstheme="minorHAnsi"/>
          <w:lang w:val="en-US"/>
        </w:rPr>
        <w:t xml:space="preserve"> </w:t>
      </w:r>
    </w:p>
    <w:p w14:paraId="15EED23F" w14:textId="77777777" w:rsidR="00C47313" w:rsidRPr="00CA0B18" w:rsidRDefault="00C47313" w:rsidP="006279FE">
      <w:pPr>
        <w:spacing w:after="0" w:line="240" w:lineRule="auto"/>
        <w:jc w:val="both"/>
        <w:rPr>
          <w:rFonts w:cstheme="minorHAnsi"/>
          <w:lang w:val="en-US"/>
        </w:rPr>
      </w:pPr>
    </w:p>
    <w:p w14:paraId="43CEF222" w14:textId="6D736B32" w:rsidR="006B7072" w:rsidRPr="00CA0B18" w:rsidRDefault="00C4210A" w:rsidP="006279FE">
      <w:pPr>
        <w:spacing w:after="0" w:line="240" w:lineRule="auto"/>
        <w:jc w:val="both"/>
        <w:rPr>
          <w:rFonts w:cstheme="minorHAnsi"/>
          <w:lang w:val="en-US"/>
        </w:rPr>
      </w:pPr>
      <w:r w:rsidRPr="00F56952">
        <w:rPr>
          <w:rFonts w:cstheme="minorHAnsi"/>
          <w:b/>
          <w:lang w:val="en-US"/>
        </w:rPr>
        <w:t>UNCTAD</w:t>
      </w:r>
      <w:r w:rsidRPr="00CA0B18">
        <w:rPr>
          <w:rFonts w:cstheme="minorHAnsi"/>
          <w:lang w:val="en-US"/>
        </w:rPr>
        <w:t xml:space="preserve"> has repeatedly affirmed the positive role of trade in sustainably sourced biodiversity products for development (e.g. the 2008 Accra Declaration, 2012 Doha Declaration and 2016 Nairobi </w:t>
      </w:r>
      <w:proofErr w:type="spellStart"/>
      <w:r w:rsidRPr="00CA0B18">
        <w:rPr>
          <w:rFonts w:cstheme="minorHAnsi"/>
          <w:lang w:val="en-US"/>
        </w:rPr>
        <w:t>Maafikiano</w:t>
      </w:r>
      <w:proofErr w:type="spellEnd"/>
      <w:r w:rsidRPr="00CA0B18">
        <w:rPr>
          <w:rFonts w:cstheme="minorHAnsi"/>
          <w:lang w:val="en-US"/>
        </w:rPr>
        <w:t>). UNCTAD’s important role in promoting trade in biodiversity products and services produced in a sustainable manner has also been reaffirmed for over a decade, including at UNCTAD XIV in 2016, where UNCTAD’s 195 Member States recalled the need for UNCTAD to “[p]</w:t>
      </w:r>
      <w:proofErr w:type="spellStart"/>
      <w:r w:rsidRPr="00CA0B18">
        <w:rPr>
          <w:rFonts w:cstheme="minorHAnsi"/>
          <w:lang w:val="en-US"/>
        </w:rPr>
        <w:t>romote</w:t>
      </w:r>
      <w:proofErr w:type="spellEnd"/>
      <w:r w:rsidRPr="00CA0B18">
        <w:rPr>
          <w:rFonts w:cstheme="minorHAnsi"/>
          <w:lang w:val="en-US"/>
        </w:rPr>
        <w:t xml:space="preserve"> sustainable trade in </w:t>
      </w:r>
      <w:r w:rsidRPr="00CA0B18">
        <w:rPr>
          <w:rStyle w:val="highlight"/>
          <w:rFonts w:cstheme="minorHAnsi"/>
          <w:lang w:val="en-US"/>
        </w:rPr>
        <w:t>biodiversity</w:t>
      </w:r>
      <w:r w:rsidRPr="00CA0B18">
        <w:rPr>
          <w:rFonts w:cstheme="minorHAnsi"/>
          <w:lang w:val="en-US"/>
        </w:rPr>
        <w:t xml:space="preserve"> products and services to strengthen the sustainability of </w:t>
      </w:r>
      <w:r w:rsidRPr="00CA0B18">
        <w:rPr>
          <w:rStyle w:val="highlight"/>
          <w:rFonts w:cstheme="minorHAnsi"/>
          <w:lang w:val="en-US"/>
        </w:rPr>
        <w:t>biodiversity</w:t>
      </w:r>
      <w:r w:rsidRPr="00CA0B18">
        <w:rPr>
          <w:rFonts w:cstheme="minorHAnsi"/>
          <w:lang w:val="en-US"/>
        </w:rPr>
        <w:t xml:space="preserve"> and foster sustainable growth, in close cooperation with other relevant agencies where appropriate.”</w:t>
      </w:r>
      <w:r w:rsidRPr="00CA0B18">
        <w:rPr>
          <w:rStyle w:val="FootnoteReference"/>
          <w:rFonts w:cstheme="minorHAnsi"/>
        </w:rPr>
        <w:footnoteReference w:id="12"/>
      </w:r>
      <w:r w:rsidR="00040856" w:rsidRPr="00CA0B18">
        <w:rPr>
          <w:rFonts w:cstheme="minorHAnsi"/>
          <w:lang w:val="en-US"/>
        </w:rPr>
        <w:t xml:space="preserve"> </w:t>
      </w:r>
    </w:p>
    <w:p w14:paraId="083CE5F0" w14:textId="77777777" w:rsidR="007843E2" w:rsidRDefault="007843E2" w:rsidP="006279FE">
      <w:pPr>
        <w:spacing w:after="0" w:line="240" w:lineRule="auto"/>
        <w:jc w:val="both"/>
        <w:rPr>
          <w:rFonts w:cstheme="minorHAnsi"/>
          <w:lang w:val="en-US"/>
        </w:rPr>
      </w:pPr>
    </w:p>
    <w:p w14:paraId="336908D5" w14:textId="70B5C469" w:rsidR="001569C4" w:rsidRPr="00CA0B18" w:rsidRDefault="00C211A0" w:rsidP="006279FE">
      <w:pPr>
        <w:spacing w:after="0" w:line="240" w:lineRule="auto"/>
        <w:jc w:val="both"/>
        <w:rPr>
          <w:rFonts w:cstheme="minorHAnsi"/>
          <w:lang w:val="en-US"/>
        </w:rPr>
      </w:pPr>
      <w:r w:rsidRPr="00CA0B18">
        <w:rPr>
          <w:rFonts w:cstheme="minorHAnsi"/>
          <w:lang w:val="en-US"/>
        </w:rPr>
        <w:t xml:space="preserve">Formal cooperation </w:t>
      </w:r>
      <w:r w:rsidR="00D535FB" w:rsidRPr="00CA0B18">
        <w:rPr>
          <w:rFonts w:cstheme="minorHAnsi"/>
          <w:lang w:val="en-US"/>
        </w:rPr>
        <w:t xml:space="preserve">exists </w:t>
      </w:r>
      <w:r w:rsidRPr="00CA0B18">
        <w:rPr>
          <w:rFonts w:cstheme="minorHAnsi"/>
          <w:lang w:val="en-US"/>
        </w:rPr>
        <w:t xml:space="preserve">between </w:t>
      </w:r>
      <w:r w:rsidR="00354ED6" w:rsidRPr="00CA0B18">
        <w:rPr>
          <w:rFonts w:cstheme="minorHAnsi"/>
          <w:lang w:val="en-US"/>
        </w:rPr>
        <w:t xml:space="preserve">UNCTAD and biodiversity-related MEAs, including </w:t>
      </w:r>
      <w:r w:rsidR="00354ED6" w:rsidRPr="00F56952">
        <w:rPr>
          <w:rFonts w:cstheme="minorHAnsi"/>
          <w:b/>
          <w:lang w:val="en-US"/>
        </w:rPr>
        <w:t>CBD</w:t>
      </w:r>
      <w:r w:rsidR="00D535FB" w:rsidRPr="00CA0B18">
        <w:rPr>
          <w:rFonts w:cstheme="minorHAnsi"/>
          <w:lang w:val="en-US"/>
        </w:rPr>
        <w:t xml:space="preserve"> and the </w:t>
      </w:r>
      <w:r w:rsidR="00D535FB" w:rsidRPr="00F56952">
        <w:rPr>
          <w:rFonts w:cstheme="minorHAnsi"/>
          <w:b/>
          <w:lang w:val="en-US"/>
        </w:rPr>
        <w:t>Convention on International Trade in Endangered Species of Wild Fauna and Flora (CITES)</w:t>
      </w:r>
      <w:r w:rsidR="00354ED6" w:rsidRPr="00F56952">
        <w:rPr>
          <w:rFonts w:cstheme="minorHAnsi"/>
          <w:b/>
          <w:lang w:val="en-US"/>
        </w:rPr>
        <w:t>.</w:t>
      </w:r>
      <w:r w:rsidR="00354ED6" w:rsidRPr="00CA0B18">
        <w:rPr>
          <w:rFonts w:cstheme="minorHAnsi"/>
          <w:lang w:val="en-US"/>
        </w:rPr>
        <w:t xml:space="preserve"> The collaboration between </w:t>
      </w:r>
      <w:r w:rsidRPr="00CA0B18">
        <w:rPr>
          <w:rFonts w:cstheme="minorHAnsi"/>
          <w:lang w:val="en-US"/>
        </w:rPr>
        <w:t>CBD Secretariat and UNCTAD on BioTrade goes back to October 1997, and has been affirmed and strengthened in numerous COP decisions since then.</w:t>
      </w:r>
      <w:r w:rsidR="00354ED6" w:rsidRPr="00CA0B18">
        <w:rPr>
          <w:rFonts w:cstheme="minorHAnsi"/>
          <w:lang w:val="en-US"/>
        </w:rPr>
        <w:t xml:space="preserve"> Similarly, the long-standing partnership between CITES and UNCTAD aims to ensuring the conservation of species, enhancing the livelihoods of the poor in remote and marginal areas, and promoting business opportunities for </w:t>
      </w:r>
      <w:r w:rsidR="0042106A" w:rsidRPr="00CA0B18">
        <w:rPr>
          <w:rFonts w:cstheme="minorHAnsi"/>
          <w:lang w:val="en-US"/>
        </w:rPr>
        <w:t>entrepreneurs that</w:t>
      </w:r>
      <w:r w:rsidR="00354ED6" w:rsidRPr="00CA0B18">
        <w:rPr>
          <w:rFonts w:cstheme="minorHAnsi"/>
          <w:lang w:val="en-US"/>
        </w:rPr>
        <w:t xml:space="preserve"> comply with CITES requirements and national legislation. </w:t>
      </w:r>
    </w:p>
    <w:p w14:paraId="147D510C" w14:textId="77777777" w:rsidR="001569C4" w:rsidRPr="00CA0B18" w:rsidRDefault="001569C4" w:rsidP="006279FE">
      <w:pPr>
        <w:spacing w:after="0" w:line="240" w:lineRule="auto"/>
        <w:jc w:val="both"/>
        <w:rPr>
          <w:rFonts w:cstheme="minorHAnsi"/>
          <w:lang w:val="en-US"/>
        </w:rPr>
      </w:pPr>
    </w:p>
    <w:p w14:paraId="1B18757C" w14:textId="3C69E372" w:rsidR="0013239C" w:rsidRPr="00CA0B18" w:rsidRDefault="0013239C" w:rsidP="0013239C">
      <w:pPr>
        <w:spacing w:after="0" w:line="240" w:lineRule="auto"/>
        <w:jc w:val="both"/>
        <w:rPr>
          <w:rFonts w:cstheme="minorHAnsi"/>
          <w:shd w:val="clear" w:color="auto" w:fill="FFFFFF"/>
          <w:lang w:val="en-US"/>
        </w:rPr>
      </w:pPr>
      <w:r w:rsidRPr="00CA0B18">
        <w:rPr>
          <w:rFonts w:cstheme="minorHAnsi"/>
          <w:lang w:val="en-US"/>
        </w:rPr>
        <w:t xml:space="preserve">The </w:t>
      </w:r>
      <w:r w:rsidR="00171BEA">
        <w:rPr>
          <w:rFonts w:cstheme="minorHAnsi"/>
          <w:b/>
          <w:lang w:val="en-US"/>
        </w:rPr>
        <w:t>D</w:t>
      </w:r>
      <w:r w:rsidRPr="00F56952">
        <w:rPr>
          <w:rFonts w:cstheme="minorHAnsi"/>
          <w:b/>
          <w:lang w:val="en-US"/>
        </w:rPr>
        <w:t xml:space="preserve">evelopment </w:t>
      </w:r>
      <w:r w:rsidR="00171BEA">
        <w:rPr>
          <w:rFonts w:cstheme="minorHAnsi"/>
          <w:b/>
          <w:lang w:val="en-US"/>
        </w:rPr>
        <w:t>B</w:t>
      </w:r>
      <w:r w:rsidRPr="00F56952">
        <w:rPr>
          <w:rFonts w:cstheme="minorHAnsi"/>
          <w:b/>
          <w:lang w:val="en-US"/>
        </w:rPr>
        <w:t>ank of Latin America (CAF)</w:t>
      </w:r>
      <w:r w:rsidRPr="00CA0B18">
        <w:rPr>
          <w:rFonts w:cstheme="minorHAnsi"/>
          <w:lang w:val="en-US"/>
        </w:rPr>
        <w:t xml:space="preserve"> is also a key partner under BioTrade and has implemented the CAF-GEF-UNEP regional BioTrade Project (see </w:t>
      </w:r>
      <w:hyperlink r:id="rId12" w:history="1">
        <w:r w:rsidRPr="00CA0B18">
          <w:rPr>
            <w:rStyle w:val="Hyperlink"/>
            <w:rFonts w:cstheme="minorHAnsi"/>
            <w:lang w:val="en-US"/>
          </w:rPr>
          <w:t>www.andeanbiotrade.org</w:t>
        </w:r>
      </w:hyperlink>
      <w:r w:rsidRPr="00CA0B18">
        <w:rPr>
          <w:rFonts w:cstheme="minorHAnsi"/>
          <w:lang w:val="en-US"/>
        </w:rPr>
        <w:t xml:space="preserve">). Jointly </w:t>
      </w:r>
      <w:r w:rsidRPr="00CA0B18">
        <w:rPr>
          <w:rFonts w:cstheme="minorHAnsi"/>
          <w:lang w:val="en-US"/>
        </w:rPr>
        <w:lastRenderedPageBreak/>
        <w:t xml:space="preserve">with CITES Secretariat, UNCTAD and the </w:t>
      </w:r>
      <w:r w:rsidRPr="00CA0B18">
        <w:rPr>
          <w:rFonts w:cstheme="minorHAnsi"/>
          <w:bCs/>
          <w:lang w:val="en-US"/>
        </w:rPr>
        <w:t>International Oceans Institute</w:t>
      </w:r>
      <w:r w:rsidRPr="00CA0B18">
        <w:rPr>
          <w:rFonts w:cstheme="minorHAnsi"/>
          <w:bCs/>
          <w:lang w:val="en-CA"/>
        </w:rPr>
        <w:t>,</w:t>
      </w:r>
      <w:r w:rsidRPr="00CA0B18">
        <w:rPr>
          <w:rFonts w:cstheme="minorHAnsi"/>
          <w:lang w:val="en-US"/>
        </w:rPr>
        <w:t xml:space="preserve"> CAF is also fostering the development of </w:t>
      </w:r>
      <w:r w:rsidRPr="00CA0B18">
        <w:rPr>
          <w:rFonts w:cstheme="minorHAnsi"/>
          <w:bCs/>
          <w:lang w:val="en-US"/>
        </w:rPr>
        <w:t xml:space="preserve">Blue BioTrade to </w:t>
      </w:r>
      <w:r w:rsidRPr="00CA0B18">
        <w:rPr>
          <w:rFonts w:cstheme="minorHAnsi"/>
          <w:shd w:val="clear" w:color="auto" w:fill="FFFFFF"/>
          <w:lang w:val="en-US"/>
        </w:rPr>
        <w:t xml:space="preserve">promote sustainable and equitable economic sectors and value chains </w:t>
      </w:r>
      <w:r w:rsidRPr="00CA0B18">
        <w:rPr>
          <w:rFonts w:cstheme="minorHAnsi"/>
          <w:shd w:val="clear" w:color="auto" w:fill="FFFFFF"/>
          <w:lang w:val="en-CA"/>
        </w:rPr>
        <w:t xml:space="preserve">based </w:t>
      </w:r>
      <w:r w:rsidRPr="00CA0B18">
        <w:rPr>
          <w:rFonts w:cstheme="minorHAnsi"/>
          <w:shd w:val="clear" w:color="auto" w:fill="FFFFFF"/>
          <w:lang w:val="en-US"/>
        </w:rPr>
        <w:t>on marine and coastal resources</w:t>
      </w:r>
      <w:r w:rsidRPr="00CA0B18">
        <w:rPr>
          <w:rStyle w:val="FootnoteReference"/>
          <w:rFonts w:cstheme="minorHAnsi"/>
          <w:shd w:val="clear" w:color="auto" w:fill="FFFFFF"/>
        </w:rPr>
        <w:footnoteReference w:id="13"/>
      </w:r>
      <w:r w:rsidRPr="00CA0B18">
        <w:rPr>
          <w:rFonts w:cstheme="minorHAnsi"/>
          <w:shd w:val="clear" w:color="auto" w:fill="FFFFFF"/>
          <w:lang w:val="en-US"/>
        </w:rPr>
        <w:t xml:space="preserve">. </w:t>
      </w:r>
    </w:p>
    <w:p w14:paraId="4E073114" w14:textId="77777777" w:rsidR="0013239C" w:rsidRPr="00CA0B18" w:rsidRDefault="0013239C" w:rsidP="0013239C">
      <w:pPr>
        <w:spacing w:after="0" w:line="240" w:lineRule="auto"/>
        <w:jc w:val="both"/>
        <w:rPr>
          <w:rFonts w:cstheme="minorHAnsi"/>
          <w:b/>
          <w:shd w:val="clear" w:color="auto" w:fill="FFFFFF"/>
          <w:lang w:val="en-US"/>
        </w:rPr>
      </w:pPr>
    </w:p>
    <w:p w14:paraId="716CACAC" w14:textId="6B2101F3" w:rsidR="00795029" w:rsidRPr="00B81775" w:rsidRDefault="00795029" w:rsidP="007950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lang w:val="en-US"/>
        </w:rPr>
      </w:pPr>
      <w:r w:rsidRPr="00CA0B18">
        <w:rPr>
          <w:rFonts w:cstheme="minorHAnsi"/>
          <w:lang w:val="en-US"/>
        </w:rPr>
        <w:t xml:space="preserve">Other key partner is </w:t>
      </w:r>
      <w:proofErr w:type="spellStart"/>
      <w:r w:rsidRPr="00B81775">
        <w:rPr>
          <w:rFonts w:cstheme="minorHAnsi"/>
          <w:b/>
          <w:lang w:val="en-US"/>
        </w:rPr>
        <w:t>PromPerú</w:t>
      </w:r>
      <w:proofErr w:type="spellEnd"/>
      <w:r w:rsidRPr="00B81775">
        <w:rPr>
          <w:rFonts w:cstheme="minorHAnsi"/>
          <w:lang w:val="en-US"/>
        </w:rPr>
        <w:t>, is an agency attached to the Ministry of Foreign Trade and Tourism. It seeks to promote the criteria of environmental, social and economic sustainability within the productive processes of exporting companies, increasing the competitiveness of the goods and services that are offered in international markets. The institut</w:t>
      </w:r>
      <w:bookmarkStart w:id="0" w:name="_GoBack"/>
      <w:bookmarkEnd w:id="0"/>
      <w:r w:rsidRPr="00B81775">
        <w:rPr>
          <w:rFonts w:cstheme="minorHAnsi"/>
          <w:lang w:val="en-US"/>
        </w:rPr>
        <w:t>ion seeks to strengthen national capacities by contributing to the development of programs in regions that promote BioTrade, in compliance with the National BioTrade Strategy and Action Plan by 2021, articulating with other institutions</w:t>
      </w:r>
      <w:r>
        <w:rPr>
          <w:rFonts w:cstheme="minorHAnsi"/>
          <w:lang w:val="en-US"/>
        </w:rPr>
        <w:t>.</w:t>
      </w:r>
    </w:p>
    <w:p w14:paraId="2CA528AA" w14:textId="77777777" w:rsidR="0013239C" w:rsidRPr="00CA0B18" w:rsidRDefault="0013239C" w:rsidP="006279FE">
      <w:pPr>
        <w:spacing w:after="0" w:line="240" w:lineRule="auto"/>
        <w:jc w:val="both"/>
        <w:rPr>
          <w:rFonts w:cstheme="minorHAnsi"/>
          <w:lang w:val="en-US"/>
        </w:rPr>
      </w:pPr>
    </w:p>
    <w:p w14:paraId="39F68DBB" w14:textId="50D7CB95" w:rsidR="001569C4" w:rsidRPr="00CA0B18" w:rsidRDefault="001569C4" w:rsidP="006279FE">
      <w:pPr>
        <w:spacing w:after="0" w:line="240" w:lineRule="auto"/>
        <w:jc w:val="both"/>
        <w:rPr>
          <w:rFonts w:cstheme="minorHAnsi"/>
          <w:lang w:val="en-US"/>
        </w:rPr>
      </w:pPr>
      <w:r w:rsidRPr="00CA0B18">
        <w:rPr>
          <w:rFonts w:cstheme="minorHAnsi"/>
          <w:lang w:val="en-US"/>
        </w:rPr>
        <w:t xml:space="preserve">In 2007, the UNCTAD BioTrade Initiative supported the creation of the </w:t>
      </w:r>
      <w:r w:rsidRPr="00F56952">
        <w:rPr>
          <w:rFonts w:cstheme="minorHAnsi"/>
          <w:b/>
          <w:lang w:val="en-US"/>
        </w:rPr>
        <w:t>Union for Ethical BioTrade (UEBT),</w:t>
      </w:r>
      <w:r w:rsidRPr="00CA0B18">
        <w:rPr>
          <w:rFonts w:cstheme="minorHAnsi"/>
          <w:lang w:val="en-US"/>
        </w:rPr>
        <w:t xml:space="preserve"> a non-profit association that promotes “sourcing with respect” of ingredients from biodiversity. UEBT supports and verifies companies’ commitments to Ethical BioTrade - innovation and sourcing practices that contribute to a world in which people and biodiversity thrive. Working with UEBT is a way for businesses to demonstrate impact to consumers, governments and other supply chain actors. A key initiative of the UEBT</w:t>
      </w:r>
      <w:r w:rsidR="00D535FB" w:rsidRPr="00CA0B18">
        <w:rPr>
          <w:rFonts w:cstheme="minorHAnsi"/>
          <w:lang w:val="en-US"/>
        </w:rPr>
        <w:t xml:space="preserve">, </w:t>
      </w:r>
      <w:r w:rsidRPr="00CA0B18">
        <w:rPr>
          <w:rFonts w:cstheme="minorHAnsi"/>
          <w:lang w:val="en-US"/>
        </w:rPr>
        <w:t xml:space="preserve">is the Biodiversity Barometer which is </w:t>
      </w:r>
      <w:r w:rsidR="00C211A0" w:rsidRPr="00CA0B18">
        <w:rPr>
          <w:rFonts w:cstheme="minorHAnsi"/>
          <w:lang w:val="en-US"/>
        </w:rPr>
        <w:t>used as an indicator under the Aichi Target 1</w:t>
      </w:r>
      <w:r w:rsidR="00E951E8" w:rsidRPr="00CA0B18">
        <w:rPr>
          <w:rFonts w:cstheme="minorHAnsi"/>
          <w:lang w:val="en-US"/>
        </w:rPr>
        <w:t xml:space="preserve"> </w:t>
      </w:r>
      <w:r w:rsidR="00354ED6" w:rsidRPr="00CA0B18">
        <w:rPr>
          <w:rFonts w:cstheme="minorHAnsi"/>
          <w:lang w:val="en-US"/>
        </w:rPr>
        <w:t xml:space="preserve">which measures how </w:t>
      </w:r>
      <w:r w:rsidR="00F666A6" w:rsidRPr="00CA0B18">
        <w:rPr>
          <w:rFonts w:cstheme="minorHAnsi"/>
          <w:lang w:val="en-US"/>
        </w:rPr>
        <w:t>“</w:t>
      </w:r>
      <w:r w:rsidR="00354ED6" w:rsidRPr="00CA0B18">
        <w:rPr>
          <w:rFonts w:cstheme="minorHAnsi"/>
          <w:i/>
          <w:lang w:val="en-US"/>
        </w:rPr>
        <w:t>people are aware of the values of biodiversity and the steps they can take to conserve and use it sustainably</w:t>
      </w:r>
      <w:r w:rsidR="00354ED6" w:rsidRPr="00CA0B18">
        <w:rPr>
          <w:rFonts w:cstheme="minorHAnsi"/>
          <w:lang w:val="en-US"/>
        </w:rPr>
        <w:t>”</w:t>
      </w:r>
      <w:r w:rsidR="00354ED6" w:rsidRPr="00CA0B18">
        <w:rPr>
          <w:rStyle w:val="FootnoteReference"/>
          <w:rFonts w:cstheme="minorHAnsi"/>
          <w:lang w:val="en-US"/>
        </w:rPr>
        <w:footnoteReference w:id="14"/>
      </w:r>
      <w:r w:rsidR="00354ED6" w:rsidRPr="00CA0B18">
        <w:rPr>
          <w:rFonts w:cstheme="minorHAnsi"/>
          <w:lang w:val="en-US"/>
        </w:rPr>
        <w:t xml:space="preserve">. </w:t>
      </w:r>
      <w:r w:rsidR="0081039E" w:rsidRPr="00CA0B18">
        <w:rPr>
          <w:rFonts w:cstheme="minorHAnsi"/>
          <w:lang w:val="en-US"/>
        </w:rPr>
        <w:t xml:space="preserve"> </w:t>
      </w:r>
    </w:p>
    <w:p w14:paraId="38F314C0" w14:textId="77777777" w:rsidR="001569C4" w:rsidRPr="00CA0B18" w:rsidRDefault="001569C4" w:rsidP="006279FE">
      <w:pPr>
        <w:spacing w:after="0" w:line="240" w:lineRule="auto"/>
        <w:jc w:val="both"/>
        <w:rPr>
          <w:rFonts w:cstheme="minorHAnsi"/>
          <w:lang w:val="en-US"/>
        </w:rPr>
      </w:pPr>
    </w:p>
    <w:p w14:paraId="7D73AA86" w14:textId="4250FD95" w:rsidR="0013239C" w:rsidRPr="00CA0B18" w:rsidRDefault="002D2854" w:rsidP="006279FE">
      <w:pPr>
        <w:spacing w:after="0" w:line="240" w:lineRule="auto"/>
        <w:jc w:val="both"/>
        <w:rPr>
          <w:rFonts w:cstheme="minorHAnsi"/>
          <w:lang w:val="en-US"/>
        </w:rPr>
      </w:pPr>
      <w:r w:rsidRPr="00CA0B18">
        <w:rPr>
          <w:rFonts w:cstheme="minorHAnsi"/>
          <w:lang w:val="en-US"/>
        </w:rPr>
        <w:t xml:space="preserve">Finally, </w:t>
      </w:r>
      <w:r w:rsidR="001569C4" w:rsidRPr="00CA0B18">
        <w:rPr>
          <w:rFonts w:cstheme="minorHAnsi"/>
          <w:lang w:val="en-US"/>
        </w:rPr>
        <w:t xml:space="preserve">the </w:t>
      </w:r>
      <w:r w:rsidR="001569C4" w:rsidRPr="00F56952">
        <w:rPr>
          <w:rFonts w:cstheme="minorHAnsi"/>
          <w:b/>
          <w:lang w:val="en-US"/>
        </w:rPr>
        <w:t xml:space="preserve">Forum for Law, Environment, Development and Governance (FLEDGE) </w:t>
      </w:r>
      <w:r w:rsidR="00B129A4" w:rsidRPr="00B129A4">
        <w:rPr>
          <w:rFonts w:cstheme="minorHAnsi"/>
          <w:lang w:val="en-US"/>
        </w:rPr>
        <w:t>based in India, is</w:t>
      </w:r>
      <w:r w:rsidR="00B129A4">
        <w:rPr>
          <w:rFonts w:cstheme="minorHAnsi"/>
          <w:b/>
          <w:lang w:val="en-US"/>
        </w:rPr>
        <w:t xml:space="preserve"> </w:t>
      </w:r>
      <w:r w:rsidR="00B61307" w:rsidRPr="00CA0B18">
        <w:rPr>
          <w:rFonts w:cstheme="minorHAnsi"/>
          <w:lang w:val="en-US"/>
        </w:rPr>
        <w:t>also a BioTrade partner</w:t>
      </w:r>
      <w:r w:rsidR="00B129A4">
        <w:rPr>
          <w:rFonts w:cstheme="minorHAnsi"/>
          <w:lang w:val="en-US"/>
        </w:rPr>
        <w:t xml:space="preserve">. It </w:t>
      </w:r>
      <w:r w:rsidR="001569C4" w:rsidRPr="00CA0B18">
        <w:rPr>
          <w:rFonts w:cstheme="minorHAnsi"/>
          <w:lang w:val="en-US"/>
        </w:rPr>
        <w:t xml:space="preserve">contributes to issues of capacity building and awareness raising on </w:t>
      </w:r>
      <w:r w:rsidR="00C4210A" w:rsidRPr="00CA0B18">
        <w:rPr>
          <w:rFonts w:cstheme="minorHAnsi"/>
          <w:lang w:val="en-US"/>
        </w:rPr>
        <w:t>issues including links with ABS</w:t>
      </w:r>
      <w:r w:rsidR="0013239C" w:rsidRPr="00CA0B18">
        <w:rPr>
          <w:rFonts w:cstheme="minorHAnsi"/>
          <w:lang w:val="en-US"/>
        </w:rPr>
        <w:t>.</w:t>
      </w:r>
      <w:r w:rsidR="00C4210A" w:rsidRPr="00CA0B18">
        <w:rPr>
          <w:rFonts w:cstheme="minorHAnsi"/>
          <w:lang w:val="en-US"/>
        </w:rPr>
        <w:t xml:space="preserve"> </w:t>
      </w:r>
    </w:p>
    <w:p w14:paraId="6C7D2C23" w14:textId="77777777" w:rsidR="00D93FDD" w:rsidRPr="00F56952" w:rsidRDefault="00D93FDD" w:rsidP="006279FE">
      <w:pPr>
        <w:spacing w:after="0" w:line="240" w:lineRule="auto"/>
        <w:jc w:val="both"/>
        <w:rPr>
          <w:rFonts w:cstheme="minorHAnsi"/>
          <w:shd w:val="clear" w:color="auto" w:fill="FFFFFF"/>
          <w:lang w:val="en-US"/>
        </w:rPr>
      </w:pPr>
    </w:p>
    <w:p w14:paraId="595192A6" w14:textId="77777777" w:rsidR="00BA4702" w:rsidRPr="00CA0B18" w:rsidRDefault="00BA4702">
      <w:pPr>
        <w:rPr>
          <w:rFonts w:eastAsiaTheme="majorEastAsia" w:cstheme="minorHAnsi"/>
          <w:color w:val="2F5496" w:themeColor="accent1" w:themeShade="BF"/>
          <w:sz w:val="32"/>
          <w:szCs w:val="32"/>
          <w:lang w:val="en-US"/>
        </w:rPr>
      </w:pPr>
      <w:r w:rsidRPr="00CA0B18">
        <w:rPr>
          <w:rFonts w:cstheme="minorHAnsi"/>
          <w:lang w:val="en-US"/>
        </w:rPr>
        <w:br w:type="page"/>
      </w:r>
    </w:p>
    <w:p w14:paraId="3643744A" w14:textId="278E0E63" w:rsidR="00C0789D" w:rsidRPr="00CA0B18" w:rsidRDefault="00C0789D" w:rsidP="006279FE">
      <w:pPr>
        <w:pStyle w:val="Heading1"/>
        <w:spacing w:before="0"/>
        <w:rPr>
          <w:rFonts w:asciiTheme="minorHAnsi" w:hAnsiTheme="minorHAnsi" w:cstheme="minorHAnsi"/>
          <w:sz w:val="24"/>
          <w:szCs w:val="24"/>
        </w:rPr>
      </w:pPr>
      <w:r w:rsidRPr="00CA0B18">
        <w:rPr>
          <w:rFonts w:asciiTheme="minorHAnsi" w:hAnsiTheme="minorHAnsi" w:cstheme="minorHAnsi"/>
          <w:sz w:val="24"/>
          <w:szCs w:val="24"/>
        </w:rPr>
        <w:lastRenderedPageBreak/>
        <w:t>Annex 1.</w:t>
      </w:r>
      <w:r w:rsidR="00D93FDD" w:rsidRPr="00CA0B18">
        <w:rPr>
          <w:rFonts w:asciiTheme="minorHAnsi" w:hAnsiTheme="minorHAnsi" w:cstheme="minorHAnsi"/>
          <w:sz w:val="24"/>
          <w:szCs w:val="24"/>
        </w:rPr>
        <w:t xml:space="preserve">: </w:t>
      </w:r>
      <w:r w:rsidRPr="00CA0B18">
        <w:rPr>
          <w:rFonts w:asciiTheme="minorHAnsi" w:hAnsiTheme="minorHAnsi" w:cstheme="minorHAnsi"/>
          <w:sz w:val="24"/>
          <w:szCs w:val="24"/>
        </w:rPr>
        <w:t>COP Mandate</w:t>
      </w:r>
      <w:r w:rsidR="002C4922" w:rsidRPr="00CA0B18">
        <w:rPr>
          <w:rFonts w:asciiTheme="minorHAnsi" w:hAnsiTheme="minorHAnsi" w:cstheme="minorHAnsi"/>
          <w:sz w:val="24"/>
          <w:szCs w:val="24"/>
        </w:rPr>
        <w:t>s</w:t>
      </w:r>
    </w:p>
    <w:p w14:paraId="0039B4D4" w14:textId="77777777" w:rsidR="00D93FDD" w:rsidRPr="00CA0B18" w:rsidRDefault="00D93FDD" w:rsidP="006279FE">
      <w:pPr>
        <w:pStyle w:val="Heading3"/>
        <w:spacing w:before="0"/>
        <w:rPr>
          <w:rFonts w:asciiTheme="minorHAnsi" w:hAnsiTheme="minorHAnsi" w:cstheme="minorHAnsi"/>
          <w:sz w:val="22"/>
          <w:szCs w:val="22"/>
        </w:rPr>
      </w:pPr>
    </w:p>
    <w:p w14:paraId="54D118D8" w14:textId="75CD74E8" w:rsidR="00C0789D" w:rsidRPr="00CA0B18" w:rsidRDefault="00C0789D" w:rsidP="00150043">
      <w:pPr>
        <w:pStyle w:val="Heading2"/>
        <w:numPr>
          <w:ilvl w:val="0"/>
          <w:numId w:val="10"/>
        </w:numPr>
        <w:spacing w:before="0"/>
        <w:rPr>
          <w:rFonts w:asciiTheme="minorHAnsi" w:hAnsiTheme="minorHAnsi" w:cstheme="minorHAnsi"/>
          <w:sz w:val="22"/>
          <w:szCs w:val="22"/>
        </w:rPr>
      </w:pPr>
      <w:r w:rsidRPr="00CA0B18">
        <w:rPr>
          <w:rFonts w:asciiTheme="minorHAnsi" w:hAnsiTheme="minorHAnsi" w:cstheme="minorHAnsi"/>
          <w:sz w:val="22"/>
          <w:szCs w:val="22"/>
        </w:rPr>
        <w:t>Business/Private Sector Engagement</w:t>
      </w:r>
    </w:p>
    <w:p w14:paraId="74B2E7C3" w14:textId="0FCAA583" w:rsidR="00C0789D" w:rsidRPr="00CA0B18" w:rsidRDefault="00C0789D" w:rsidP="006279FE">
      <w:pPr>
        <w:spacing w:after="0" w:line="240" w:lineRule="auto"/>
        <w:jc w:val="both"/>
        <w:rPr>
          <w:rFonts w:cstheme="minorHAnsi"/>
          <w:lang w:val="en-US"/>
        </w:rPr>
      </w:pPr>
      <w:r w:rsidRPr="00CA0B18">
        <w:rPr>
          <w:rFonts w:cstheme="minorHAnsi"/>
          <w:lang w:val="en-US"/>
        </w:rPr>
        <w:t xml:space="preserve">The CBD COP has adopted numerous decisions on </w:t>
      </w:r>
      <w:proofErr w:type="spellStart"/>
      <w:r w:rsidRPr="00CA0B18">
        <w:rPr>
          <w:rFonts w:cstheme="minorHAnsi"/>
          <w:lang w:val="en-US"/>
        </w:rPr>
        <w:t>biotrade</w:t>
      </w:r>
      <w:proofErr w:type="spellEnd"/>
      <w:r w:rsidRPr="00CA0B18">
        <w:rPr>
          <w:rFonts w:cstheme="minorHAnsi"/>
          <w:lang w:val="en-US"/>
        </w:rPr>
        <w:t xml:space="preserve"> and the private sector for over a decade. These can be linked back to CBD Article 10(e), which calls on Parties to “as far as possible and as appropriate… encourage cooperation between its governmental authorities and its private sector in developing methods for sustainable use of biological resources.”</w:t>
      </w:r>
    </w:p>
    <w:p w14:paraId="74DE1945" w14:textId="77777777" w:rsidR="00D93FDD" w:rsidRPr="00CA0B18" w:rsidRDefault="00D93FDD" w:rsidP="006279FE">
      <w:pPr>
        <w:spacing w:after="0" w:line="240" w:lineRule="auto"/>
        <w:jc w:val="both"/>
        <w:rPr>
          <w:rFonts w:cstheme="minorHAnsi"/>
          <w:lang w:val="en-US"/>
        </w:rPr>
      </w:pPr>
    </w:p>
    <w:p w14:paraId="471C753C" w14:textId="7681EED0" w:rsidR="00D93FDD" w:rsidRPr="00CA0B18" w:rsidRDefault="00C0789D" w:rsidP="006279FE">
      <w:pPr>
        <w:spacing w:after="0" w:line="240" w:lineRule="auto"/>
        <w:jc w:val="both"/>
        <w:rPr>
          <w:rFonts w:cstheme="minorHAnsi"/>
          <w:lang w:val="en-US"/>
        </w:rPr>
      </w:pPr>
      <w:r w:rsidRPr="00CA0B18">
        <w:rPr>
          <w:rFonts w:cstheme="minorHAnsi"/>
          <w:lang w:val="en-US"/>
        </w:rPr>
        <w:t>COP 8 noted “that further  work  on  ways  and  means  of  supporting  small and  medium-sized  enterprises with  environmentally  sound  products,  such  as  that  developed  by  the  UNCTAD  BioTrade  Initiative, would help to promote good biodiversity practice among business and industry.”</w:t>
      </w:r>
      <w:r w:rsidRPr="00CA0B18">
        <w:rPr>
          <w:rStyle w:val="FootnoteReference"/>
          <w:rFonts w:cstheme="minorHAnsi"/>
        </w:rPr>
        <w:footnoteReference w:id="15"/>
      </w:r>
      <w:r w:rsidRPr="00CA0B18">
        <w:rPr>
          <w:rFonts w:cstheme="minorHAnsi"/>
          <w:lang w:val="en-US"/>
        </w:rPr>
        <w:t xml:space="preserve"> COP 9 called for the continued “compilation and dissemination of information on the business case for biodiversity, including experiences generated in the framework of the UNCTAD Biotrade Initiative, through the clearing-house mechanism, the CBD newsletter on business, and mainstream business forums”</w:t>
      </w:r>
      <w:r w:rsidRPr="00CA0B18">
        <w:rPr>
          <w:rStyle w:val="FootnoteReference"/>
          <w:rFonts w:cstheme="minorHAnsi"/>
        </w:rPr>
        <w:footnoteReference w:id="16"/>
      </w:r>
      <w:r w:rsidRPr="00CA0B18">
        <w:rPr>
          <w:rFonts w:cstheme="minorHAnsi"/>
          <w:lang w:val="en-US"/>
        </w:rPr>
        <w:t xml:space="preserve"> and dissemination of “tools and best practice of companies involved in </w:t>
      </w:r>
      <w:proofErr w:type="spellStart"/>
      <w:r w:rsidRPr="00CA0B18">
        <w:rPr>
          <w:rFonts w:cstheme="minorHAnsi"/>
          <w:lang w:val="en-US"/>
        </w:rPr>
        <w:t>biotrade</w:t>
      </w:r>
      <w:proofErr w:type="spellEnd"/>
      <w:r w:rsidRPr="00CA0B18">
        <w:rPr>
          <w:rFonts w:cstheme="minorHAnsi"/>
          <w:lang w:val="en-US"/>
        </w:rPr>
        <w:t>.”</w:t>
      </w:r>
      <w:r w:rsidRPr="00CA0B18">
        <w:rPr>
          <w:rStyle w:val="FootnoteReference"/>
          <w:rFonts w:cstheme="minorHAnsi"/>
        </w:rPr>
        <w:footnoteReference w:id="17"/>
      </w:r>
      <w:r w:rsidRPr="00CA0B18">
        <w:rPr>
          <w:rFonts w:cstheme="minorHAnsi"/>
          <w:lang w:val="en-US"/>
        </w:rPr>
        <w:t xml:space="preserve"> COP 10 recognized the relevance of existing developments and work processes under various forums and relevant international organizations, including the BioTrade Initiative, and invited Parties to “identify a range of options for incorporating biodiversity into business practices that take into account existing developments under various forums, including relevant institutions and </w:t>
      </w:r>
      <w:r w:rsidR="0042106A" w:rsidRPr="00CA0B18">
        <w:rPr>
          <w:rFonts w:cstheme="minorHAnsi"/>
          <w:lang w:val="en-US"/>
        </w:rPr>
        <w:t>non-governmental</w:t>
      </w:r>
      <w:r w:rsidRPr="00CA0B18">
        <w:rPr>
          <w:rFonts w:cstheme="minorHAnsi"/>
          <w:lang w:val="en-US"/>
        </w:rPr>
        <w:t xml:space="preserve"> organizations, such … the Biotrade Initiative of [UNCTAD].”</w:t>
      </w:r>
      <w:r w:rsidRPr="00CA0B18">
        <w:rPr>
          <w:rStyle w:val="FootnoteReference"/>
          <w:rFonts w:cstheme="minorHAnsi"/>
          <w:lang w:val="en-US"/>
        </w:rPr>
        <w:footnoteReference w:id="18"/>
      </w:r>
      <w:r w:rsidRPr="00CA0B18">
        <w:rPr>
          <w:rFonts w:cstheme="minorHAnsi"/>
          <w:lang w:val="en-US"/>
        </w:rPr>
        <w:t xml:space="preserve"> </w:t>
      </w:r>
    </w:p>
    <w:p w14:paraId="5446C4E9" w14:textId="77777777" w:rsidR="00D93FDD" w:rsidRPr="00CA0B18" w:rsidRDefault="00D93FDD" w:rsidP="006279FE">
      <w:pPr>
        <w:spacing w:after="0" w:line="240" w:lineRule="auto"/>
        <w:jc w:val="both"/>
        <w:rPr>
          <w:rFonts w:cstheme="minorHAnsi"/>
          <w:lang w:val="en-US"/>
        </w:rPr>
      </w:pPr>
    </w:p>
    <w:p w14:paraId="368AEE07" w14:textId="78A81F91" w:rsidR="00C0789D" w:rsidRPr="00CA0B18" w:rsidRDefault="00C0789D" w:rsidP="006279FE">
      <w:pPr>
        <w:spacing w:after="0" w:line="240" w:lineRule="auto"/>
        <w:jc w:val="both"/>
        <w:rPr>
          <w:rFonts w:cstheme="minorHAnsi"/>
        </w:rPr>
      </w:pPr>
      <w:r w:rsidRPr="00CA0B18">
        <w:rPr>
          <w:rFonts w:cstheme="minorHAnsi"/>
          <w:lang w:val="en-US"/>
        </w:rPr>
        <w:t xml:space="preserve">COP 12 encouraged businesses to “increase, as appropriate, participation in and cooperation with the BioTrade Initiative of [UNCTAD], and initiatives of other organizations involved in </w:t>
      </w:r>
      <w:proofErr w:type="spellStart"/>
      <w:r w:rsidRPr="00CA0B18">
        <w:rPr>
          <w:rFonts w:cstheme="minorHAnsi"/>
          <w:lang w:val="en-US"/>
        </w:rPr>
        <w:t>biotrade</w:t>
      </w:r>
      <w:proofErr w:type="spellEnd"/>
      <w:r w:rsidRPr="00CA0B18">
        <w:rPr>
          <w:rFonts w:cstheme="minorHAnsi"/>
          <w:lang w:val="en-US"/>
        </w:rPr>
        <w:t>, at the national, regional and global levels, that are committed to the sustainable use  of biodiversity, sustainable harvesting practices, and access and benefit - sharing under the framework of the Nagoya Protocol on Access to Genetic Resources and the Fair and Equitable Sharing of Benefits Arising from their Utilization.”</w:t>
      </w:r>
      <w:r w:rsidRPr="00CA0B18">
        <w:rPr>
          <w:rStyle w:val="FootnoteReference"/>
          <w:rFonts w:cstheme="minorHAnsi"/>
          <w:lang w:val="en-US"/>
        </w:rPr>
        <w:footnoteReference w:id="19"/>
      </w:r>
      <w:r w:rsidRPr="00CA0B18">
        <w:rPr>
          <w:rFonts w:cstheme="minorHAnsi"/>
          <w:lang w:val="en-US"/>
        </w:rPr>
        <w:t xml:space="preserve"> Most </w:t>
      </w:r>
      <w:r w:rsidR="0042106A" w:rsidRPr="00CA0B18">
        <w:rPr>
          <w:rFonts w:cstheme="minorHAnsi"/>
          <w:lang w:val="en-US"/>
        </w:rPr>
        <w:t>recently</w:t>
      </w:r>
      <w:r w:rsidRPr="00CA0B18">
        <w:rPr>
          <w:rFonts w:cstheme="minorHAnsi"/>
          <w:lang w:val="en-US"/>
        </w:rPr>
        <w:t xml:space="preserve">, COP 14 acknowledged “the work of various international organizations, relevant partner organizations and initiatives to advance  biodiversity-related practices by businesses, such as that of.. </w:t>
      </w:r>
      <w:r w:rsidRPr="00CA0B18">
        <w:rPr>
          <w:rFonts w:cstheme="minorHAnsi"/>
        </w:rPr>
        <w:t>[UNCTAD] and its BioTrade Initiative.”</w:t>
      </w:r>
      <w:r w:rsidRPr="00CA0B18">
        <w:rPr>
          <w:rStyle w:val="FootnoteReference"/>
          <w:rFonts w:cstheme="minorHAnsi"/>
          <w:lang w:val="en-US"/>
        </w:rPr>
        <w:footnoteReference w:id="20"/>
      </w:r>
    </w:p>
    <w:p w14:paraId="3928DAF8" w14:textId="77777777" w:rsidR="00D93FDD" w:rsidRPr="00CA0B18" w:rsidRDefault="00D93FDD" w:rsidP="006279FE">
      <w:pPr>
        <w:pStyle w:val="Heading2"/>
        <w:spacing w:before="0"/>
        <w:rPr>
          <w:rFonts w:asciiTheme="minorHAnsi" w:hAnsiTheme="minorHAnsi" w:cstheme="minorHAnsi"/>
          <w:sz w:val="22"/>
          <w:szCs w:val="22"/>
        </w:rPr>
      </w:pPr>
    </w:p>
    <w:p w14:paraId="0ADA6022" w14:textId="17BFB162" w:rsidR="00C0789D" w:rsidRPr="00CA0B18" w:rsidRDefault="00C0789D" w:rsidP="00150043">
      <w:pPr>
        <w:pStyle w:val="Heading2"/>
        <w:numPr>
          <w:ilvl w:val="0"/>
          <w:numId w:val="10"/>
        </w:numPr>
        <w:spacing w:before="0"/>
        <w:rPr>
          <w:rFonts w:asciiTheme="minorHAnsi" w:hAnsiTheme="minorHAnsi" w:cstheme="minorHAnsi"/>
          <w:sz w:val="22"/>
          <w:szCs w:val="22"/>
        </w:rPr>
      </w:pPr>
      <w:r w:rsidRPr="00CA0B18">
        <w:rPr>
          <w:rFonts w:asciiTheme="minorHAnsi" w:hAnsiTheme="minorHAnsi" w:cstheme="minorHAnsi"/>
          <w:sz w:val="22"/>
          <w:szCs w:val="22"/>
        </w:rPr>
        <w:t>Cooperation</w:t>
      </w:r>
    </w:p>
    <w:p w14:paraId="76A6A6CE" w14:textId="77777777" w:rsidR="00C0789D" w:rsidRPr="00CA0B18" w:rsidRDefault="00C0789D" w:rsidP="006279FE">
      <w:pPr>
        <w:spacing w:after="0" w:line="240" w:lineRule="auto"/>
        <w:jc w:val="both"/>
        <w:rPr>
          <w:rFonts w:eastAsia="Times New Roman" w:cstheme="minorHAnsi"/>
          <w:lang w:val="en-US" w:eastAsia="en-CA"/>
        </w:rPr>
      </w:pPr>
      <w:r w:rsidRPr="00CA0B18">
        <w:rPr>
          <w:rFonts w:cstheme="minorHAnsi"/>
          <w:lang w:val="en-US"/>
        </w:rPr>
        <w:t xml:space="preserve">COP 10 requested the Executive Secretary to continue cooperation on </w:t>
      </w:r>
      <w:proofErr w:type="spellStart"/>
      <w:r w:rsidRPr="00CA0B18">
        <w:rPr>
          <w:rFonts w:cstheme="minorHAnsi"/>
          <w:lang w:val="en-US"/>
        </w:rPr>
        <w:t>biotrade</w:t>
      </w:r>
      <w:proofErr w:type="spellEnd"/>
      <w:r w:rsidRPr="00CA0B18">
        <w:rPr>
          <w:rFonts w:cstheme="minorHAnsi"/>
          <w:lang w:val="en-US"/>
        </w:rPr>
        <w:t xml:space="preserve"> and other trade-related matters with UNCTAD.</w:t>
      </w:r>
      <w:r w:rsidRPr="00CA0B18">
        <w:rPr>
          <w:rStyle w:val="FootnoteReference"/>
          <w:rFonts w:cstheme="minorHAnsi"/>
          <w:lang w:val="en-US"/>
        </w:rPr>
        <w:footnoteReference w:id="21"/>
      </w:r>
      <w:r w:rsidRPr="00CA0B18">
        <w:rPr>
          <w:rFonts w:cstheme="minorHAnsi"/>
          <w:lang w:val="en-US"/>
        </w:rPr>
        <w:t xml:space="preserve"> COP 12 called upon the BioTrade Initiative to “continue to strengthen its technical support to Governments, companies and other stakeholders to enable them to incorporate </w:t>
      </w:r>
      <w:proofErr w:type="spellStart"/>
      <w:r w:rsidRPr="00CA0B18">
        <w:rPr>
          <w:rFonts w:cstheme="minorHAnsi"/>
          <w:lang w:val="en-US"/>
        </w:rPr>
        <w:t>biotrade</w:t>
      </w:r>
      <w:proofErr w:type="spellEnd"/>
      <w:r w:rsidRPr="00CA0B18">
        <w:rPr>
          <w:rFonts w:cstheme="minorHAnsi"/>
          <w:lang w:val="en-US"/>
        </w:rPr>
        <w:t xml:space="preserve">, as well as sustainable harvesting practices within national biodiversity strategies and action plans, as appropriate, highlighting the importance of </w:t>
      </w:r>
      <w:proofErr w:type="spellStart"/>
      <w:r w:rsidRPr="00CA0B18">
        <w:rPr>
          <w:rFonts w:cstheme="minorHAnsi"/>
          <w:lang w:val="en-US"/>
        </w:rPr>
        <w:t>biotrade</w:t>
      </w:r>
      <w:proofErr w:type="spellEnd"/>
      <w:r w:rsidRPr="00CA0B18">
        <w:rPr>
          <w:rFonts w:cstheme="minorHAnsi"/>
          <w:lang w:val="en-US"/>
        </w:rPr>
        <w:t xml:space="preserve"> as an engine for sustainable use of biodiversity and its conservation through the involvement of the private sector.</w:t>
      </w:r>
      <w:r w:rsidRPr="00CA0B18">
        <w:rPr>
          <w:rStyle w:val="FootnoteReference"/>
          <w:rFonts w:cstheme="minorHAnsi"/>
          <w:lang w:val="en-US"/>
        </w:rPr>
        <w:footnoteReference w:id="22"/>
      </w:r>
      <w:r w:rsidRPr="00CA0B18">
        <w:rPr>
          <w:rFonts w:cstheme="minorHAnsi"/>
          <w:lang w:val="en-US"/>
        </w:rPr>
        <w:t xml:space="preserve"> COP 13</w:t>
      </w:r>
      <w:r w:rsidRPr="00CA0B18">
        <w:rPr>
          <w:rFonts w:eastAsia="Times New Roman" w:cstheme="minorHAnsi"/>
          <w:lang w:val="en-US" w:eastAsia="en-CA"/>
        </w:rPr>
        <w:t xml:space="preserve"> called upon the “Liaison Group of Biodiversity-related Conventions, in close collaboration with.. [UNCTAD]… to continue to strengthen its work to enhance coherence and cooperation among the biodiversity-related conventions, including in implementing the Strategic Plan for Biodiversity 2011-2020 and any follow-up to this strategic plan…”</w:t>
      </w:r>
      <w:r w:rsidRPr="00CA0B18">
        <w:rPr>
          <w:rStyle w:val="FootnoteReference"/>
          <w:rFonts w:eastAsia="Times New Roman" w:cstheme="minorHAnsi"/>
          <w:lang w:eastAsia="en-CA"/>
        </w:rPr>
        <w:footnoteReference w:id="23"/>
      </w:r>
      <w:r w:rsidRPr="00CA0B18">
        <w:rPr>
          <w:rFonts w:eastAsia="Times New Roman" w:cstheme="minorHAnsi"/>
          <w:lang w:val="en-US" w:eastAsia="en-CA"/>
        </w:rPr>
        <w:t xml:space="preserve">  </w:t>
      </w:r>
      <w:r w:rsidRPr="00CA0B18">
        <w:rPr>
          <w:rFonts w:cstheme="minorHAnsi"/>
          <w:lang w:val="en-US"/>
        </w:rPr>
        <w:t xml:space="preserve">COP 14 requested the  Executive  Secretary,  subject  to  the  availability  of  resources,  to  further coordinate the “Caring for Coasts” initiative with … [UNCTAD] in </w:t>
      </w:r>
      <w:r w:rsidRPr="00CA0B18">
        <w:rPr>
          <w:rFonts w:cstheme="minorHAnsi"/>
          <w:lang w:val="en-US"/>
        </w:rPr>
        <w:lastRenderedPageBreak/>
        <w:t>the context of its Blue Bio Trade Initiative, in order to advance synergies in their work on the management and restoration of coastal ecosystems worldwide.”</w:t>
      </w:r>
      <w:r w:rsidRPr="00CA0B18">
        <w:rPr>
          <w:rStyle w:val="FootnoteReference"/>
          <w:rFonts w:cstheme="minorHAnsi"/>
        </w:rPr>
        <w:footnoteReference w:id="24"/>
      </w:r>
    </w:p>
    <w:p w14:paraId="18180BE8" w14:textId="77777777" w:rsidR="00D93FDD" w:rsidRPr="00CA0B18" w:rsidRDefault="00D93FDD" w:rsidP="006279FE">
      <w:pPr>
        <w:pStyle w:val="Heading2"/>
        <w:spacing w:before="0"/>
        <w:rPr>
          <w:rFonts w:asciiTheme="minorHAnsi" w:hAnsiTheme="minorHAnsi" w:cstheme="minorHAnsi"/>
          <w:sz w:val="22"/>
          <w:szCs w:val="22"/>
        </w:rPr>
      </w:pPr>
    </w:p>
    <w:p w14:paraId="725A1E59" w14:textId="32DE3630" w:rsidR="00C0789D" w:rsidRPr="00CA0B18" w:rsidRDefault="00C0789D" w:rsidP="00150043">
      <w:pPr>
        <w:pStyle w:val="Heading2"/>
        <w:numPr>
          <w:ilvl w:val="0"/>
          <w:numId w:val="10"/>
        </w:numPr>
        <w:spacing w:before="0"/>
        <w:rPr>
          <w:rFonts w:asciiTheme="minorHAnsi" w:hAnsiTheme="minorHAnsi" w:cstheme="minorHAnsi"/>
          <w:sz w:val="22"/>
          <w:szCs w:val="22"/>
        </w:rPr>
      </w:pPr>
      <w:r w:rsidRPr="00CA0B18">
        <w:rPr>
          <w:rFonts w:asciiTheme="minorHAnsi" w:hAnsiTheme="minorHAnsi" w:cstheme="minorHAnsi"/>
          <w:sz w:val="22"/>
          <w:szCs w:val="22"/>
        </w:rPr>
        <w:t>Incentive Measures</w:t>
      </w:r>
    </w:p>
    <w:p w14:paraId="66E983F5" w14:textId="77777777" w:rsidR="00D93FDD" w:rsidRPr="00CA0B18" w:rsidRDefault="00C0789D" w:rsidP="006279FE">
      <w:pPr>
        <w:spacing w:after="0" w:line="240" w:lineRule="auto"/>
        <w:jc w:val="both"/>
        <w:rPr>
          <w:rFonts w:cstheme="minorHAnsi"/>
          <w:lang w:val="en-US"/>
        </w:rPr>
      </w:pPr>
      <w:r w:rsidRPr="00CA0B18">
        <w:rPr>
          <w:rFonts w:cstheme="minorHAnsi"/>
          <w:lang w:val="en-US"/>
        </w:rPr>
        <w:t xml:space="preserve">The CBD COP has adopted decisions on </w:t>
      </w:r>
      <w:proofErr w:type="spellStart"/>
      <w:r w:rsidRPr="00CA0B18">
        <w:rPr>
          <w:rFonts w:cstheme="minorHAnsi"/>
          <w:lang w:val="en-US"/>
        </w:rPr>
        <w:t>biotrade</w:t>
      </w:r>
      <w:proofErr w:type="spellEnd"/>
      <w:r w:rsidRPr="00CA0B18">
        <w:rPr>
          <w:rFonts w:cstheme="minorHAnsi"/>
          <w:lang w:val="en-US"/>
        </w:rPr>
        <w:t xml:space="preserve"> as an incentive measure under CBD Article 11 for over a decade. In 2008, COP 9 invited the BioTrade Initiative to “continue its work on trade promotion for biodiversity-based products which are produced in a sustainable manner and compatible with the three objectives of the [CBD], through capacity-building, enhancing market access, promoting enabling environments and engaging relevant public and private actors.”</w:t>
      </w:r>
      <w:r w:rsidRPr="00CA0B18">
        <w:rPr>
          <w:rStyle w:val="FootnoteReference"/>
          <w:rFonts w:cstheme="minorHAnsi"/>
        </w:rPr>
        <w:footnoteReference w:id="25"/>
      </w:r>
      <w:r w:rsidRPr="00CA0B18">
        <w:rPr>
          <w:rFonts w:cstheme="minorHAnsi"/>
          <w:lang w:val="en-US"/>
        </w:rPr>
        <w:t xml:space="preserve"> The COP also invited UNCTAD to “undertake… further studies on positive incentive measures at local, national, regional and international levels, their advantages as well as their potential limitations and risks, their cost-effectiveness, potential implications for biodiversity and indigenous and local communities, and their consistency with other international obligations…”</w:t>
      </w:r>
      <w:r w:rsidRPr="00CA0B18">
        <w:rPr>
          <w:rStyle w:val="FootnoteReference"/>
          <w:rFonts w:cstheme="minorHAnsi"/>
        </w:rPr>
        <w:footnoteReference w:id="26"/>
      </w:r>
      <w:r w:rsidRPr="00CA0B18">
        <w:rPr>
          <w:rFonts w:cstheme="minorHAnsi"/>
          <w:lang w:val="en-US"/>
        </w:rPr>
        <w:t xml:space="preserve"> It also invited organizations such as UNCTAD to “promote scientific and technical cooperation among Parties on the design and implementation of incentive measures, including through international courses and workshops for the exchange of experiences, and to provide technical support, capacity-building and training… (c) For the promotion of biodiversity-based products which are produced in a sustainable manner ("</w:t>
      </w:r>
      <w:proofErr w:type="spellStart"/>
      <w:r w:rsidRPr="00CA0B18">
        <w:rPr>
          <w:rFonts w:cstheme="minorHAnsi"/>
          <w:lang w:val="en-US"/>
        </w:rPr>
        <w:t>biotrade</w:t>
      </w:r>
      <w:proofErr w:type="spellEnd"/>
      <w:r w:rsidRPr="00CA0B18">
        <w:rPr>
          <w:rFonts w:cstheme="minorHAnsi"/>
          <w:lang w:val="en-US"/>
        </w:rPr>
        <w:t>").”</w:t>
      </w:r>
      <w:r w:rsidRPr="00CA0B18">
        <w:rPr>
          <w:rStyle w:val="FootnoteReference"/>
          <w:rFonts w:cstheme="minorHAnsi"/>
        </w:rPr>
        <w:footnoteReference w:id="27"/>
      </w:r>
    </w:p>
    <w:p w14:paraId="4A71BA8D" w14:textId="77777777" w:rsidR="00D93FDD" w:rsidRPr="00CA0B18" w:rsidRDefault="00D93FDD" w:rsidP="006279FE">
      <w:pPr>
        <w:spacing w:after="0" w:line="240" w:lineRule="auto"/>
        <w:jc w:val="both"/>
        <w:rPr>
          <w:rFonts w:cstheme="minorHAnsi"/>
          <w:lang w:val="en-US"/>
        </w:rPr>
      </w:pPr>
    </w:p>
    <w:p w14:paraId="30CDB5EB" w14:textId="046C9942" w:rsidR="00D93FDD" w:rsidRPr="00CA0B18" w:rsidRDefault="00C0789D" w:rsidP="006279FE">
      <w:pPr>
        <w:spacing w:after="0" w:line="240" w:lineRule="auto"/>
        <w:jc w:val="both"/>
        <w:rPr>
          <w:rFonts w:cstheme="minorHAnsi"/>
          <w:lang w:val="en-US"/>
        </w:rPr>
      </w:pPr>
      <w:r w:rsidRPr="00CA0B18">
        <w:rPr>
          <w:rFonts w:cstheme="minorHAnsi"/>
          <w:lang w:val="en-US"/>
        </w:rPr>
        <w:t xml:space="preserve">COP 10 welcomed UNCTAD’s work on incentives and called upon it “to support the efforts at global, regional and national levels … in promoting positive incentives for the conservation and sustainable use of biodiversity, and in assessing the values of biodiversity and associated ecosystem services, and </w:t>
      </w:r>
      <w:r w:rsidRPr="00CA0B18">
        <w:rPr>
          <w:rFonts w:cstheme="minorHAnsi"/>
          <w:i/>
          <w:iCs/>
          <w:lang w:val="en-US"/>
        </w:rPr>
        <w:t>invites</w:t>
      </w:r>
      <w:r w:rsidRPr="00CA0B18">
        <w:rPr>
          <w:rFonts w:cstheme="minorHAnsi"/>
          <w:lang w:val="en-US"/>
        </w:rPr>
        <w:t xml:space="preserve"> them to continue and intensify this work with a view to raising awareness on, and promoting common understanding of … the promotion of positive incentive measures…”</w:t>
      </w:r>
      <w:r w:rsidRPr="00CA0B18">
        <w:rPr>
          <w:rStyle w:val="FootnoteReference"/>
          <w:rFonts w:cstheme="minorHAnsi"/>
          <w:lang w:val="en-US"/>
        </w:rPr>
        <w:footnoteReference w:id="28"/>
      </w:r>
      <w:r w:rsidRPr="00CA0B18">
        <w:rPr>
          <w:rFonts w:cstheme="minorHAnsi"/>
          <w:lang w:val="en-US"/>
        </w:rPr>
        <w:t xml:space="preserve"> </w:t>
      </w:r>
    </w:p>
    <w:p w14:paraId="56555465" w14:textId="77777777" w:rsidR="00D93FDD" w:rsidRPr="00CA0B18" w:rsidRDefault="00D93FDD" w:rsidP="006279FE">
      <w:pPr>
        <w:spacing w:after="0" w:line="240" w:lineRule="auto"/>
        <w:jc w:val="both"/>
        <w:rPr>
          <w:rFonts w:cstheme="minorHAnsi"/>
          <w:lang w:val="en-US"/>
        </w:rPr>
      </w:pPr>
    </w:p>
    <w:p w14:paraId="064B43BB" w14:textId="5EC8BF07" w:rsidR="00C0789D" w:rsidRPr="00CA0B18" w:rsidRDefault="00C0789D" w:rsidP="006279FE">
      <w:pPr>
        <w:spacing w:after="0" w:line="240" w:lineRule="auto"/>
        <w:jc w:val="both"/>
        <w:rPr>
          <w:rFonts w:cstheme="minorHAnsi"/>
          <w:lang w:val="en-US"/>
        </w:rPr>
      </w:pPr>
      <w:r w:rsidRPr="00CA0B18">
        <w:rPr>
          <w:rFonts w:cstheme="minorHAnsi"/>
          <w:lang w:val="en-US"/>
        </w:rPr>
        <w:t>COP 11 noted the “support of international organizations and initiatives, including… [UNCTAD] to  efforts  at  the global,  regional  and  national  levels  in  identifying  and  eliminating,  phasing  out  or  reforming  incentives that are harmful to biodiversity, in promoting positive incentives for the conservation and sustainable use of  biodiversity,  consistent  and  in  harmony  with  the  [CBD] and  other  relevant  international obligations,  and  in  assessing  and  mainstreaming  the  values  of  biodiversity  and  associated  ecosystem services, and invites these and other relevant organizations and initiatives to continue and further intensify this work, including continued support for capacity-building at the national level.”</w:t>
      </w:r>
      <w:r w:rsidRPr="00CA0B18">
        <w:rPr>
          <w:rStyle w:val="FootnoteReference"/>
          <w:rFonts w:cstheme="minorHAnsi"/>
        </w:rPr>
        <w:footnoteReference w:id="29"/>
      </w:r>
    </w:p>
    <w:p w14:paraId="128552C0" w14:textId="77777777" w:rsidR="00D93FDD" w:rsidRPr="00CA0B18" w:rsidRDefault="00D93FDD" w:rsidP="006279FE">
      <w:pPr>
        <w:pStyle w:val="Heading2"/>
        <w:spacing w:before="0"/>
        <w:rPr>
          <w:rFonts w:asciiTheme="minorHAnsi" w:hAnsiTheme="minorHAnsi" w:cstheme="minorHAnsi"/>
          <w:sz w:val="22"/>
          <w:szCs w:val="22"/>
        </w:rPr>
      </w:pPr>
    </w:p>
    <w:p w14:paraId="1072191B" w14:textId="00866C4D" w:rsidR="00C0789D" w:rsidRPr="00CA0B18" w:rsidRDefault="00C0789D" w:rsidP="00150043">
      <w:pPr>
        <w:pStyle w:val="Heading2"/>
        <w:numPr>
          <w:ilvl w:val="0"/>
          <w:numId w:val="10"/>
        </w:numPr>
        <w:spacing w:before="0"/>
        <w:rPr>
          <w:rFonts w:asciiTheme="minorHAnsi" w:hAnsiTheme="minorHAnsi" w:cstheme="minorHAnsi"/>
          <w:sz w:val="22"/>
          <w:szCs w:val="22"/>
        </w:rPr>
      </w:pPr>
      <w:r w:rsidRPr="00CA0B18">
        <w:rPr>
          <w:rFonts w:asciiTheme="minorHAnsi" w:hAnsiTheme="minorHAnsi" w:cstheme="minorHAnsi"/>
          <w:sz w:val="22"/>
          <w:szCs w:val="22"/>
        </w:rPr>
        <w:t>Livelihoods and Poverty Eradication</w:t>
      </w:r>
    </w:p>
    <w:p w14:paraId="0439CED2" w14:textId="77777777" w:rsidR="00C0789D" w:rsidRPr="00CA0B18" w:rsidRDefault="00C0789D" w:rsidP="006279FE">
      <w:pPr>
        <w:spacing w:after="0" w:line="240" w:lineRule="auto"/>
        <w:jc w:val="both"/>
        <w:rPr>
          <w:rFonts w:cstheme="minorHAnsi"/>
          <w:lang w:val="en-US"/>
        </w:rPr>
      </w:pPr>
      <w:r w:rsidRPr="00CA0B18">
        <w:rPr>
          <w:rFonts w:cstheme="minorHAnsi"/>
          <w:lang w:val="en-US"/>
        </w:rPr>
        <w:t xml:space="preserve">COP 10 encouraged </w:t>
      </w:r>
      <w:r w:rsidRPr="00CA0B18">
        <w:rPr>
          <w:rFonts w:cstheme="minorHAnsi"/>
          <w:i/>
          <w:iCs/>
          <w:lang w:val="en-US"/>
        </w:rPr>
        <w:t>“</w:t>
      </w:r>
      <w:r w:rsidRPr="00CA0B18">
        <w:rPr>
          <w:rFonts w:cstheme="minorHAnsi"/>
          <w:lang w:val="en-US"/>
        </w:rPr>
        <w:t xml:space="preserve">synergies between ongoing initiatives linking biodiversity, development and poverty eradication, such as the Equator Initiative, the ABS Capacity Development Initiative for Africa, the </w:t>
      </w:r>
      <w:proofErr w:type="spellStart"/>
      <w:r w:rsidRPr="00CA0B18">
        <w:rPr>
          <w:rFonts w:cstheme="minorHAnsi"/>
          <w:lang w:val="en-US"/>
        </w:rPr>
        <w:t>LifeWeb</w:t>
      </w:r>
      <w:proofErr w:type="spellEnd"/>
      <w:r w:rsidRPr="00CA0B18">
        <w:rPr>
          <w:rFonts w:cstheme="minorHAnsi"/>
          <w:lang w:val="en-US"/>
        </w:rPr>
        <w:t xml:space="preserve"> Initiative, the UNCTAD BioTrade Initiative, the Poverty-Environment Initiative, the Biodiversity Technology Initiative, and the Multi-Year Plan of Action for South-South Cooperation.”</w:t>
      </w:r>
      <w:r w:rsidRPr="00CA0B18">
        <w:rPr>
          <w:rStyle w:val="FootnoteReference"/>
          <w:rFonts w:cstheme="minorHAnsi"/>
          <w:lang w:val="en-US"/>
        </w:rPr>
        <w:footnoteReference w:id="30"/>
      </w:r>
      <w:r w:rsidRPr="00CA0B18">
        <w:rPr>
          <w:rFonts w:cstheme="minorHAnsi"/>
          <w:lang w:val="en-US"/>
        </w:rPr>
        <w:t xml:space="preserve"> It also invited “Parties, other Governments, and relevant international and other organizations to … [w]</w:t>
      </w:r>
      <w:proofErr w:type="spellStart"/>
      <w:r w:rsidRPr="00CA0B18">
        <w:rPr>
          <w:rFonts w:cstheme="minorHAnsi"/>
          <w:lang w:val="en-US"/>
        </w:rPr>
        <w:t>elcome</w:t>
      </w:r>
      <w:proofErr w:type="spellEnd"/>
      <w:r w:rsidRPr="00CA0B18">
        <w:rPr>
          <w:rFonts w:cstheme="minorHAnsi"/>
          <w:lang w:val="en-US"/>
        </w:rPr>
        <w:t xml:space="preserve"> and strengthen initiatives that link biodiversity, development, and poverty alleviation, for example the BioTrade Initiative of [UNCTAD].”</w:t>
      </w:r>
      <w:r w:rsidRPr="00CA0B18">
        <w:rPr>
          <w:rStyle w:val="FootnoteReference"/>
          <w:rFonts w:cstheme="minorHAnsi"/>
          <w:lang w:val="en-US"/>
        </w:rPr>
        <w:footnoteReference w:id="31"/>
      </w:r>
    </w:p>
    <w:p w14:paraId="7C636035" w14:textId="0B6ED31C" w:rsidR="00D57CF6" w:rsidRPr="00CA0B18" w:rsidRDefault="00D57CF6" w:rsidP="006279FE">
      <w:pPr>
        <w:spacing w:after="0" w:line="240" w:lineRule="auto"/>
        <w:jc w:val="both"/>
        <w:rPr>
          <w:rFonts w:cstheme="minorHAnsi"/>
          <w:lang w:val="en-US"/>
        </w:rPr>
      </w:pPr>
    </w:p>
    <w:sectPr w:rsidR="00D57CF6" w:rsidRPr="00CA0B18">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91346" w14:textId="77777777" w:rsidR="009A31B4" w:rsidRDefault="009A31B4" w:rsidP="007213C9">
      <w:pPr>
        <w:spacing w:after="0" w:line="240" w:lineRule="auto"/>
      </w:pPr>
      <w:r>
        <w:separator/>
      </w:r>
    </w:p>
  </w:endnote>
  <w:endnote w:type="continuationSeparator" w:id="0">
    <w:p w14:paraId="3ED7B1C9" w14:textId="77777777" w:rsidR="009A31B4" w:rsidRDefault="009A31B4" w:rsidP="00721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451287"/>
      <w:docPartObj>
        <w:docPartGallery w:val="Page Numbers (Bottom of Page)"/>
        <w:docPartUnique/>
      </w:docPartObj>
    </w:sdtPr>
    <w:sdtEndPr>
      <w:rPr>
        <w:noProof/>
      </w:rPr>
    </w:sdtEndPr>
    <w:sdtContent>
      <w:p w14:paraId="1EBC9412" w14:textId="66BE3122" w:rsidR="002F1DB7" w:rsidRDefault="002F1DB7">
        <w:pPr>
          <w:pStyle w:val="Footer"/>
          <w:jc w:val="right"/>
        </w:pPr>
        <w:r>
          <w:fldChar w:fldCharType="begin"/>
        </w:r>
        <w:r>
          <w:instrText xml:space="preserve"> PAGE   \* MERGEFORMAT </w:instrText>
        </w:r>
        <w:r>
          <w:fldChar w:fldCharType="separate"/>
        </w:r>
        <w:r w:rsidR="00040856">
          <w:rPr>
            <w:noProof/>
          </w:rPr>
          <w:t>6</w:t>
        </w:r>
        <w:r>
          <w:rPr>
            <w:noProof/>
          </w:rPr>
          <w:fldChar w:fldCharType="end"/>
        </w:r>
      </w:p>
    </w:sdtContent>
  </w:sdt>
  <w:p w14:paraId="716B60BA" w14:textId="77777777" w:rsidR="002F1DB7" w:rsidRDefault="002F1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A08D6" w14:textId="77777777" w:rsidR="009A31B4" w:rsidRDefault="009A31B4" w:rsidP="007213C9">
      <w:pPr>
        <w:spacing w:after="0" w:line="240" w:lineRule="auto"/>
      </w:pPr>
      <w:r>
        <w:separator/>
      </w:r>
    </w:p>
  </w:footnote>
  <w:footnote w:type="continuationSeparator" w:id="0">
    <w:p w14:paraId="2F3974A3" w14:textId="77777777" w:rsidR="009A31B4" w:rsidRDefault="009A31B4" w:rsidP="007213C9">
      <w:pPr>
        <w:spacing w:after="0" w:line="240" w:lineRule="auto"/>
      </w:pPr>
      <w:r>
        <w:continuationSeparator/>
      </w:r>
    </w:p>
  </w:footnote>
  <w:footnote w:id="1">
    <w:p w14:paraId="0B527E92" w14:textId="77777777" w:rsidR="007213C9" w:rsidRPr="0081039E" w:rsidRDefault="007213C9" w:rsidP="00150043">
      <w:pPr>
        <w:pStyle w:val="FootnoteText"/>
        <w:jc w:val="both"/>
        <w:rPr>
          <w:rFonts w:cstheme="minorHAnsi"/>
          <w:i/>
          <w:sz w:val="18"/>
          <w:szCs w:val="18"/>
        </w:rPr>
      </w:pPr>
      <w:r w:rsidRPr="0081039E">
        <w:rPr>
          <w:rStyle w:val="FootnoteReference"/>
          <w:rFonts w:cstheme="minorHAnsi"/>
          <w:i/>
          <w:sz w:val="18"/>
          <w:szCs w:val="18"/>
        </w:rPr>
        <w:footnoteRef/>
      </w:r>
      <w:r w:rsidRPr="0081039E">
        <w:rPr>
          <w:rFonts w:cstheme="minorHAnsi"/>
          <w:i/>
          <w:sz w:val="18"/>
          <w:szCs w:val="18"/>
        </w:rPr>
        <w:t xml:space="preserve"> The Preliminary Synthesis and Analysis of Views, UN Doc UNEP/CBD/COP/14/INF/16, para 25(d)(</w:t>
      </w:r>
      <w:proofErr w:type="spellStart"/>
      <w:r w:rsidRPr="0081039E">
        <w:rPr>
          <w:rFonts w:cstheme="minorHAnsi"/>
          <w:i/>
          <w:sz w:val="18"/>
          <w:szCs w:val="18"/>
        </w:rPr>
        <w:t>i</w:t>
      </w:r>
      <w:proofErr w:type="spellEnd"/>
      <w:r w:rsidRPr="0081039E">
        <w:rPr>
          <w:rFonts w:cstheme="minorHAnsi"/>
          <w:i/>
          <w:sz w:val="18"/>
          <w:szCs w:val="18"/>
        </w:rPr>
        <w:t>)</w:t>
      </w:r>
    </w:p>
  </w:footnote>
  <w:footnote w:id="2">
    <w:p w14:paraId="76CE6048" w14:textId="77777777" w:rsidR="007213C9" w:rsidRPr="0081039E" w:rsidRDefault="007213C9" w:rsidP="00150043">
      <w:pPr>
        <w:pStyle w:val="FootnoteText"/>
        <w:jc w:val="both"/>
        <w:rPr>
          <w:rFonts w:cstheme="minorHAnsi"/>
          <w:i/>
          <w:sz w:val="18"/>
          <w:szCs w:val="18"/>
          <w:lang w:val="es-EC"/>
        </w:rPr>
      </w:pPr>
      <w:r w:rsidRPr="0081039E">
        <w:rPr>
          <w:rStyle w:val="FootnoteReference"/>
          <w:rFonts w:cstheme="minorHAnsi"/>
          <w:i/>
          <w:sz w:val="18"/>
          <w:szCs w:val="18"/>
        </w:rPr>
        <w:footnoteRef/>
      </w:r>
      <w:r w:rsidRPr="0081039E">
        <w:rPr>
          <w:rFonts w:cstheme="minorHAnsi"/>
          <w:i/>
          <w:sz w:val="18"/>
          <w:szCs w:val="18"/>
          <w:lang w:val="es-EC"/>
        </w:rPr>
        <w:t xml:space="preserve"> </w:t>
      </w:r>
      <w:proofErr w:type="spellStart"/>
      <w:r w:rsidRPr="0081039E">
        <w:rPr>
          <w:rFonts w:cstheme="minorHAnsi"/>
          <w:i/>
          <w:sz w:val="18"/>
          <w:szCs w:val="18"/>
          <w:lang w:val="es-EC"/>
        </w:rPr>
        <w:t>Ibid</w:t>
      </w:r>
      <w:proofErr w:type="spellEnd"/>
      <w:r w:rsidRPr="0081039E">
        <w:rPr>
          <w:rFonts w:cstheme="minorHAnsi"/>
          <w:i/>
          <w:sz w:val="18"/>
          <w:szCs w:val="18"/>
          <w:lang w:val="es-EC"/>
        </w:rPr>
        <w:t>, para 16(g).</w:t>
      </w:r>
    </w:p>
  </w:footnote>
  <w:footnote w:id="3">
    <w:p w14:paraId="6650A1AA" w14:textId="77777777" w:rsidR="007213C9" w:rsidRPr="0081039E" w:rsidRDefault="007213C9" w:rsidP="00150043">
      <w:pPr>
        <w:pStyle w:val="FootnoteText"/>
        <w:jc w:val="both"/>
        <w:rPr>
          <w:rFonts w:cstheme="minorHAnsi"/>
          <w:i/>
          <w:sz w:val="18"/>
          <w:szCs w:val="18"/>
          <w:lang w:val="es-EC"/>
        </w:rPr>
      </w:pPr>
      <w:r w:rsidRPr="0081039E">
        <w:rPr>
          <w:rStyle w:val="FootnoteReference"/>
          <w:rFonts w:cstheme="minorHAnsi"/>
          <w:i/>
          <w:sz w:val="18"/>
          <w:szCs w:val="18"/>
        </w:rPr>
        <w:footnoteRef/>
      </w:r>
      <w:r w:rsidRPr="0081039E">
        <w:rPr>
          <w:rFonts w:cstheme="minorHAnsi"/>
          <w:i/>
          <w:sz w:val="18"/>
          <w:szCs w:val="18"/>
          <w:lang w:val="es-EC"/>
        </w:rPr>
        <w:t xml:space="preserve"> Ibid. para 18.</w:t>
      </w:r>
    </w:p>
  </w:footnote>
  <w:footnote w:id="4">
    <w:p w14:paraId="561D6F18" w14:textId="190178CA" w:rsidR="00150043" w:rsidRPr="002C7AB4" w:rsidRDefault="00150043" w:rsidP="00150043">
      <w:pPr>
        <w:pStyle w:val="FootnoteText"/>
        <w:jc w:val="both"/>
        <w:rPr>
          <w:sz w:val="18"/>
          <w:szCs w:val="18"/>
          <w:lang w:val="en-US"/>
        </w:rPr>
      </w:pPr>
      <w:r w:rsidRPr="0081039E">
        <w:rPr>
          <w:rStyle w:val="FootnoteReference"/>
          <w:sz w:val="18"/>
          <w:szCs w:val="18"/>
        </w:rPr>
        <w:footnoteRef/>
      </w:r>
      <w:r w:rsidRPr="0081039E">
        <w:rPr>
          <w:sz w:val="18"/>
          <w:szCs w:val="18"/>
        </w:rPr>
        <w:t xml:space="preserve"> UNCTAD BioTrade Initiative: BioTrade Principles and Criteria, </w:t>
      </w:r>
      <w:r w:rsidRPr="002C7AB4">
        <w:rPr>
          <w:rFonts w:cstheme="minorHAnsi"/>
          <w:i/>
          <w:sz w:val="18"/>
          <w:szCs w:val="18"/>
          <w:lang w:val="en-US"/>
        </w:rPr>
        <w:t>UN Doc</w:t>
      </w:r>
      <w:r w:rsidRPr="002C7AB4">
        <w:rPr>
          <w:sz w:val="18"/>
          <w:szCs w:val="18"/>
          <w:lang w:val="en-US"/>
        </w:rPr>
        <w:t xml:space="preserve"> UNCTAD/DITC/TED/2007/4.</w:t>
      </w:r>
    </w:p>
  </w:footnote>
  <w:footnote w:id="5">
    <w:p w14:paraId="5D83356F" w14:textId="77777777" w:rsidR="004C0064" w:rsidRPr="0081039E" w:rsidRDefault="004C0064" w:rsidP="00150043">
      <w:pPr>
        <w:pStyle w:val="FootnoteText"/>
        <w:ind w:left="284" w:hanging="284"/>
        <w:jc w:val="both"/>
        <w:rPr>
          <w:sz w:val="18"/>
          <w:szCs w:val="18"/>
          <w:lang w:val="en-US"/>
        </w:rPr>
      </w:pPr>
      <w:r w:rsidRPr="0081039E">
        <w:rPr>
          <w:rStyle w:val="FootnoteReference"/>
          <w:sz w:val="18"/>
          <w:szCs w:val="18"/>
        </w:rPr>
        <w:footnoteRef/>
      </w:r>
      <w:r w:rsidRPr="0081039E">
        <w:rPr>
          <w:sz w:val="18"/>
          <w:szCs w:val="18"/>
          <w:lang w:val="en-US"/>
        </w:rPr>
        <w:t xml:space="preserve"> </w:t>
      </w:r>
      <w:r w:rsidRPr="0081039E">
        <w:rPr>
          <w:rFonts w:cstheme="minorHAnsi"/>
          <w:i/>
          <w:sz w:val="18"/>
          <w:szCs w:val="18"/>
        </w:rPr>
        <w:t>Decision VII/12, Annex II</w:t>
      </w:r>
      <w:r w:rsidRPr="0081039E">
        <w:rPr>
          <w:sz w:val="18"/>
          <w:szCs w:val="18"/>
          <w:lang w:val="en-US"/>
        </w:rPr>
        <w:t>.</w:t>
      </w:r>
    </w:p>
  </w:footnote>
  <w:footnote w:id="6">
    <w:p w14:paraId="31F12B16" w14:textId="77777777" w:rsidR="009D0ABF" w:rsidRPr="0081039E" w:rsidRDefault="009D0ABF" w:rsidP="00150043">
      <w:pPr>
        <w:pStyle w:val="FootnoteText"/>
        <w:jc w:val="both"/>
        <w:rPr>
          <w:rFonts w:cstheme="minorHAnsi"/>
          <w:i/>
          <w:sz w:val="18"/>
          <w:szCs w:val="18"/>
        </w:rPr>
      </w:pPr>
      <w:r w:rsidRPr="0081039E">
        <w:rPr>
          <w:rStyle w:val="FootnoteReference"/>
          <w:rFonts w:cstheme="minorHAnsi"/>
          <w:i/>
          <w:sz w:val="18"/>
          <w:szCs w:val="18"/>
        </w:rPr>
        <w:footnoteRef/>
      </w:r>
      <w:r w:rsidRPr="0081039E">
        <w:rPr>
          <w:rFonts w:cstheme="minorHAnsi"/>
          <w:i/>
          <w:sz w:val="18"/>
          <w:szCs w:val="18"/>
        </w:rPr>
        <w:t xml:space="preserve"> BioTrade Initiative: Inputs for its Strategic Direction 2020, UN Doc UNCTAD/DITC/TED/2012/7, p. 12.</w:t>
      </w:r>
    </w:p>
  </w:footnote>
  <w:footnote w:id="7">
    <w:p w14:paraId="24B013E7" w14:textId="6FB9AC88" w:rsidR="00496330" w:rsidRPr="0081039E" w:rsidRDefault="00496330" w:rsidP="00150043">
      <w:pPr>
        <w:pStyle w:val="FootnoteText"/>
        <w:jc w:val="both"/>
        <w:rPr>
          <w:i/>
          <w:sz w:val="18"/>
          <w:szCs w:val="18"/>
        </w:rPr>
      </w:pPr>
      <w:r w:rsidRPr="0081039E">
        <w:rPr>
          <w:rStyle w:val="FootnoteReference"/>
          <w:sz w:val="18"/>
          <w:szCs w:val="18"/>
        </w:rPr>
        <w:footnoteRef/>
      </w:r>
      <w:r w:rsidR="00466E36" w:rsidRPr="0081039E">
        <w:rPr>
          <w:sz w:val="18"/>
          <w:szCs w:val="18"/>
        </w:rPr>
        <w:t xml:space="preserve"> </w:t>
      </w:r>
      <w:r w:rsidR="00466E36" w:rsidRPr="0081039E">
        <w:rPr>
          <w:i/>
          <w:sz w:val="18"/>
          <w:szCs w:val="18"/>
        </w:rPr>
        <w:t xml:space="preserve">The countries include: </w:t>
      </w:r>
      <w:r w:rsidR="00466E36" w:rsidRPr="0081039E">
        <w:rPr>
          <w:b/>
          <w:i/>
          <w:sz w:val="18"/>
          <w:szCs w:val="18"/>
        </w:rPr>
        <w:t>Africa:</w:t>
      </w:r>
      <w:r w:rsidR="00466E36" w:rsidRPr="0081039E">
        <w:rPr>
          <w:i/>
          <w:sz w:val="18"/>
          <w:szCs w:val="18"/>
        </w:rPr>
        <w:t xml:space="preserve"> Botswana, Burkina Faso, Egypt, Ghana, Kenya, Madagascar, Malawi, Mozambique, Namibia, South Africa, Sudan, Swaziland, United Republic of Tanzania, Zambia, Zimbabwe</w:t>
      </w:r>
      <w:r w:rsidR="00F666A6" w:rsidRPr="0081039E">
        <w:rPr>
          <w:i/>
          <w:sz w:val="18"/>
          <w:szCs w:val="18"/>
        </w:rPr>
        <w:t xml:space="preserve">. </w:t>
      </w:r>
      <w:r w:rsidR="00466E36" w:rsidRPr="0081039E">
        <w:rPr>
          <w:b/>
          <w:i/>
          <w:sz w:val="18"/>
          <w:szCs w:val="18"/>
        </w:rPr>
        <w:t>Asia:</w:t>
      </w:r>
      <w:r w:rsidR="00466E36" w:rsidRPr="0081039E">
        <w:rPr>
          <w:i/>
          <w:sz w:val="18"/>
          <w:szCs w:val="18"/>
        </w:rPr>
        <w:t xml:space="preserve"> Indonesia, China, Kazakhstan, Kyrgyzstan, Lao People's Democratic Republic, Myanmar, Turkey, Viet Nam. </w:t>
      </w:r>
      <w:r w:rsidR="00466E36" w:rsidRPr="0081039E">
        <w:rPr>
          <w:b/>
          <w:i/>
          <w:sz w:val="18"/>
          <w:szCs w:val="18"/>
        </w:rPr>
        <w:t>Americas</w:t>
      </w:r>
      <w:r w:rsidR="00466E36" w:rsidRPr="0081039E">
        <w:rPr>
          <w:i/>
          <w:sz w:val="18"/>
          <w:szCs w:val="18"/>
        </w:rPr>
        <w:t xml:space="preserve">: </w:t>
      </w:r>
      <w:proofErr w:type="spellStart"/>
      <w:r w:rsidR="00466E36" w:rsidRPr="0081039E">
        <w:rPr>
          <w:i/>
          <w:sz w:val="18"/>
          <w:szCs w:val="18"/>
        </w:rPr>
        <w:t>Plurinational</w:t>
      </w:r>
      <w:proofErr w:type="spellEnd"/>
      <w:r w:rsidR="00466E36" w:rsidRPr="0081039E">
        <w:rPr>
          <w:i/>
          <w:sz w:val="18"/>
          <w:szCs w:val="18"/>
        </w:rPr>
        <w:t xml:space="preserve"> State of Bolivia, Argentina, Brazil, Chile, Colombia, Ecuador, Mexico, Paraguay, Peru, United States of America. </w:t>
      </w:r>
      <w:r w:rsidR="00466E36" w:rsidRPr="0081039E">
        <w:rPr>
          <w:b/>
          <w:i/>
          <w:sz w:val="18"/>
          <w:szCs w:val="18"/>
        </w:rPr>
        <w:t>Europe</w:t>
      </w:r>
      <w:r w:rsidR="00466E36" w:rsidRPr="0081039E">
        <w:rPr>
          <w:i/>
          <w:sz w:val="18"/>
          <w:szCs w:val="18"/>
        </w:rPr>
        <w:t>: Albania, Bosnia Herzegovina, Bulgaria, Croatia, Finland, Georgia, Germany, Hungary, Poland, Romania, Serbia, Spain, Ukraine.</w:t>
      </w:r>
    </w:p>
  </w:footnote>
  <w:footnote w:id="8">
    <w:p w14:paraId="11E1AFBD" w14:textId="3636EC17" w:rsidR="00D93FDD" w:rsidRPr="0081039E" w:rsidRDefault="00D93FDD" w:rsidP="00150043">
      <w:pPr>
        <w:pStyle w:val="FootnoteText"/>
        <w:jc w:val="both"/>
        <w:rPr>
          <w:rFonts w:cstheme="minorHAnsi"/>
          <w:i/>
          <w:sz w:val="18"/>
          <w:szCs w:val="18"/>
        </w:rPr>
      </w:pPr>
      <w:r w:rsidRPr="0081039E">
        <w:rPr>
          <w:rStyle w:val="FootnoteReference"/>
          <w:i/>
          <w:sz w:val="18"/>
          <w:szCs w:val="18"/>
        </w:rPr>
        <w:footnoteRef/>
      </w:r>
      <w:r w:rsidRPr="0081039E">
        <w:rPr>
          <w:i/>
          <w:sz w:val="18"/>
          <w:szCs w:val="18"/>
        </w:rPr>
        <w:t xml:space="preserve"> </w:t>
      </w:r>
      <w:r w:rsidRPr="0081039E">
        <w:rPr>
          <w:rFonts w:cstheme="minorHAnsi"/>
          <w:i/>
          <w:sz w:val="18"/>
          <w:szCs w:val="18"/>
        </w:rPr>
        <w:t>20 Years of BioTrade: Connecting People, the Planet and Markets</w:t>
      </w:r>
      <w:r w:rsidR="00150043" w:rsidRPr="0081039E">
        <w:rPr>
          <w:rFonts w:cstheme="minorHAnsi"/>
          <w:i/>
          <w:sz w:val="18"/>
          <w:szCs w:val="18"/>
        </w:rPr>
        <w:t xml:space="preserve"> (2017),</w:t>
      </w:r>
      <w:r w:rsidRPr="0081039E">
        <w:rPr>
          <w:rFonts w:cstheme="minorHAnsi"/>
          <w:i/>
          <w:sz w:val="18"/>
          <w:szCs w:val="18"/>
        </w:rPr>
        <w:t xml:space="preserve"> UN Doc. UNCTAD/DITC/TED/2016/4.</w:t>
      </w:r>
    </w:p>
  </w:footnote>
  <w:footnote w:id="9">
    <w:p w14:paraId="1357305F" w14:textId="218959F8" w:rsidR="004A7BD0" w:rsidRPr="0081039E" w:rsidRDefault="004A7BD0" w:rsidP="00150043">
      <w:pPr>
        <w:pStyle w:val="FootnoteText"/>
        <w:jc w:val="both"/>
        <w:rPr>
          <w:rFonts w:cstheme="minorHAnsi"/>
          <w:i/>
          <w:sz w:val="18"/>
          <w:szCs w:val="18"/>
        </w:rPr>
      </w:pPr>
      <w:r w:rsidRPr="0081039E">
        <w:rPr>
          <w:rStyle w:val="FootnoteReference"/>
          <w:rFonts w:cstheme="minorHAnsi"/>
          <w:i/>
          <w:sz w:val="18"/>
          <w:szCs w:val="18"/>
        </w:rPr>
        <w:footnoteRef/>
      </w:r>
      <w:r w:rsidRPr="0081039E">
        <w:rPr>
          <w:rFonts w:cstheme="minorHAnsi"/>
          <w:i/>
          <w:sz w:val="18"/>
          <w:szCs w:val="18"/>
        </w:rPr>
        <w:t xml:space="preserve"> Biodiversity and Trade: Promoting Sustainable use through Business Engagement (2016), UN Doc UNCTAD/DITC/TED/2015/2.</w:t>
      </w:r>
    </w:p>
  </w:footnote>
  <w:footnote w:id="10">
    <w:p w14:paraId="25422295" w14:textId="096055AA" w:rsidR="00354ED6" w:rsidRPr="0081039E" w:rsidRDefault="00354ED6" w:rsidP="00150043">
      <w:pPr>
        <w:pStyle w:val="FootnoteText"/>
        <w:jc w:val="both"/>
        <w:rPr>
          <w:i/>
          <w:sz w:val="18"/>
          <w:szCs w:val="18"/>
        </w:rPr>
      </w:pPr>
      <w:r w:rsidRPr="0081039E">
        <w:rPr>
          <w:rStyle w:val="FootnoteReference"/>
          <w:i/>
          <w:sz w:val="18"/>
          <w:szCs w:val="18"/>
        </w:rPr>
        <w:footnoteRef/>
      </w:r>
      <w:r w:rsidRPr="0081039E">
        <w:rPr>
          <w:i/>
          <w:sz w:val="18"/>
          <w:szCs w:val="18"/>
        </w:rPr>
        <w:t xml:space="preserve"> </w:t>
      </w:r>
      <w:r w:rsidR="00F15F70">
        <w:rPr>
          <w:sz w:val="18"/>
          <w:szCs w:val="18"/>
        </w:rPr>
        <w:t xml:space="preserve">See e.g. </w:t>
      </w:r>
      <w:r w:rsidRPr="0081039E">
        <w:rPr>
          <w:rFonts w:cstheme="minorHAnsi"/>
          <w:i/>
          <w:sz w:val="18"/>
          <w:szCs w:val="18"/>
        </w:rPr>
        <w:t>UNCTAD Annual Report 2017</w:t>
      </w:r>
      <w:r w:rsidR="00150043" w:rsidRPr="0081039E">
        <w:rPr>
          <w:rFonts w:cstheme="minorHAnsi"/>
          <w:i/>
          <w:sz w:val="18"/>
          <w:szCs w:val="18"/>
        </w:rPr>
        <w:t>,</w:t>
      </w:r>
      <w:r w:rsidRPr="0081039E">
        <w:rPr>
          <w:rFonts w:cstheme="minorHAnsi"/>
          <w:i/>
          <w:sz w:val="18"/>
          <w:szCs w:val="18"/>
        </w:rPr>
        <w:t xml:space="preserve"> </w:t>
      </w:r>
      <w:r w:rsidRPr="0081039E">
        <w:rPr>
          <w:rFonts w:cstheme="minorHAnsi"/>
          <w:sz w:val="18"/>
          <w:szCs w:val="18"/>
        </w:rPr>
        <w:t>and the publication</w:t>
      </w:r>
      <w:r w:rsidRPr="0081039E">
        <w:rPr>
          <w:rFonts w:cstheme="minorHAnsi"/>
          <w:i/>
          <w:sz w:val="18"/>
          <w:szCs w:val="18"/>
        </w:rPr>
        <w:t xml:space="preserve"> </w:t>
      </w:r>
      <w:r w:rsidR="00150043" w:rsidRPr="0081039E">
        <w:rPr>
          <w:rFonts w:cstheme="minorHAnsi"/>
          <w:sz w:val="18"/>
          <w:szCs w:val="18"/>
        </w:rPr>
        <w:t>o</w:t>
      </w:r>
      <w:r w:rsidRPr="0081039E">
        <w:rPr>
          <w:rFonts w:cstheme="minorHAnsi"/>
          <w:sz w:val="18"/>
          <w:szCs w:val="18"/>
        </w:rPr>
        <w:t>n</w:t>
      </w:r>
      <w:r w:rsidRPr="0081039E">
        <w:rPr>
          <w:rFonts w:cstheme="minorHAnsi"/>
          <w:i/>
          <w:sz w:val="18"/>
          <w:szCs w:val="18"/>
        </w:rPr>
        <w:t xml:space="preserve"> 20 years of BioTrade: Connecting people, the planet and markets</w:t>
      </w:r>
      <w:r w:rsidR="00150043" w:rsidRPr="0081039E">
        <w:rPr>
          <w:rFonts w:cstheme="minorHAnsi"/>
          <w:i/>
          <w:sz w:val="18"/>
          <w:szCs w:val="18"/>
        </w:rPr>
        <w:t xml:space="preserve"> (2017), UN Doc. UNCTAD/DITC/TED/2016/4. </w:t>
      </w:r>
    </w:p>
  </w:footnote>
  <w:footnote w:id="11">
    <w:p w14:paraId="1AB8ADF2" w14:textId="41AFAF00" w:rsidR="00C211A0" w:rsidRPr="0081039E" w:rsidRDefault="00C211A0" w:rsidP="00150043">
      <w:pPr>
        <w:pStyle w:val="FootnoteText"/>
        <w:ind w:left="284" w:hanging="284"/>
        <w:jc w:val="both"/>
        <w:rPr>
          <w:rFonts w:cstheme="minorHAnsi"/>
          <w:i/>
          <w:sz w:val="18"/>
          <w:szCs w:val="18"/>
        </w:rPr>
      </w:pPr>
      <w:r w:rsidRPr="0081039E">
        <w:rPr>
          <w:rStyle w:val="FootnoteReference"/>
          <w:rFonts w:cstheme="minorHAnsi"/>
          <w:i/>
          <w:sz w:val="18"/>
          <w:szCs w:val="18"/>
        </w:rPr>
        <w:footnoteRef/>
      </w:r>
      <w:r w:rsidRPr="0081039E">
        <w:rPr>
          <w:rFonts w:cstheme="minorHAnsi"/>
          <w:i/>
          <w:sz w:val="18"/>
          <w:szCs w:val="18"/>
        </w:rPr>
        <w:t xml:space="preserve"> 20 years of BioTrade: Connecting people, the planet and markets</w:t>
      </w:r>
      <w:r w:rsidR="00150043" w:rsidRPr="0081039E">
        <w:rPr>
          <w:rFonts w:cstheme="minorHAnsi"/>
          <w:i/>
          <w:sz w:val="18"/>
          <w:szCs w:val="18"/>
        </w:rPr>
        <w:t xml:space="preserve"> (2017)</w:t>
      </w:r>
      <w:r w:rsidRPr="0081039E">
        <w:rPr>
          <w:rFonts w:cstheme="minorHAnsi"/>
          <w:i/>
          <w:sz w:val="18"/>
          <w:szCs w:val="18"/>
        </w:rPr>
        <w:t>,</w:t>
      </w:r>
      <w:r w:rsidR="00150043" w:rsidRPr="0081039E">
        <w:rPr>
          <w:rFonts w:cstheme="minorHAnsi"/>
          <w:i/>
          <w:sz w:val="18"/>
          <w:szCs w:val="18"/>
        </w:rPr>
        <w:t xml:space="preserve"> </w:t>
      </w:r>
      <w:r w:rsidRPr="0081039E">
        <w:rPr>
          <w:rFonts w:cstheme="minorHAnsi"/>
          <w:i/>
          <w:sz w:val="18"/>
          <w:szCs w:val="18"/>
        </w:rPr>
        <w:t>IV BioTrade Congress: Trade and Biodiversity Conservation</w:t>
      </w:r>
      <w:r w:rsidR="00150043" w:rsidRPr="0081039E">
        <w:rPr>
          <w:rFonts w:cstheme="minorHAnsi"/>
          <w:i/>
          <w:sz w:val="18"/>
          <w:szCs w:val="18"/>
        </w:rPr>
        <w:t xml:space="preserve"> (2017)</w:t>
      </w:r>
      <w:r w:rsidRPr="0081039E">
        <w:rPr>
          <w:rFonts w:cstheme="minorHAnsi"/>
          <w:i/>
          <w:sz w:val="18"/>
          <w:szCs w:val="18"/>
        </w:rPr>
        <w:t xml:space="preserve"> UN Doc. UNCTAD/DITC/TED/2017/2.</w:t>
      </w:r>
    </w:p>
  </w:footnote>
  <w:footnote w:id="12">
    <w:p w14:paraId="319CE4E3" w14:textId="77777777" w:rsidR="00C4210A" w:rsidRPr="0081039E" w:rsidRDefault="00C4210A" w:rsidP="00C4210A">
      <w:pPr>
        <w:pStyle w:val="FootnoteText"/>
        <w:ind w:left="284" w:hanging="284"/>
        <w:jc w:val="both"/>
        <w:rPr>
          <w:sz w:val="18"/>
          <w:szCs w:val="18"/>
        </w:rPr>
      </w:pPr>
      <w:r w:rsidRPr="0081039E">
        <w:rPr>
          <w:rStyle w:val="FootnoteReference"/>
          <w:sz w:val="18"/>
          <w:szCs w:val="18"/>
        </w:rPr>
        <w:footnoteRef/>
      </w:r>
      <w:r w:rsidRPr="0081039E">
        <w:rPr>
          <w:sz w:val="18"/>
          <w:szCs w:val="18"/>
        </w:rPr>
        <w:t xml:space="preserve"> </w:t>
      </w:r>
      <w:r w:rsidRPr="0081039E">
        <w:rPr>
          <w:i/>
          <w:sz w:val="18"/>
          <w:szCs w:val="18"/>
        </w:rPr>
        <w:t xml:space="preserve">UNCTAD XIV Outcome: Nairobi </w:t>
      </w:r>
      <w:proofErr w:type="spellStart"/>
      <w:r w:rsidRPr="0081039E">
        <w:rPr>
          <w:i/>
          <w:sz w:val="18"/>
          <w:szCs w:val="18"/>
        </w:rPr>
        <w:t>Maafikiano</w:t>
      </w:r>
      <w:proofErr w:type="spellEnd"/>
      <w:r w:rsidRPr="0081039E">
        <w:rPr>
          <w:i/>
          <w:sz w:val="18"/>
          <w:szCs w:val="18"/>
        </w:rPr>
        <w:t xml:space="preserve"> and Nairobi </w:t>
      </w:r>
      <w:proofErr w:type="spellStart"/>
      <w:r w:rsidRPr="0081039E">
        <w:rPr>
          <w:i/>
          <w:sz w:val="18"/>
          <w:szCs w:val="18"/>
        </w:rPr>
        <w:t>Azimio</w:t>
      </w:r>
      <w:proofErr w:type="spellEnd"/>
      <w:r w:rsidRPr="0081039E">
        <w:rPr>
          <w:sz w:val="18"/>
          <w:szCs w:val="18"/>
        </w:rPr>
        <w:t xml:space="preserve">, UN Doc. UNCTAD/ISS/2016/1 at para </w:t>
      </w:r>
      <w:r>
        <w:rPr>
          <w:sz w:val="18"/>
          <w:szCs w:val="18"/>
        </w:rPr>
        <w:t>76(q)</w:t>
      </w:r>
    </w:p>
  </w:footnote>
  <w:footnote w:id="13">
    <w:p w14:paraId="7CDB4B26" w14:textId="77777777" w:rsidR="0013239C" w:rsidRPr="0081039E" w:rsidRDefault="0013239C" w:rsidP="0013239C">
      <w:pPr>
        <w:pStyle w:val="FootnoteText"/>
        <w:rPr>
          <w:sz w:val="18"/>
          <w:szCs w:val="18"/>
        </w:rPr>
      </w:pPr>
      <w:r w:rsidRPr="0081039E">
        <w:rPr>
          <w:rStyle w:val="FootnoteReference"/>
          <w:sz w:val="18"/>
          <w:szCs w:val="18"/>
        </w:rPr>
        <w:footnoteRef/>
      </w:r>
      <w:r w:rsidRPr="0081039E">
        <w:rPr>
          <w:sz w:val="18"/>
          <w:szCs w:val="18"/>
        </w:rPr>
        <w:t xml:space="preserve"> Blue BioTrade: Harnessing Marine Trade to Support Ecological Sustainability and Economic Equity (2018), UN Doc UNCTAD/DITC/TED/2018/11</w:t>
      </w:r>
    </w:p>
  </w:footnote>
  <w:footnote w:id="14">
    <w:p w14:paraId="2AEE96D1" w14:textId="1864CA66" w:rsidR="00354ED6" w:rsidRPr="0081039E" w:rsidRDefault="00354ED6" w:rsidP="00150043">
      <w:pPr>
        <w:pStyle w:val="FootnoteText"/>
        <w:jc w:val="both"/>
        <w:rPr>
          <w:sz w:val="18"/>
          <w:szCs w:val="18"/>
          <w:lang w:val="en-US"/>
        </w:rPr>
      </w:pPr>
      <w:r w:rsidRPr="0081039E">
        <w:rPr>
          <w:rStyle w:val="FootnoteReference"/>
          <w:sz w:val="18"/>
          <w:szCs w:val="18"/>
        </w:rPr>
        <w:footnoteRef/>
      </w:r>
      <w:r w:rsidRPr="0081039E">
        <w:rPr>
          <w:sz w:val="18"/>
          <w:szCs w:val="18"/>
        </w:rPr>
        <w:t xml:space="preserve"> </w:t>
      </w:r>
      <w:r w:rsidR="00F666A6" w:rsidRPr="0081039E">
        <w:rPr>
          <w:sz w:val="18"/>
          <w:szCs w:val="18"/>
          <w:lang w:val="en-US"/>
        </w:rPr>
        <w:t>More information on the UEBT Biodiversity Barometer can be found in: http://www.biodiversitybarometer.org/united-nations-target</w:t>
      </w:r>
    </w:p>
  </w:footnote>
  <w:footnote w:id="15">
    <w:p w14:paraId="3658ED2C" w14:textId="77777777" w:rsidR="00C0789D" w:rsidRPr="00175C6F" w:rsidRDefault="00C0789D" w:rsidP="00150043">
      <w:pPr>
        <w:spacing w:after="0"/>
        <w:ind w:left="284" w:hanging="284"/>
        <w:jc w:val="both"/>
        <w:rPr>
          <w:rFonts w:eastAsia="Times New Roman" w:cs="Times New Roman"/>
          <w:sz w:val="18"/>
          <w:szCs w:val="18"/>
          <w:lang w:val="en-US" w:eastAsia="en-CA"/>
        </w:rPr>
      </w:pPr>
      <w:r w:rsidRPr="0081039E">
        <w:rPr>
          <w:rStyle w:val="FootnoteReference"/>
          <w:sz w:val="18"/>
          <w:szCs w:val="18"/>
        </w:rPr>
        <w:footnoteRef/>
      </w:r>
      <w:r w:rsidRPr="00175C6F">
        <w:rPr>
          <w:sz w:val="18"/>
          <w:szCs w:val="18"/>
          <w:lang w:val="en-US"/>
        </w:rPr>
        <w:t xml:space="preserve"> </w:t>
      </w:r>
      <w:r w:rsidRPr="00175C6F">
        <w:rPr>
          <w:i/>
          <w:sz w:val="18"/>
          <w:szCs w:val="18"/>
          <w:lang w:val="en-US"/>
        </w:rPr>
        <w:t xml:space="preserve">Decision </w:t>
      </w:r>
      <w:r w:rsidRPr="00175C6F">
        <w:rPr>
          <w:rFonts w:eastAsia="Times New Roman" w:cs="Times New Roman"/>
          <w:i/>
          <w:sz w:val="18"/>
          <w:szCs w:val="18"/>
          <w:lang w:val="en-US" w:eastAsia="en-CA"/>
        </w:rPr>
        <w:t>VIII/17. Private-sector engagement</w:t>
      </w:r>
      <w:r w:rsidRPr="00175C6F">
        <w:rPr>
          <w:rFonts w:eastAsia="Times New Roman" w:cs="Times New Roman"/>
          <w:sz w:val="18"/>
          <w:szCs w:val="18"/>
          <w:lang w:val="en-US" w:eastAsia="en-CA"/>
        </w:rPr>
        <w:t>, page 3.</w:t>
      </w:r>
    </w:p>
  </w:footnote>
  <w:footnote w:id="16">
    <w:p w14:paraId="0C8F8A3A" w14:textId="77777777" w:rsidR="00C0789D" w:rsidRPr="0081039E" w:rsidRDefault="00C0789D" w:rsidP="00150043">
      <w:pPr>
        <w:pStyle w:val="FootnoteText"/>
        <w:ind w:left="284" w:hanging="284"/>
        <w:jc w:val="both"/>
        <w:rPr>
          <w:sz w:val="18"/>
          <w:szCs w:val="18"/>
        </w:rPr>
      </w:pPr>
      <w:r w:rsidRPr="0081039E">
        <w:rPr>
          <w:rStyle w:val="FootnoteReference"/>
          <w:sz w:val="18"/>
          <w:szCs w:val="18"/>
        </w:rPr>
        <w:footnoteRef/>
      </w:r>
      <w:r w:rsidRPr="0081039E">
        <w:rPr>
          <w:sz w:val="18"/>
          <w:szCs w:val="18"/>
        </w:rPr>
        <w:t xml:space="preserve"> </w:t>
      </w:r>
      <w:r w:rsidRPr="0081039E">
        <w:rPr>
          <w:i/>
          <w:sz w:val="18"/>
          <w:szCs w:val="18"/>
        </w:rPr>
        <w:t>Decision IX/26 on Promoting Business Engagement</w:t>
      </w:r>
      <w:r w:rsidRPr="0081039E">
        <w:rPr>
          <w:sz w:val="18"/>
          <w:szCs w:val="18"/>
        </w:rPr>
        <w:t>, Annex, para 2.</w:t>
      </w:r>
    </w:p>
  </w:footnote>
  <w:footnote w:id="17">
    <w:p w14:paraId="79B6935B" w14:textId="77777777" w:rsidR="00C0789D" w:rsidRPr="0081039E" w:rsidRDefault="00C0789D" w:rsidP="00150043">
      <w:pPr>
        <w:pStyle w:val="FootnoteText"/>
        <w:ind w:left="284" w:hanging="284"/>
        <w:jc w:val="both"/>
        <w:rPr>
          <w:sz w:val="18"/>
          <w:szCs w:val="18"/>
        </w:rPr>
      </w:pPr>
      <w:r w:rsidRPr="0081039E">
        <w:rPr>
          <w:rStyle w:val="FootnoteReference"/>
          <w:sz w:val="18"/>
          <w:szCs w:val="18"/>
        </w:rPr>
        <w:footnoteRef/>
      </w:r>
      <w:r w:rsidRPr="0081039E">
        <w:rPr>
          <w:sz w:val="18"/>
          <w:szCs w:val="18"/>
        </w:rPr>
        <w:t xml:space="preserve"> </w:t>
      </w:r>
      <w:r w:rsidRPr="0081039E">
        <w:rPr>
          <w:i/>
          <w:sz w:val="18"/>
          <w:szCs w:val="18"/>
        </w:rPr>
        <w:t>Decision IX/26 on Promoting Business Engagement</w:t>
      </w:r>
      <w:r w:rsidRPr="0081039E">
        <w:rPr>
          <w:sz w:val="18"/>
          <w:szCs w:val="18"/>
        </w:rPr>
        <w:t>, Annex, para 6.</w:t>
      </w:r>
    </w:p>
  </w:footnote>
  <w:footnote w:id="18">
    <w:p w14:paraId="6C40046A" w14:textId="550CD705" w:rsidR="00C0789D" w:rsidRPr="0081039E" w:rsidRDefault="00C0789D" w:rsidP="00150043">
      <w:pPr>
        <w:spacing w:after="0"/>
        <w:ind w:left="284" w:hanging="284"/>
        <w:jc w:val="both"/>
        <w:rPr>
          <w:sz w:val="18"/>
          <w:szCs w:val="18"/>
          <w:lang w:val="en-US"/>
        </w:rPr>
      </w:pPr>
      <w:r w:rsidRPr="0081039E">
        <w:rPr>
          <w:rStyle w:val="FootnoteReference"/>
          <w:sz w:val="18"/>
          <w:szCs w:val="18"/>
        </w:rPr>
        <w:footnoteRef/>
      </w:r>
      <w:r w:rsidRPr="00175C6F">
        <w:rPr>
          <w:sz w:val="18"/>
          <w:szCs w:val="18"/>
          <w:lang w:val="en-US"/>
        </w:rPr>
        <w:t xml:space="preserve"> </w:t>
      </w:r>
      <w:r w:rsidRPr="0081039E">
        <w:rPr>
          <w:i/>
          <w:sz w:val="18"/>
          <w:szCs w:val="18"/>
          <w:lang w:val="en-US"/>
        </w:rPr>
        <w:t>Decision X/21.Business engagement</w:t>
      </w:r>
      <w:r w:rsidRPr="0081039E">
        <w:rPr>
          <w:sz w:val="18"/>
          <w:szCs w:val="18"/>
          <w:lang w:val="en-US"/>
        </w:rPr>
        <w:t>,</w:t>
      </w:r>
      <w:r w:rsidR="005A4C7B">
        <w:rPr>
          <w:sz w:val="18"/>
          <w:szCs w:val="18"/>
          <w:lang w:val="en-US"/>
        </w:rPr>
        <w:t xml:space="preserve"> para 1(c).</w:t>
      </w:r>
    </w:p>
  </w:footnote>
  <w:footnote w:id="19">
    <w:p w14:paraId="6EF6482C" w14:textId="77777777" w:rsidR="00C0789D" w:rsidRPr="0081039E" w:rsidRDefault="00C0789D" w:rsidP="00150043">
      <w:pPr>
        <w:pStyle w:val="FootnoteText"/>
        <w:ind w:left="284" w:hanging="284"/>
        <w:jc w:val="both"/>
        <w:rPr>
          <w:sz w:val="18"/>
          <w:szCs w:val="18"/>
        </w:rPr>
      </w:pPr>
      <w:r w:rsidRPr="0081039E">
        <w:rPr>
          <w:rStyle w:val="FootnoteReference"/>
          <w:sz w:val="18"/>
          <w:szCs w:val="18"/>
        </w:rPr>
        <w:footnoteRef/>
      </w:r>
      <w:r w:rsidRPr="0081039E">
        <w:rPr>
          <w:sz w:val="18"/>
          <w:szCs w:val="18"/>
        </w:rPr>
        <w:t xml:space="preserve"> </w:t>
      </w:r>
      <w:r w:rsidRPr="0081039E">
        <w:rPr>
          <w:i/>
          <w:sz w:val="18"/>
          <w:szCs w:val="18"/>
        </w:rPr>
        <w:t>Decision XII/10. Business engagement</w:t>
      </w:r>
      <w:r w:rsidRPr="0081039E">
        <w:rPr>
          <w:sz w:val="18"/>
          <w:szCs w:val="18"/>
        </w:rPr>
        <w:t>, para 2(f).</w:t>
      </w:r>
    </w:p>
  </w:footnote>
  <w:footnote w:id="20">
    <w:p w14:paraId="793BAEF3" w14:textId="14E05386" w:rsidR="00C0789D" w:rsidRPr="0081039E" w:rsidRDefault="00C0789D" w:rsidP="00150043">
      <w:pPr>
        <w:pStyle w:val="FootnoteText"/>
        <w:ind w:left="284" w:hanging="284"/>
        <w:jc w:val="both"/>
        <w:rPr>
          <w:sz w:val="18"/>
          <w:szCs w:val="18"/>
        </w:rPr>
      </w:pPr>
      <w:r w:rsidRPr="0081039E">
        <w:rPr>
          <w:rStyle w:val="FootnoteReference"/>
          <w:sz w:val="18"/>
          <w:szCs w:val="18"/>
        </w:rPr>
        <w:footnoteRef/>
      </w:r>
      <w:r w:rsidRPr="0081039E">
        <w:rPr>
          <w:sz w:val="18"/>
          <w:szCs w:val="18"/>
        </w:rPr>
        <w:t xml:space="preserve"> </w:t>
      </w:r>
      <w:r w:rsidRPr="0081039E">
        <w:rPr>
          <w:i/>
          <w:sz w:val="18"/>
          <w:szCs w:val="18"/>
        </w:rPr>
        <w:t>Decision XIV/3. Mainstreaming of biodiversity in the energy and mining, infrastructure, manufacturing and processing sectors</w:t>
      </w:r>
      <w:r w:rsidRPr="0081039E">
        <w:rPr>
          <w:sz w:val="18"/>
          <w:szCs w:val="18"/>
        </w:rPr>
        <w:t xml:space="preserve">, </w:t>
      </w:r>
      <w:r w:rsidR="005A4C7B">
        <w:rPr>
          <w:sz w:val="18"/>
          <w:szCs w:val="18"/>
        </w:rPr>
        <w:t>preamble.</w:t>
      </w:r>
    </w:p>
  </w:footnote>
  <w:footnote w:id="21">
    <w:p w14:paraId="01B3A0EF" w14:textId="77777777" w:rsidR="00C0789D" w:rsidRPr="0081039E" w:rsidRDefault="00C0789D" w:rsidP="00150043">
      <w:pPr>
        <w:pStyle w:val="FootnoteText"/>
        <w:ind w:left="284" w:hanging="284"/>
        <w:jc w:val="both"/>
        <w:rPr>
          <w:sz w:val="18"/>
          <w:szCs w:val="18"/>
        </w:rPr>
      </w:pPr>
      <w:r w:rsidRPr="0081039E">
        <w:rPr>
          <w:rStyle w:val="FootnoteReference"/>
          <w:sz w:val="18"/>
          <w:szCs w:val="18"/>
        </w:rPr>
        <w:footnoteRef/>
      </w:r>
      <w:r w:rsidRPr="0081039E">
        <w:rPr>
          <w:sz w:val="18"/>
          <w:szCs w:val="18"/>
        </w:rPr>
        <w:t xml:space="preserve"> </w:t>
      </w:r>
      <w:r w:rsidRPr="0081039E">
        <w:rPr>
          <w:i/>
          <w:sz w:val="18"/>
          <w:szCs w:val="18"/>
        </w:rPr>
        <w:t>Decision X/20. Cooperation with other conventions and international organizations and initiatives</w:t>
      </w:r>
      <w:r w:rsidRPr="0081039E">
        <w:rPr>
          <w:sz w:val="18"/>
          <w:szCs w:val="18"/>
        </w:rPr>
        <w:t>, para 19.</w:t>
      </w:r>
    </w:p>
  </w:footnote>
  <w:footnote w:id="22">
    <w:p w14:paraId="63319FA7" w14:textId="77777777" w:rsidR="00C0789D" w:rsidRPr="0081039E" w:rsidRDefault="00C0789D" w:rsidP="00150043">
      <w:pPr>
        <w:pStyle w:val="FootnoteText"/>
        <w:ind w:left="284" w:hanging="284"/>
        <w:jc w:val="both"/>
        <w:rPr>
          <w:sz w:val="18"/>
          <w:szCs w:val="18"/>
        </w:rPr>
      </w:pPr>
      <w:r w:rsidRPr="0081039E">
        <w:rPr>
          <w:rStyle w:val="FootnoteReference"/>
          <w:sz w:val="18"/>
          <w:szCs w:val="18"/>
        </w:rPr>
        <w:footnoteRef/>
      </w:r>
      <w:r w:rsidRPr="0081039E">
        <w:rPr>
          <w:sz w:val="18"/>
          <w:szCs w:val="18"/>
        </w:rPr>
        <w:t xml:space="preserve"> </w:t>
      </w:r>
      <w:r w:rsidRPr="0081039E">
        <w:rPr>
          <w:i/>
          <w:sz w:val="18"/>
          <w:szCs w:val="18"/>
        </w:rPr>
        <w:t>Decision XII/6. Cooperation with other conventions, international organizations and initiatives</w:t>
      </w:r>
      <w:r w:rsidRPr="0081039E">
        <w:rPr>
          <w:sz w:val="18"/>
          <w:szCs w:val="18"/>
        </w:rPr>
        <w:t xml:space="preserve">, para </w:t>
      </w:r>
      <w:r w:rsidRPr="0081039E">
        <w:rPr>
          <w:sz w:val="18"/>
          <w:szCs w:val="18"/>
          <w:lang w:val="en-US"/>
        </w:rPr>
        <w:t>18.</w:t>
      </w:r>
    </w:p>
  </w:footnote>
  <w:footnote w:id="23">
    <w:p w14:paraId="01C6B7AB" w14:textId="77777777" w:rsidR="00C0789D" w:rsidRPr="00175C6F" w:rsidRDefault="00C0789D" w:rsidP="00150043">
      <w:pPr>
        <w:spacing w:after="0"/>
        <w:jc w:val="both"/>
        <w:rPr>
          <w:sz w:val="18"/>
          <w:szCs w:val="18"/>
          <w:lang w:val="en-US"/>
        </w:rPr>
      </w:pPr>
      <w:r w:rsidRPr="0081039E">
        <w:rPr>
          <w:rStyle w:val="FootnoteReference"/>
          <w:sz w:val="18"/>
          <w:szCs w:val="18"/>
        </w:rPr>
        <w:footnoteRef/>
      </w:r>
      <w:r w:rsidRPr="00175C6F">
        <w:rPr>
          <w:sz w:val="18"/>
          <w:szCs w:val="18"/>
          <w:lang w:val="en-US"/>
        </w:rPr>
        <w:t xml:space="preserve"> </w:t>
      </w:r>
      <w:r w:rsidRPr="00175C6F">
        <w:rPr>
          <w:i/>
          <w:sz w:val="18"/>
          <w:szCs w:val="18"/>
          <w:lang w:val="en-US"/>
        </w:rPr>
        <w:t>Decision XIII/24. Cooperation with other conventions and international organizations</w:t>
      </w:r>
      <w:r w:rsidRPr="00175C6F">
        <w:rPr>
          <w:sz w:val="18"/>
          <w:szCs w:val="18"/>
          <w:lang w:val="en-US"/>
        </w:rPr>
        <w:t xml:space="preserve">, para </w:t>
      </w:r>
      <w:r w:rsidRPr="00175C6F">
        <w:rPr>
          <w:rFonts w:eastAsia="Times New Roman" w:cs="Times New Roman"/>
          <w:sz w:val="18"/>
          <w:szCs w:val="18"/>
          <w:lang w:val="en-US" w:eastAsia="en-CA"/>
        </w:rPr>
        <w:t>18.</w:t>
      </w:r>
    </w:p>
  </w:footnote>
  <w:footnote w:id="24">
    <w:p w14:paraId="3F80D81D" w14:textId="77777777" w:rsidR="00C0789D" w:rsidRPr="0081039E" w:rsidRDefault="00C0789D" w:rsidP="00150043">
      <w:pPr>
        <w:pStyle w:val="FootnoteText"/>
        <w:jc w:val="both"/>
        <w:rPr>
          <w:sz w:val="18"/>
          <w:szCs w:val="18"/>
        </w:rPr>
      </w:pPr>
      <w:r w:rsidRPr="0081039E">
        <w:rPr>
          <w:rStyle w:val="FootnoteReference"/>
          <w:sz w:val="18"/>
          <w:szCs w:val="18"/>
        </w:rPr>
        <w:footnoteRef/>
      </w:r>
      <w:r w:rsidRPr="0081039E">
        <w:rPr>
          <w:sz w:val="18"/>
          <w:szCs w:val="18"/>
        </w:rPr>
        <w:t xml:space="preserve"> </w:t>
      </w:r>
      <w:r w:rsidRPr="0081039E">
        <w:rPr>
          <w:i/>
          <w:sz w:val="18"/>
          <w:szCs w:val="18"/>
        </w:rPr>
        <w:t>Decision XIV/30.Cooperation with other conventions, international organizations and initiatives</w:t>
      </w:r>
      <w:r w:rsidRPr="0081039E">
        <w:rPr>
          <w:sz w:val="18"/>
          <w:szCs w:val="18"/>
        </w:rPr>
        <w:t>, para 16.</w:t>
      </w:r>
    </w:p>
  </w:footnote>
  <w:footnote w:id="25">
    <w:p w14:paraId="4CEFA4D5" w14:textId="77777777" w:rsidR="00C0789D" w:rsidRPr="0081039E" w:rsidRDefault="00C0789D" w:rsidP="00150043">
      <w:pPr>
        <w:pStyle w:val="FootnoteText"/>
        <w:ind w:left="284" w:hanging="284"/>
        <w:jc w:val="both"/>
        <w:rPr>
          <w:sz w:val="18"/>
          <w:szCs w:val="18"/>
        </w:rPr>
      </w:pPr>
      <w:r w:rsidRPr="0081039E">
        <w:rPr>
          <w:rStyle w:val="FootnoteReference"/>
          <w:sz w:val="18"/>
          <w:szCs w:val="18"/>
        </w:rPr>
        <w:footnoteRef/>
      </w:r>
      <w:r w:rsidRPr="0081039E">
        <w:rPr>
          <w:sz w:val="18"/>
          <w:szCs w:val="18"/>
        </w:rPr>
        <w:t xml:space="preserve"> </w:t>
      </w:r>
      <w:r w:rsidRPr="0081039E">
        <w:rPr>
          <w:i/>
          <w:sz w:val="18"/>
          <w:szCs w:val="18"/>
        </w:rPr>
        <w:t>Decision IX/6 Incentive Measures (Article 11)</w:t>
      </w:r>
      <w:r w:rsidRPr="0081039E">
        <w:rPr>
          <w:sz w:val="18"/>
          <w:szCs w:val="18"/>
        </w:rPr>
        <w:t>, para 13.</w:t>
      </w:r>
    </w:p>
  </w:footnote>
  <w:footnote w:id="26">
    <w:p w14:paraId="2093571F" w14:textId="77777777" w:rsidR="00C0789D" w:rsidRPr="0081039E" w:rsidRDefault="00C0789D" w:rsidP="00150043">
      <w:pPr>
        <w:pStyle w:val="FootnoteText"/>
        <w:ind w:left="284" w:hanging="284"/>
        <w:jc w:val="both"/>
        <w:rPr>
          <w:sz w:val="18"/>
          <w:szCs w:val="18"/>
        </w:rPr>
      </w:pPr>
      <w:r w:rsidRPr="0081039E">
        <w:rPr>
          <w:rStyle w:val="FootnoteReference"/>
          <w:sz w:val="18"/>
          <w:szCs w:val="18"/>
        </w:rPr>
        <w:footnoteRef/>
      </w:r>
      <w:r w:rsidRPr="0081039E">
        <w:rPr>
          <w:sz w:val="18"/>
          <w:szCs w:val="18"/>
        </w:rPr>
        <w:t xml:space="preserve"> </w:t>
      </w:r>
      <w:r w:rsidRPr="0081039E">
        <w:rPr>
          <w:i/>
          <w:sz w:val="18"/>
          <w:szCs w:val="18"/>
        </w:rPr>
        <w:t>Decision IX/6 Incentive Measures (Article 11),</w:t>
      </w:r>
      <w:r w:rsidRPr="0081039E">
        <w:rPr>
          <w:sz w:val="18"/>
          <w:szCs w:val="18"/>
        </w:rPr>
        <w:t xml:space="preserve"> para 15.</w:t>
      </w:r>
    </w:p>
  </w:footnote>
  <w:footnote w:id="27">
    <w:p w14:paraId="4F820EA3" w14:textId="77777777" w:rsidR="00C0789D" w:rsidRPr="0081039E" w:rsidRDefault="00C0789D" w:rsidP="00150043">
      <w:pPr>
        <w:pStyle w:val="FootnoteText"/>
        <w:ind w:left="284" w:hanging="284"/>
        <w:jc w:val="both"/>
        <w:rPr>
          <w:sz w:val="18"/>
          <w:szCs w:val="18"/>
        </w:rPr>
      </w:pPr>
      <w:r w:rsidRPr="0081039E">
        <w:rPr>
          <w:rStyle w:val="FootnoteReference"/>
          <w:sz w:val="18"/>
          <w:szCs w:val="18"/>
        </w:rPr>
        <w:footnoteRef/>
      </w:r>
      <w:r w:rsidRPr="0081039E">
        <w:rPr>
          <w:sz w:val="18"/>
          <w:szCs w:val="18"/>
        </w:rPr>
        <w:t xml:space="preserve"> </w:t>
      </w:r>
      <w:r w:rsidRPr="0081039E">
        <w:rPr>
          <w:i/>
          <w:sz w:val="18"/>
          <w:szCs w:val="18"/>
        </w:rPr>
        <w:t>Decision IX/6 Incentive Measures (Article 11),</w:t>
      </w:r>
      <w:r w:rsidRPr="0081039E">
        <w:rPr>
          <w:sz w:val="18"/>
          <w:szCs w:val="18"/>
        </w:rPr>
        <w:t xml:space="preserve"> para 16.</w:t>
      </w:r>
    </w:p>
  </w:footnote>
  <w:footnote w:id="28">
    <w:p w14:paraId="4B785CE7" w14:textId="77777777" w:rsidR="00C0789D" w:rsidRPr="0081039E" w:rsidRDefault="00C0789D" w:rsidP="00150043">
      <w:pPr>
        <w:pStyle w:val="FootnoteText"/>
        <w:ind w:left="284" w:hanging="284"/>
        <w:jc w:val="both"/>
        <w:rPr>
          <w:sz w:val="18"/>
          <w:szCs w:val="18"/>
        </w:rPr>
      </w:pPr>
      <w:r w:rsidRPr="0081039E">
        <w:rPr>
          <w:rStyle w:val="FootnoteReference"/>
          <w:sz w:val="18"/>
          <w:szCs w:val="18"/>
        </w:rPr>
        <w:footnoteRef/>
      </w:r>
      <w:r w:rsidRPr="0081039E">
        <w:rPr>
          <w:sz w:val="18"/>
          <w:szCs w:val="18"/>
        </w:rPr>
        <w:t xml:space="preserve"> </w:t>
      </w:r>
      <w:r w:rsidRPr="0081039E">
        <w:rPr>
          <w:i/>
          <w:sz w:val="18"/>
          <w:szCs w:val="18"/>
        </w:rPr>
        <w:t>Decision X/44 Incentive measures</w:t>
      </w:r>
      <w:r w:rsidRPr="0081039E">
        <w:rPr>
          <w:sz w:val="18"/>
          <w:szCs w:val="18"/>
        </w:rPr>
        <w:t>, para</w:t>
      </w:r>
      <w:r w:rsidRPr="0081039E">
        <w:rPr>
          <w:i/>
          <w:sz w:val="18"/>
          <w:szCs w:val="18"/>
        </w:rPr>
        <w:t xml:space="preserve"> </w:t>
      </w:r>
      <w:r w:rsidRPr="0081039E">
        <w:rPr>
          <w:sz w:val="18"/>
          <w:szCs w:val="18"/>
          <w:lang w:val="en-US"/>
        </w:rPr>
        <w:t>3.</w:t>
      </w:r>
    </w:p>
  </w:footnote>
  <w:footnote w:id="29">
    <w:p w14:paraId="6390F404" w14:textId="77777777" w:rsidR="00C0789D" w:rsidRPr="0081039E" w:rsidRDefault="00C0789D" w:rsidP="00150043">
      <w:pPr>
        <w:pStyle w:val="FootnoteText"/>
        <w:jc w:val="both"/>
        <w:rPr>
          <w:sz w:val="18"/>
          <w:szCs w:val="18"/>
        </w:rPr>
      </w:pPr>
      <w:r w:rsidRPr="0081039E">
        <w:rPr>
          <w:rStyle w:val="FootnoteReference"/>
          <w:sz w:val="18"/>
          <w:szCs w:val="18"/>
        </w:rPr>
        <w:footnoteRef/>
      </w:r>
      <w:r w:rsidRPr="0081039E">
        <w:rPr>
          <w:sz w:val="18"/>
          <w:szCs w:val="18"/>
        </w:rPr>
        <w:t xml:space="preserve"> </w:t>
      </w:r>
      <w:r w:rsidRPr="0081039E">
        <w:rPr>
          <w:i/>
          <w:sz w:val="18"/>
          <w:szCs w:val="18"/>
        </w:rPr>
        <w:t>Decision XI/30. Incentive measures</w:t>
      </w:r>
      <w:r w:rsidRPr="0081039E">
        <w:rPr>
          <w:sz w:val="18"/>
          <w:szCs w:val="18"/>
        </w:rPr>
        <w:t>, para 10.</w:t>
      </w:r>
    </w:p>
  </w:footnote>
  <w:footnote w:id="30">
    <w:p w14:paraId="4AEE1F16" w14:textId="77777777" w:rsidR="00C0789D" w:rsidRPr="0081039E" w:rsidRDefault="00C0789D" w:rsidP="00150043">
      <w:pPr>
        <w:pStyle w:val="FootnoteText"/>
        <w:jc w:val="both"/>
        <w:rPr>
          <w:sz w:val="18"/>
          <w:szCs w:val="18"/>
        </w:rPr>
      </w:pPr>
      <w:r w:rsidRPr="0081039E">
        <w:rPr>
          <w:rStyle w:val="FootnoteReference"/>
          <w:sz w:val="18"/>
          <w:szCs w:val="18"/>
        </w:rPr>
        <w:footnoteRef/>
      </w:r>
      <w:r w:rsidRPr="0081039E">
        <w:rPr>
          <w:sz w:val="18"/>
          <w:szCs w:val="18"/>
        </w:rPr>
        <w:t xml:space="preserve"> </w:t>
      </w:r>
      <w:r w:rsidRPr="0081039E">
        <w:rPr>
          <w:i/>
          <w:sz w:val="18"/>
          <w:szCs w:val="18"/>
        </w:rPr>
        <w:t>Decision</w:t>
      </w:r>
      <w:r w:rsidRPr="0081039E">
        <w:rPr>
          <w:sz w:val="18"/>
          <w:szCs w:val="18"/>
        </w:rPr>
        <w:t xml:space="preserve"> </w:t>
      </w:r>
      <w:r w:rsidRPr="0081039E">
        <w:rPr>
          <w:i/>
          <w:sz w:val="18"/>
          <w:szCs w:val="18"/>
        </w:rPr>
        <w:t>X/6. Integration of biodiversity into poverty eradication and development</w:t>
      </w:r>
      <w:r w:rsidRPr="0081039E">
        <w:rPr>
          <w:sz w:val="18"/>
          <w:szCs w:val="18"/>
        </w:rPr>
        <w:t>, para 12.</w:t>
      </w:r>
    </w:p>
  </w:footnote>
  <w:footnote w:id="31">
    <w:p w14:paraId="2C2B5C78" w14:textId="77777777" w:rsidR="00C0789D" w:rsidRPr="0081039E" w:rsidRDefault="00C0789D" w:rsidP="00150043">
      <w:pPr>
        <w:spacing w:after="0"/>
        <w:ind w:left="284" w:hanging="284"/>
        <w:jc w:val="both"/>
        <w:rPr>
          <w:sz w:val="18"/>
          <w:szCs w:val="18"/>
          <w:lang w:val="en-US"/>
        </w:rPr>
      </w:pPr>
      <w:r w:rsidRPr="0081039E">
        <w:rPr>
          <w:rStyle w:val="FootnoteReference"/>
          <w:sz w:val="18"/>
          <w:szCs w:val="18"/>
        </w:rPr>
        <w:footnoteRef/>
      </w:r>
      <w:r w:rsidRPr="00175C6F">
        <w:rPr>
          <w:sz w:val="18"/>
          <w:szCs w:val="18"/>
          <w:lang w:val="en-US"/>
        </w:rPr>
        <w:t xml:space="preserve"> </w:t>
      </w:r>
      <w:r w:rsidRPr="0081039E">
        <w:rPr>
          <w:i/>
          <w:sz w:val="18"/>
          <w:szCs w:val="18"/>
          <w:lang w:val="en-US"/>
        </w:rPr>
        <w:t>Decision X/32. Sustainable use of biodiversity</w:t>
      </w:r>
      <w:r w:rsidRPr="0081039E">
        <w:rPr>
          <w:sz w:val="18"/>
          <w:szCs w:val="18"/>
          <w:lang w:val="en-US"/>
        </w:rPr>
        <w:t>, para.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837EA" w14:textId="58DDC258" w:rsidR="00B3031F" w:rsidRDefault="00B30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08604" w14:textId="4E758C59" w:rsidR="002F1DB7" w:rsidRPr="00B3031F" w:rsidRDefault="002F1DB7" w:rsidP="00B3031F">
    <w:pPr>
      <w:pStyle w:val="Header"/>
      <w:jc w:val="right"/>
      <w:rPr>
        <w:i/>
        <w:sz w:val="18"/>
        <w:lang w:val="en-US"/>
      </w:rPr>
    </w:pPr>
    <w:r w:rsidRPr="00B3031F">
      <w:rPr>
        <w:i/>
        <w:sz w:val="18"/>
        <w:lang w:val="en-US"/>
      </w:rPr>
      <w:t xml:space="preserve">BioTrade initial views on the Post-2020 Global Biodiversity Framework Discussion Document </w:t>
    </w:r>
  </w:p>
  <w:p w14:paraId="5DA6CCDA" w14:textId="622328D8" w:rsidR="002F1DB7" w:rsidRPr="00B3031F" w:rsidRDefault="002F1DB7" w:rsidP="00B3031F">
    <w:pPr>
      <w:pStyle w:val="Header"/>
      <w:jc w:val="right"/>
      <w:rPr>
        <w:i/>
        <w:sz w:val="18"/>
      </w:rPr>
    </w:pPr>
    <w:r w:rsidRPr="00B3031F">
      <w:rPr>
        <w:i/>
        <w:sz w:val="18"/>
        <w:lang w:val="en-US"/>
      </w:rPr>
      <w:t>Version - 0</w:t>
    </w:r>
    <w:r w:rsidR="00B3031F" w:rsidRPr="00B3031F">
      <w:rPr>
        <w:i/>
        <w:sz w:val="18"/>
        <w:lang w:val="en-US"/>
      </w:rPr>
      <w:t>5</w:t>
    </w:r>
    <w:r w:rsidRPr="00B3031F">
      <w:rPr>
        <w:i/>
        <w:sz w:val="18"/>
        <w:lang w:val="en-US"/>
      </w:rPr>
      <w:t>.04.2019</w:t>
    </w:r>
  </w:p>
  <w:p w14:paraId="533E8BA9" w14:textId="77777777" w:rsidR="002F1DB7" w:rsidRDefault="002F1D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1927" w14:textId="4F8FC0A1" w:rsidR="00B3031F" w:rsidRDefault="00B30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90BA1"/>
    <w:multiLevelType w:val="hybridMultilevel"/>
    <w:tmpl w:val="AA506A0C"/>
    <w:lvl w:ilvl="0" w:tplc="1E7CFBA8">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E76685B"/>
    <w:multiLevelType w:val="hybridMultilevel"/>
    <w:tmpl w:val="06F2B782"/>
    <w:lvl w:ilvl="0" w:tplc="EEFCB91C">
      <w:start w:val="1"/>
      <w:numFmt w:val="decimal"/>
      <w:lvlText w:val="%1."/>
      <w:lvlJc w:val="left"/>
      <w:pPr>
        <w:ind w:left="720" w:hanging="360"/>
      </w:pPr>
      <w:rPr>
        <w:rFonts w:ascii="Times New Roman" w:hAnsi="Times New Roman" w:cs="Times New Roman" w:hint="default"/>
        <w:color w:val="4472C4" w:themeColor="accent1"/>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14E82E61"/>
    <w:multiLevelType w:val="hybridMultilevel"/>
    <w:tmpl w:val="F496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56467"/>
    <w:multiLevelType w:val="hybridMultilevel"/>
    <w:tmpl w:val="06F2B782"/>
    <w:lvl w:ilvl="0" w:tplc="EEFCB91C">
      <w:start w:val="1"/>
      <w:numFmt w:val="decimal"/>
      <w:lvlText w:val="%1."/>
      <w:lvlJc w:val="left"/>
      <w:pPr>
        <w:ind w:left="720" w:hanging="360"/>
      </w:pPr>
      <w:rPr>
        <w:rFonts w:ascii="Times New Roman" w:hAnsi="Times New Roman" w:cs="Times New Roman" w:hint="default"/>
        <w:color w:val="4472C4" w:themeColor="accent1"/>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300163B1"/>
    <w:multiLevelType w:val="hybridMultilevel"/>
    <w:tmpl w:val="1526D50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480B0B84"/>
    <w:multiLevelType w:val="hybridMultilevel"/>
    <w:tmpl w:val="02E447EA"/>
    <w:lvl w:ilvl="0" w:tplc="5CEC5CD6">
      <w:numFmt w:val="bullet"/>
      <w:lvlText w:val="-"/>
      <w:lvlJc w:val="left"/>
      <w:pPr>
        <w:ind w:left="720" w:hanging="360"/>
      </w:pPr>
      <w:rPr>
        <w:rFonts w:ascii="Times New Roman" w:eastAsiaTheme="majorEastAsia"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54482131"/>
    <w:multiLevelType w:val="hybridMultilevel"/>
    <w:tmpl w:val="789457FA"/>
    <w:lvl w:ilvl="0" w:tplc="1E7CFBA8">
      <w:start w:val="1"/>
      <w:numFmt w:val="bullet"/>
      <w:lvlText w:val=""/>
      <w:lvlJc w:val="left"/>
      <w:pPr>
        <w:ind w:left="360" w:hanging="360"/>
      </w:pPr>
      <w:rPr>
        <w:rFonts w:ascii="Symbol" w:hAnsi="Symbol" w:hint="default"/>
      </w:rPr>
    </w:lvl>
    <w:lvl w:ilvl="1" w:tplc="1E7CFBA8">
      <w:start w:val="1"/>
      <w:numFmt w:val="bullet"/>
      <w:lvlText w:val=""/>
      <w:lvlJc w:val="left"/>
      <w:pPr>
        <w:ind w:left="1080" w:hanging="360"/>
      </w:pPr>
      <w:rPr>
        <w:rFonts w:ascii="Symbol" w:hAnsi="Symbol" w:hint="default"/>
      </w:rPr>
    </w:lvl>
    <w:lvl w:ilvl="2" w:tplc="0C000005">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7" w15:restartNumberingAfterBreak="0">
    <w:nsid w:val="54493EA5"/>
    <w:multiLevelType w:val="hybridMultilevel"/>
    <w:tmpl w:val="A2A4E8F4"/>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557B11F0"/>
    <w:multiLevelType w:val="hybridMultilevel"/>
    <w:tmpl w:val="1F48887C"/>
    <w:lvl w:ilvl="0" w:tplc="67326DB4">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F7C5D9A"/>
    <w:multiLevelType w:val="hybridMultilevel"/>
    <w:tmpl w:val="9894F57A"/>
    <w:lvl w:ilvl="0" w:tplc="0C00000F">
      <w:start w:val="1"/>
      <w:numFmt w:val="decimal"/>
      <w:lvlText w:val="%1."/>
      <w:lvlJc w:val="left"/>
      <w:pPr>
        <w:ind w:left="720" w:hanging="360"/>
      </w:pPr>
      <w:rPr>
        <w:rFonts w:ascii="Times New Roman" w:hAnsi="Times New Roman"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660A4A71"/>
    <w:multiLevelType w:val="hybridMultilevel"/>
    <w:tmpl w:val="8E80717E"/>
    <w:lvl w:ilvl="0" w:tplc="0C000015">
      <w:start w:val="1"/>
      <w:numFmt w:val="upp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4"/>
  </w:num>
  <w:num w:numId="5">
    <w:abstractNumId w:val="3"/>
  </w:num>
  <w:num w:numId="6">
    <w:abstractNumId w:val="6"/>
  </w:num>
  <w:num w:numId="7">
    <w:abstractNumId w:val="1"/>
  </w:num>
  <w:num w:numId="8">
    <w:abstractNumId w:val="9"/>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16"/>
    <w:rsid w:val="00012E2D"/>
    <w:rsid w:val="00040856"/>
    <w:rsid w:val="000478FF"/>
    <w:rsid w:val="000732C1"/>
    <w:rsid w:val="00095511"/>
    <w:rsid w:val="00096C7B"/>
    <w:rsid w:val="000A334C"/>
    <w:rsid w:val="000C5583"/>
    <w:rsid w:val="000D3EBF"/>
    <w:rsid w:val="00112260"/>
    <w:rsid w:val="0013239C"/>
    <w:rsid w:val="00150043"/>
    <w:rsid w:val="00152C1C"/>
    <w:rsid w:val="001569C4"/>
    <w:rsid w:val="0016375C"/>
    <w:rsid w:val="00171BEA"/>
    <w:rsid w:val="00175C6F"/>
    <w:rsid w:val="00182C8D"/>
    <w:rsid w:val="001B4F89"/>
    <w:rsid w:val="001E1672"/>
    <w:rsid w:val="002220ED"/>
    <w:rsid w:val="002A6478"/>
    <w:rsid w:val="002C4922"/>
    <w:rsid w:val="002C7AB4"/>
    <w:rsid w:val="002D2854"/>
    <w:rsid w:val="002D4F8D"/>
    <w:rsid w:val="002D5F03"/>
    <w:rsid w:val="002F1DB7"/>
    <w:rsid w:val="00354ED6"/>
    <w:rsid w:val="00356789"/>
    <w:rsid w:val="0036220A"/>
    <w:rsid w:val="003B503B"/>
    <w:rsid w:val="003B6E80"/>
    <w:rsid w:val="003C0AB2"/>
    <w:rsid w:val="003C53FD"/>
    <w:rsid w:val="003C6366"/>
    <w:rsid w:val="003D07E1"/>
    <w:rsid w:val="003E0D26"/>
    <w:rsid w:val="0041288D"/>
    <w:rsid w:val="0042106A"/>
    <w:rsid w:val="004300E5"/>
    <w:rsid w:val="00466E36"/>
    <w:rsid w:val="004738CF"/>
    <w:rsid w:val="00496330"/>
    <w:rsid w:val="004A7BD0"/>
    <w:rsid w:val="004C0064"/>
    <w:rsid w:val="004C18AC"/>
    <w:rsid w:val="004C1935"/>
    <w:rsid w:val="0052352E"/>
    <w:rsid w:val="0057159C"/>
    <w:rsid w:val="0058415C"/>
    <w:rsid w:val="005A4C7B"/>
    <w:rsid w:val="005A6268"/>
    <w:rsid w:val="005E39FE"/>
    <w:rsid w:val="005E7DB6"/>
    <w:rsid w:val="005F1EB1"/>
    <w:rsid w:val="00602E42"/>
    <w:rsid w:val="00626F96"/>
    <w:rsid w:val="006279FE"/>
    <w:rsid w:val="00664C16"/>
    <w:rsid w:val="006857F5"/>
    <w:rsid w:val="006B7072"/>
    <w:rsid w:val="006C43A2"/>
    <w:rsid w:val="006C4B6E"/>
    <w:rsid w:val="006E5D52"/>
    <w:rsid w:val="006F5038"/>
    <w:rsid w:val="006F5BE0"/>
    <w:rsid w:val="006F6A45"/>
    <w:rsid w:val="00712EDA"/>
    <w:rsid w:val="007213C9"/>
    <w:rsid w:val="00733114"/>
    <w:rsid w:val="007336C2"/>
    <w:rsid w:val="00776117"/>
    <w:rsid w:val="007843E2"/>
    <w:rsid w:val="007857A6"/>
    <w:rsid w:val="00786795"/>
    <w:rsid w:val="00795029"/>
    <w:rsid w:val="007B23BB"/>
    <w:rsid w:val="007B7459"/>
    <w:rsid w:val="007F17E4"/>
    <w:rsid w:val="0081039E"/>
    <w:rsid w:val="00854D85"/>
    <w:rsid w:val="00884A8A"/>
    <w:rsid w:val="008B5868"/>
    <w:rsid w:val="008C745E"/>
    <w:rsid w:val="008F6C88"/>
    <w:rsid w:val="00971DBA"/>
    <w:rsid w:val="0098005D"/>
    <w:rsid w:val="00982FFE"/>
    <w:rsid w:val="009A31B4"/>
    <w:rsid w:val="009D0ABF"/>
    <w:rsid w:val="009F7F3E"/>
    <w:rsid w:val="00A2119C"/>
    <w:rsid w:val="00A50085"/>
    <w:rsid w:val="00A55F1D"/>
    <w:rsid w:val="00A904CC"/>
    <w:rsid w:val="00A937E2"/>
    <w:rsid w:val="00A9469E"/>
    <w:rsid w:val="00AB59E2"/>
    <w:rsid w:val="00AB7C3B"/>
    <w:rsid w:val="00AD4EC6"/>
    <w:rsid w:val="00B05C99"/>
    <w:rsid w:val="00B129A4"/>
    <w:rsid w:val="00B3031F"/>
    <w:rsid w:val="00B320C1"/>
    <w:rsid w:val="00B42EAF"/>
    <w:rsid w:val="00B61307"/>
    <w:rsid w:val="00B665E4"/>
    <w:rsid w:val="00B911A5"/>
    <w:rsid w:val="00BA4702"/>
    <w:rsid w:val="00C0789D"/>
    <w:rsid w:val="00C12B9F"/>
    <w:rsid w:val="00C13E40"/>
    <w:rsid w:val="00C211A0"/>
    <w:rsid w:val="00C4210A"/>
    <w:rsid w:val="00C47313"/>
    <w:rsid w:val="00C72A16"/>
    <w:rsid w:val="00C921A1"/>
    <w:rsid w:val="00C92764"/>
    <w:rsid w:val="00CA0B18"/>
    <w:rsid w:val="00CA5E68"/>
    <w:rsid w:val="00CC3177"/>
    <w:rsid w:val="00CE5261"/>
    <w:rsid w:val="00D03F56"/>
    <w:rsid w:val="00D133CB"/>
    <w:rsid w:val="00D4107C"/>
    <w:rsid w:val="00D535FB"/>
    <w:rsid w:val="00D57CF6"/>
    <w:rsid w:val="00D93FDD"/>
    <w:rsid w:val="00DB2F9F"/>
    <w:rsid w:val="00DB7C4E"/>
    <w:rsid w:val="00DC2206"/>
    <w:rsid w:val="00DC4D03"/>
    <w:rsid w:val="00DF5092"/>
    <w:rsid w:val="00E004FB"/>
    <w:rsid w:val="00E03A6E"/>
    <w:rsid w:val="00E2607C"/>
    <w:rsid w:val="00E951E8"/>
    <w:rsid w:val="00F15F70"/>
    <w:rsid w:val="00F323D3"/>
    <w:rsid w:val="00F40453"/>
    <w:rsid w:val="00F430C8"/>
    <w:rsid w:val="00F56952"/>
    <w:rsid w:val="00F65C86"/>
    <w:rsid w:val="00F666A6"/>
    <w:rsid w:val="00FA0BAF"/>
    <w:rsid w:val="00FB6F22"/>
    <w:rsid w:val="00FD7B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38E73C"/>
  <w15:docId w15:val="{21E59E26-044C-42AD-92D4-A2FA4D10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A16"/>
    <w:pPr>
      <w:keepNext/>
      <w:keepLines/>
      <w:spacing w:before="240" w:after="0" w:line="240" w:lineRule="auto"/>
      <w:jc w:val="both"/>
      <w:outlineLvl w:val="0"/>
    </w:pPr>
    <w:rPr>
      <w:rFonts w:ascii="Times New Roman" w:eastAsiaTheme="majorEastAsia" w:hAnsi="Times New Roman" w:cstheme="majorBidi"/>
      <w:color w:val="2F5496" w:themeColor="accent1" w:themeShade="BF"/>
      <w:sz w:val="32"/>
      <w:szCs w:val="32"/>
      <w:lang w:val="en-CA"/>
    </w:rPr>
  </w:style>
  <w:style w:type="paragraph" w:styleId="Heading2">
    <w:name w:val="heading 2"/>
    <w:basedOn w:val="Normal"/>
    <w:next w:val="Normal"/>
    <w:link w:val="Heading2Char"/>
    <w:uiPriority w:val="9"/>
    <w:unhideWhenUsed/>
    <w:qFormat/>
    <w:rsid w:val="00C0789D"/>
    <w:pPr>
      <w:keepNext/>
      <w:keepLines/>
      <w:spacing w:before="40" w:after="0" w:line="240" w:lineRule="auto"/>
      <w:jc w:val="both"/>
      <w:outlineLvl w:val="1"/>
    </w:pPr>
    <w:rPr>
      <w:rFonts w:ascii="Times New Roman" w:eastAsiaTheme="majorEastAsia" w:hAnsi="Times New Roman" w:cstheme="majorBidi"/>
      <w:color w:val="2F5496" w:themeColor="accent1" w:themeShade="BF"/>
      <w:sz w:val="26"/>
      <w:szCs w:val="26"/>
      <w:lang w:val="en-CA"/>
    </w:rPr>
  </w:style>
  <w:style w:type="paragraph" w:styleId="Heading3">
    <w:name w:val="heading 3"/>
    <w:basedOn w:val="Normal"/>
    <w:next w:val="Normal"/>
    <w:link w:val="Heading3Char"/>
    <w:uiPriority w:val="9"/>
    <w:unhideWhenUsed/>
    <w:qFormat/>
    <w:rsid w:val="00C0789D"/>
    <w:pPr>
      <w:keepNext/>
      <w:keepLines/>
      <w:spacing w:before="40" w:after="0" w:line="240" w:lineRule="auto"/>
      <w:jc w:val="both"/>
      <w:outlineLvl w:val="2"/>
    </w:pPr>
    <w:rPr>
      <w:rFonts w:ascii="Times New Roman" w:eastAsiaTheme="majorEastAsia" w:hAnsi="Times New Roman" w:cstheme="majorBidi"/>
      <w:color w:val="1F3763" w:themeColor="accent1" w:themeShade="7F"/>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A16"/>
    <w:rPr>
      <w:rFonts w:ascii="Times New Roman" w:eastAsiaTheme="majorEastAsia" w:hAnsi="Times New Roman" w:cstheme="majorBidi"/>
      <w:color w:val="2F5496" w:themeColor="accent1" w:themeShade="BF"/>
      <w:sz w:val="32"/>
      <w:szCs w:val="32"/>
      <w:lang w:val="en-CA"/>
    </w:rPr>
  </w:style>
  <w:style w:type="paragraph" w:styleId="ListParagraph">
    <w:name w:val="List Paragraph"/>
    <w:basedOn w:val="Normal"/>
    <w:uiPriority w:val="34"/>
    <w:qFormat/>
    <w:rsid w:val="007213C9"/>
    <w:pPr>
      <w:spacing w:after="0" w:line="240" w:lineRule="auto"/>
      <w:ind w:left="720"/>
      <w:contextualSpacing/>
    </w:pPr>
    <w:rPr>
      <w:rFonts w:ascii="Calibri" w:eastAsiaTheme="minorEastAsia" w:hAnsi="Calibri" w:cs="Calibri"/>
      <w:lang w:val="en-US"/>
    </w:rPr>
  </w:style>
  <w:style w:type="paragraph" w:styleId="FootnoteText">
    <w:name w:val="footnote text"/>
    <w:basedOn w:val="Normal"/>
    <w:link w:val="FootnoteTextChar"/>
    <w:uiPriority w:val="99"/>
    <w:unhideWhenUsed/>
    <w:rsid w:val="007213C9"/>
    <w:pPr>
      <w:spacing w:after="0" w:line="240" w:lineRule="auto"/>
    </w:pPr>
    <w:rPr>
      <w:sz w:val="20"/>
      <w:szCs w:val="20"/>
      <w:lang w:val="en-CA"/>
    </w:rPr>
  </w:style>
  <w:style w:type="character" w:customStyle="1" w:styleId="FootnoteTextChar">
    <w:name w:val="Footnote Text Char"/>
    <w:basedOn w:val="DefaultParagraphFont"/>
    <w:link w:val="FootnoteText"/>
    <w:uiPriority w:val="99"/>
    <w:rsid w:val="007213C9"/>
    <w:rPr>
      <w:sz w:val="20"/>
      <w:szCs w:val="20"/>
      <w:lang w:val="en-CA"/>
    </w:rPr>
  </w:style>
  <w:style w:type="character" w:styleId="FootnoteReference">
    <w:name w:val="footnote reference"/>
    <w:basedOn w:val="DefaultParagraphFont"/>
    <w:uiPriority w:val="99"/>
    <w:semiHidden/>
    <w:unhideWhenUsed/>
    <w:rsid w:val="007213C9"/>
    <w:rPr>
      <w:vertAlign w:val="superscript"/>
    </w:rPr>
  </w:style>
  <w:style w:type="character" w:styleId="CommentReference">
    <w:name w:val="annotation reference"/>
    <w:basedOn w:val="DefaultParagraphFont"/>
    <w:uiPriority w:val="99"/>
    <w:semiHidden/>
    <w:unhideWhenUsed/>
    <w:rsid w:val="007213C9"/>
    <w:rPr>
      <w:sz w:val="16"/>
      <w:szCs w:val="16"/>
    </w:rPr>
  </w:style>
  <w:style w:type="paragraph" w:styleId="CommentText">
    <w:name w:val="annotation text"/>
    <w:basedOn w:val="Normal"/>
    <w:link w:val="CommentTextChar"/>
    <w:uiPriority w:val="99"/>
    <w:semiHidden/>
    <w:unhideWhenUsed/>
    <w:rsid w:val="007213C9"/>
    <w:pPr>
      <w:spacing w:line="240" w:lineRule="auto"/>
      <w:jc w:val="both"/>
    </w:pPr>
    <w:rPr>
      <w:rFonts w:ascii="Times New Roman" w:hAnsi="Times New Roman"/>
      <w:sz w:val="20"/>
      <w:szCs w:val="20"/>
      <w:lang w:val="en-CA"/>
    </w:rPr>
  </w:style>
  <w:style w:type="character" w:customStyle="1" w:styleId="CommentTextChar">
    <w:name w:val="Comment Text Char"/>
    <w:basedOn w:val="DefaultParagraphFont"/>
    <w:link w:val="CommentText"/>
    <w:uiPriority w:val="99"/>
    <w:semiHidden/>
    <w:rsid w:val="007213C9"/>
    <w:rPr>
      <w:rFonts w:ascii="Times New Roman" w:hAnsi="Times New Roman"/>
      <w:sz w:val="20"/>
      <w:szCs w:val="20"/>
      <w:lang w:val="en-CA"/>
    </w:rPr>
  </w:style>
  <w:style w:type="paragraph" w:styleId="BalloonText">
    <w:name w:val="Balloon Text"/>
    <w:basedOn w:val="Normal"/>
    <w:link w:val="BalloonTextChar"/>
    <w:uiPriority w:val="99"/>
    <w:semiHidden/>
    <w:unhideWhenUsed/>
    <w:rsid w:val="00721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3C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213C9"/>
    <w:pPr>
      <w:jc w:val="left"/>
    </w:pPr>
    <w:rPr>
      <w:rFonts w:asciiTheme="minorHAnsi" w:hAnsiTheme="minorHAnsi"/>
      <w:b/>
      <w:bCs/>
    </w:rPr>
  </w:style>
  <w:style w:type="character" w:customStyle="1" w:styleId="CommentSubjectChar">
    <w:name w:val="Comment Subject Char"/>
    <w:basedOn w:val="CommentTextChar"/>
    <w:link w:val="CommentSubject"/>
    <w:uiPriority w:val="99"/>
    <w:semiHidden/>
    <w:rsid w:val="007213C9"/>
    <w:rPr>
      <w:rFonts w:ascii="Times New Roman" w:hAnsi="Times New Roman"/>
      <w:b/>
      <w:bCs/>
      <w:sz w:val="20"/>
      <w:szCs w:val="20"/>
      <w:lang w:val="en-CA"/>
    </w:rPr>
  </w:style>
  <w:style w:type="paragraph" w:styleId="EndnoteText">
    <w:name w:val="endnote text"/>
    <w:basedOn w:val="Normal"/>
    <w:link w:val="EndnoteTextChar"/>
    <w:uiPriority w:val="99"/>
    <w:semiHidden/>
    <w:unhideWhenUsed/>
    <w:rsid w:val="00A946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469E"/>
    <w:rPr>
      <w:sz w:val="20"/>
      <w:szCs w:val="20"/>
    </w:rPr>
  </w:style>
  <w:style w:type="character" w:styleId="EndnoteReference">
    <w:name w:val="endnote reference"/>
    <w:basedOn w:val="DefaultParagraphFont"/>
    <w:uiPriority w:val="99"/>
    <w:semiHidden/>
    <w:unhideWhenUsed/>
    <w:rsid w:val="00A9469E"/>
    <w:rPr>
      <w:vertAlign w:val="superscript"/>
    </w:rPr>
  </w:style>
  <w:style w:type="character" w:customStyle="1" w:styleId="highlight">
    <w:name w:val="highlight"/>
    <w:basedOn w:val="DefaultParagraphFont"/>
    <w:rsid w:val="002220ED"/>
  </w:style>
  <w:style w:type="character" w:customStyle="1" w:styleId="Heading2Char">
    <w:name w:val="Heading 2 Char"/>
    <w:basedOn w:val="DefaultParagraphFont"/>
    <w:link w:val="Heading2"/>
    <w:uiPriority w:val="9"/>
    <w:rsid w:val="00C0789D"/>
    <w:rPr>
      <w:rFonts w:ascii="Times New Roman" w:eastAsiaTheme="majorEastAsia" w:hAnsi="Times New Roman" w:cstheme="majorBidi"/>
      <w:color w:val="2F5496" w:themeColor="accent1" w:themeShade="BF"/>
      <w:sz w:val="26"/>
      <w:szCs w:val="26"/>
      <w:lang w:val="en-CA"/>
    </w:rPr>
  </w:style>
  <w:style w:type="character" w:customStyle="1" w:styleId="Heading3Char">
    <w:name w:val="Heading 3 Char"/>
    <w:basedOn w:val="DefaultParagraphFont"/>
    <w:link w:val="Heading3"/>
    <w:uiPriority w:val="9"/>
    <w:rsid w:val="00C0789D"/>
    <w:rPr>
      <w:rFonts w:ascii="Times New Roman" w:eastAsiaTheme="majorEastAsia" w:hAnsi="Times New Roman" w:cstheme="majorBidi"/>
      <w:color w:val="1F3763" w:themeColor="accent1" w:themeShade="7F"/>
      <w:sz w:val="24"/>
      <w:szCs w:val="24"/>
      <w:lang w:val="en-CA"/>
    </w:rPr>
  </w:style>
  <w:style w:type="paragraph" w:styleId="Header">
    <w:name w:val="header"/>
    <w:basedOn w:val="Normal"/>
    <w:link w:val="HeaderChar"/>
    <w:uiPriority w:val="99"/>
    <w:unhideWhenUsed/>
    <w:rsid w:val="002F1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DB7"/>
  </w:style>
  <w:style w:type="paragraph" w:styleId="Footer">
    <w:name w:val="footer"/>
    <w:basedOn w:val="Normal"/>
    <w:link w:val="FooterChar"/>
    <w:uiPriority w:val="99"/>
    <w:unhideWhenUsed/>
    <w:rsid w:val="002F1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DB7"/>
  </w:style>
  <w:style w:type="character" w:styleId="Hyperlink">
    <w:name w:val="Hyperlink"/>
    <w:basedOn w:val="DefaultParagraphFont"/>
    <w:uiPriority w:val="99"/>
    <w:unhideWhenUsed/>
    <w:rsid w:val="00DC4D03"/>
    <w:rPr>
      <w:color w:val="0563C1" w:themeColor="hyperlink"/>
      <w:u w:val="single"/>
    </w:rPr>
  </w:style>
  <w:style w:type="character" w:customStyle="1" w:styleId="UnresolvedMention1">
    <w:name w:val="Unresolved Mention1"/>
    <w:basedOn w:val="DefaultParagraphFont"/>
    <w:uiPriority w:val="99"/>
    <w:semiHidden/>
    <w:unhideWhenUsed/>
    <w:rsid w:val="00112260"/>
    <w:rPr>
      <w:color w:val="605E5C"/>
      <w:shd w:val="clear" w:color="auto" w:fill="E1DFDD"/>
    </w:rPr>
  </w:style>
  <w:style w:type="character" w:styleId="FollowedHyperlink">
    <w:name w:val="FollowedHyperlink"/>
    <w:basedOn w:val="DefaultParagraphFont"/>
    <w:uiPriority w:val="99"/>
    <w:semiHidden/>
    <w:unhideWhenUsed/>
    <w:rsid w:val="00CC3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82067">
      <w:bodyDiv w:val="1"/>
      <w:marLeft w:val="0"/>
      <w:marRight w:val="0"/>
      <w:marTop w:val="0"/>
      <w:marBottom w:val="0"/>
      <w:divBdr>
        <w:top w:val="none" w:sz="0" w:space="0" w:color="auto"/>
        <w:left w:val="none" w:sz="0" w:space="0" w:color="auto"/>
        <w:bottom w:val="none" w:sz="0" w:space="0" w:color="auto"/>
        <w:right w:val="none" w:sz="0" w:space="0" w:color="auto"/>
      </w:divBdr>
    </w:div>
    <w:div w:id="84131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ndeanbiotrad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B6F59FB38224B9B06D2F05C138ED0" ma:contentTypeVersion="8" ma:contentTypeDescription="Create a new document." ma:contentTypeScope="" ma:versionID="bfb06614afa083ac58e39abeed734e29">
  <xsd:schema xmlns:xsd="http://www.w3.org/2001/XMLSchema" xmlns:xs="http://www.w3.org/2001/XMLSchema" xmlns:p="http://schemas.microsoft.com/office/2006/metadata/properties" xmlns:ns2="5d1623e1-c7c2-4bfe-b87d-26465b1faa07" xmlns:ns3="7d053c58-1f97-4d34-bcfa-28b8fa6aacc8" targetNamespace="http://schemas.microsoft.com/office/2006/metadata/properties" ma:root="true" ma:fieldsID="44abcd776ccf9a46b8f9acfe83d67386" ns2:_="" ns3:_="">
    <xsd:import namespace="5d1623e1-c7c2-4bfe-b87d-26465b1faa07"/>
    <xsd:import namespace="7d053c58-1f97-4d34-bcfa-28b8fa6aac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623e1-c7c2-4bfe-b87d-26465b1fa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53c58-1f97-4d34-bcfa-28b8fa6aacc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79745-AEC6-4570-A20A-99319F5D0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623e1-c7c2-4bfe-b87d-26465b1faa07"/>
    <ds:schemaRef ds:uri="7d053c58-1f97-4d34-bcfa-28b8fa6aa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B03E3-8387-44AF-B828-D9CE0B21B51C}">
  <ds:schemaRefs>
    <ds:schemaRef ds:uri="http://schemas.microsoft.com/sharepoint/v3/contenttype/forms"/>
  </ds:schemaRefs>
</ds:datastoreItem>
</file>

<file path=customXml/itemProps3.xml><?xml version="1.0" encoding="utf-8"?>
<ds:datastoreItem xmlns:ds="http://schemas.openxmlformats.org/officeDocument/2006/customXml" ds:itemID="{E4182E88-D67E-4D3D-8C1E-8B117291D06F}">
  <ds:schemaRefs>
    <ds:schemaRef ds:uri="5d1623e1-c7c2-4bfe-b87d-26465b1faa07"/>
    <ds:schemaRef ds:uri="http://purl.org/dc/terms/"/>
    <ds:schemaRef ds:uri="7d053c58-1f97-4d34-bcfa-28b8fa6aacc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C485B16-7A4A-4B8A-88D9-804B804D3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2731</Words>
  <Characters>15572</Characters>
  <Application>Microsoft Office Word</Application>
  <DocSecurity>0</DocSecurity>
  <Lines>129</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Lorena Jaramillo Castro</dc:creator>
  <cp:lastModifiedBy>Lorena Jaramillo Castro</cp:lastModifiedBy>
  <cp:revision>2</cp:revision>
  <cp:lastPrinted>2019-04-15T13:36:00Z</cp:lastPrinted>
  <dcterms:created xsi:type="dcterms:W3CDTF">2019-04-15T16:12:00Z</dcterms:created>
  <dcterms:modified xsi:type="dcterms:W3CDTF">2019-04-15T16:12:00Z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0x010100FCCB6F59FB38224B9B06D2F05C138ED0</vt:lpwstr>
  </property>
</Properties>
</file>