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20C59F" w14:textId="77777777" w:rsidR="00236608" w:rsidRPr="00293F53" w:rsidRDefault="00236608" w:rsidP="00236608">
      <w:pPr>
        <w:jc w:val="center"/>
        <w:rPr>
          <w:b/>
          <w:sz w:val="22"/>
          <w:szCs w:val="22"/>
        </w:rPr>
      </w:pPr>
      <w:bookmarkStart w:id="0" w:name="_GoBack"/>
      <w:bookmarkEnd w:id="0"/>
      <w:r>
        <w:rPr>
          <w:b/>
          <w:sz w:val="22"/>
          <w:szCs w:val="22"/>
        </w:rPr>
        <w:t>Template</w:t>
      </w:r>
      <w:r w:rsidRPr="00293F53">
        <w:rPr>
          <w:b/>
          <w:sz w:val="22"/>
          <w:szCs w:val="22"/>
        </w:rPr>
        <w:t xml:space="preserve"> for the review of </w:t>
      </w:r>
      <w:r>
        <w:rPr>
          <w:b/>
          <w:sz w:val="22"/>
          <w:szCs w:val="22"/>
        </w:rPr>
        <w:t>draft documentation for the third meeting of the Subsidiary Body on Implementation</w:t>
      </w:r>
    </w:p>
    <w:p w14:paraId="794A5BD2" w14:textId="77777777" w:rsidR="00236608" w:rsidRDefault="00236608" w:rsidP="00236608">
      <w:pPr>
        <w:pStyle w:val="Default"/>
        <w:jc w:val="center"/>
        <w:rPr>
          <w:b/>
          <w:sz w:val="22"/>
          <w:szCs w:val="22"/>
          <w:u w:val="single"/>
        </w:rPr>
      </w:pPr>
    </w:p>
    <w:p w14:paraId="34B17942" w14:textId="77777777" w:rsidR="00236608" w:rsidRDefault="00236608" w:rsidP="00236608">
      <w:pPr>
        <w:pStyle w:val="Default"/>
        <w:jc w:val="center"/>
        <w:rPr>
          <w:b/>
          <w:sz w:val="22"/>
          <w:szCs w:val="22"/>
          <w:u w:val="single"/>
        </w:rPr>
      </w:pPr>
      <w:r>
        <w:rPr>
          <w:b/>
          <w:sz w:val="22"/>
          <w:szCs w:val="22"/>
          <w:u w:val="single"/>
        </w:rPr>
        <w:t>TEMPLATE FOR COMMENTS</w:t>
      </w:r>
    </w:p>
    <w:p w14:paraId="17859718" w14:textId="77777777" w:rsidR="00236608" w:rsidRPr="00532BBA" w:rsidRDefault="00236608" w:rsidP="00236608">
      <w:pPr>
        <w:pStyle w:val="Default"/>
        <w:jc w:val="center"/>
        <w:rPr>
          <w:b/>
          <w:sz w:val="22"/>
          <w:szCs w:val="22"/>
          <w:u w:val="single"/>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8"/>
        <w:gridCol w:w="1231"/>
        <w:gridCol w:w="2037"/>
        <w:gridCol w:w="6102"/>
      </w:tblGrid>
      <w:tr w:rsidR="00236608" w:rsidRPr="000C0B6C" w14:paraId="1FFC346E" w14:textId="77777777" w:rsidTr="009251C2">
        <w:trPr>
          <w:trHeight w:val="242"/>
        </w:trPr>
        <w:tc>
          <w:tcPr>
            <w:tcW w:w="10188" w:type="dxa"/>
            <w:gridSpan w:val="4"/>
          </w:tcPr>
          <w:p w14:paraId="7B023D72" w14:textId="77777777" w:rsidR="00236608" w:rsidRPr="000C0B6C" w:rsidRDefault="00236608" w:rsidP="009251C2">
            <w:pPr>
              <w:jc w:val="center"/>
              <w:rPr>
                <w:b/>
              </w:rPr>
            </w:pPr>
            <w:r>
              <w:rPr>
                <w:b/>
              </w:rPr>
              <w:t>Review comments on the fifth edition of the Global Biodiversity Outlook (GBO-5)</w:t>
            </w:r>
          </w:p>
        </w:tc>
      </w:tr>
      <w:tr w:rsidR="00AF4AD0" w:rsidRPr="000C0B6C" w14:paraId="19F85FA6" w14:textId="77777777" w:rsidTr="009251C2">
        <w:trPr>
          <w:trHeight w:val="270"/>
        </w:trPr>
        <w:tc>
          <w:tcPr>
            <w:tcW w:w="4086" w:type="dxa"/>
            <w:gridSpan w:val="3"/>
          </w:tcPr>
          <w:p w14:paraId="06F5B580" w14:textId="77777777" w:rsidR="00AF4AD0" w:rsidRPr="000C0B6C" w:rsidRDefault="00AF4AD0" w:rsidP="009251C2">
            <w:pPr>
              <w:pStyle w:val="Form"/>
              <w:rPr>
                <w:rFonts w:ascii="Times New Roman" w:hAnsi="Times New Roman" w:cs="Times New Roman"/>
                <w:b/>
                <w:sz w:val="22"/>
                <w:szCs w:val="22"/>
              </w:rPr>
            </w:pPr>
            <w:r>
              <w:rPr>
                <w:rFonts w:ascii="Times New Roman" w:hAnsi="Times New Roman" w:cs="Times New Roman"/>
                <w:b/>
                <w:sz w:val="22"/>
                <w:szCs w:val="22"/>
              </w:rPr>
              <w:t>Document being commented on:</w:t>
            </w:r>
          </w:p>
        </w:tc>
        <w:tc>
          <w:tcPr>
            <w:tcW w:w="6102" w:type="dxa"/>
          </w:tcPr>
          <w:p w14:paraId="1B40A4A0" w14:textId="732C0323" w:rsidR="00AF4AD0" w:rsidRPr="000C0B6C" w:rsidRDefault="00CF5AC6" w:rsidP="009251C2">
            <w:r>
              <w:t>Gender Plan of Action</w:t>
            </w:r>
          </w:p>
        </w:tc>
      </w:tr>
      <w:tr w:rsidR="00236608" w:rsidRPr="000C0B6C" w14:paraId="6598FBAB" w14:textId="77777777" w:rsidTr="009251C2">
        <w:trPr>
          <w:trHeight w:val="233"/>
        </w:trPr>
        <w:tc>
          <w:tcPr>
            <w:tcW w:w="10188" w:type="dxa"/>
            <w:gridSpan w:val="4"/>
            <w:shd w:val="clear" w:color="auto" w:fill="C0C0C0"/>
          </w:tcPr>
          <w:p w14:paraId="297416BC" w14:textId="77777777" w:rsidR="00236608" w:rsidRPr="000C0B6C" w:rsidRDefault="00236608" w:rsidP="009251C2">
            <w:pPr>
              <w:jc w:val="center"/>
              <w:rPr>
                <w:i/>
              </w:rPr>
            </w:pPr>
            <w:r w:rsidRPr="000C0B6C">
              <w:rPr>
                <w:i/>
              </w:rPr>
              <w:t>Contact information</w:t>
            </w:r>
          </w:p>
        </w:tc>
      </w:tr>
      <w:tr w:rsidR="00236608" w:rsidRPr="000C0B6C" w14:paraId="212CCDF4" w14:textId="77777777" w:rsidTr="009251C2">
        <w:trPr>
          <w:trHeight w:val="270"/>
        </w:trPr>
        <w:tc>
          <w:tcPr>
            <w:tcW w:w="4086" w:type="dxa"/>
            <w:gridSpan w:val="3"/>
          </w:tcPr>
          <w:p w14:paraId="13CBB394" w14:textId="77777777" w:rsidR="00236608" w:rsidRPr="000C0B6C" w:rsidRDefault="00236608" w:rsidP="009251C2">
            <w:pPr>
              <w:pStyle w:val="Form"/>
              <w:rPr>
                <w:rFonts w:ascii="Times New Roman" w:hAnsi="Times New Roman" w:cs="Times New Roman"/>
                <w:b/>
                <w:sz w:val="22"/>
              </w:rPr>
            </w:pPr>
            <w:r w:rsidRPr="000C0B6C">
              <w:rPr>
                <w:rFonts w:ascii="Times New Roman" w:hAnsi="Times New Roman" w:cs="Times New Roman"/>
                <w:b/>
                <w:sz w:val="22"/>
                <w:szCs w:val="22"/>
              </w:rPr>
              <w:t>Surname:</w:t>
            </w:r>
          </w:p>
        </w:tc>
        <w:tc>
          <w:tcPr>
            <w:tcW w:w="6102" w:type="dxa"/>
          </w:tcPr>
          <w:p w14:paraId="08B4F522" w14:textId="3E5BAEC8" w:rsidR="00236608" w:rsidRPr="000C0B6C" w:rsidRDefault="00CF5AC6" w:rsidP="009251C2">
            <w:r>
              <w:t>Johnston</w:t>
            </w:r>
          </w:p>
        </w:tc>
      </w:tr>
      <w:tr w:rsidR="00236608" w:rsidRPr="000C0B6C" w14:paraId="70478EC8" w14:textId="77777777" w:rsidTr="009251C2">
        <w:trPr>
          <w:trHeight w:val="270"/>
        </w:trPr>
        <w:tc>
          <w:tcPr>
            <w:tcW w:w="4086" w:type="dxa"/>
            <w:gridSpan w:val="3"/>
          </w:tcPr>
          <w:p w14:paraId="4EE5D0BF" w14:textId="77777777" w:rsidR="00236608" w:rsidRPr="000C0B6C" w:rsidRDefault="00236608" w:rsidP="009251C2">
            <w:pPr>
              <w:pStyle w:val="Form"/>
              <w:rPr>
                <w:rFonts w:ascii="Times New Roman" w:hAnsi="Times New Roman" w:cs="Times New Roman"/>
                <w:b/>
                <w:sz w:val="22"/>
              </w:rPr>
            </w:pPr>
            <w:r w:rsidRPr="000C0B6C">
              <w:rPr>
                <w:rFonts w:ascii="Times New Roman" w:hAnsi="Times New Roman" w:cs="Times New Roman"/>
                <w:b/>
                <w:sz w:val="22"/>
                <w:szCs w:val="22"/>
              </w:rPr>
              <w:t>Given Name:</w:t>
            </w:r>
          </w:p>
        </w:tc>
        <w:tc>
          <w:tcPr>
            <w:tcW w:w="6102" w:type="dxa"/>
          </w:tcPr>
          <w:p w14:paraId="618617AF" w14:textId="5F0C2630" w:rsidR="00236608" w:rsidRPr="000C0B6C" w:rsidRDefault="00CF5AC6" w:rsidP="009251C2">
            <w:r>
              <w:t>Lori</w:t>
            </w:r>
          </w:p>
        </w:tc>
      </w:tr>
      <w:tr w:rsidR="00236608" w:rsidRPr="000C0B6C" w14:paraId="60004B01" w14:textId="77777777" w:rsidTr="009251C2">
        <w:trPr>
          <w:trHeight w:val="280"/>
        </w:trPr>
        <w:tc>
          <w:tcPr>
            <w:tcW w:w="4086" w:type="dxa"/>
            <w:gridSpan w:val="3"/>
          </w:tcPr>
          <w:p w14:paraId="043D7251" w14:textId="77777777" w:rsidR="00236608" w:rsidRPr="000C0B6C" w:rsidRDefault="00236608" w:rsidP="009251C2">
            <w:pPr>
              <w:pStyle w:val="Form"/>
              <w:rPr>
                <w:rFonts w:ascii="Times New Roman" w:hAnsi="Times New Roman" w:cs="Times New Roman"/>
                <w:b/>
                <w:sz w:val="22"/>
              </w:rPr>
            </w:pPr>
            <w:r w:rsidRPr="000C0B6C">
              <w:rPr>
                <w:rFonts w:ascii="Times New Roman" w:hAnsi="Times New Roman" w:cs="Times New Roman"/>
                <w:b/>
                <w:sz w:val="22"/>
                <w:szCs w:val="22"/>
              </w:rPr>
              <w:t xml:space="preserve">Government </w:t>
            </w:r>
            <w:r w:rsidRPr="000C0B6C">
              <w:rPr>
                <w:rFonts w:ascii="Times New Roman" w:hAnsi="Times New Roman" w:cs="Times New Roman"/>
                <w:sz w:val="22"/>
                <w:szCs w:val="22"/>
              </w:rPr>
              <w:t>(if applicable)</w:t>
            </w:r>
            <w:r w:rsidRPr="000C0B6C">
              <w:rPr>
                <w:rFonts w:ascii="Times New Roman" w:hAnsi="Times New Roman" w:cs="Times New Roman"/>
                <w:b/>
                <w:sz w:val="22"/>
                <w:szCs w:val="22"/>
              </w:rPr>
              <w:t xml:space="preserve">: </w:t>
            </w:r>
          </w:p>
        </w:tc>
        <w:tc>
          <w:tcPr>
            <w:tcW w:w="6102" w:type="dxa"/>
          </w:tcPr>
          <w:p w14:paraId="44573104" w14:textId="77777777" w:rsidR="00236608" w:rsidRPr="000C0B6C" w:rsidRDefault="00236608" w:rsidP="009251C2"/>
        </w:tc>
      </w:tr>
      <w:tr w:rsidR="00236608" w:rsidRPr="000C0B6C" w14:paraId="41DAE210" w14:textId="77777777" w:rsidTr="009251C2">
        <w:trPr>
          <w:trHeight w:val="270"/>
        </w:trPr>
        <w:tc>
          <w:tcPr>
            <w:tcW w:w="4086" w:type="dxa"/>
            <w:gridSpan w:val="3"/>
          </w:tcPr>
          <w:p w14:paraId="064A5C6E" w14:textId="77777777" w:rsidR="00236608" w:rsidRPr="000C0B6C" w:rsidRDefault="00236608" w:rsidP="009251C2">
            <w:pPr>
              <w:pStyle w:val="Form"/>
              <w:rPr>
                <w:rFonts w:ascii="Times New Roman" w:hAnsi="Times New Roman" w:cs="Times New Roman"/>
                <w:b/>
                <w:sz w:val="22"/>
              </w:rPr>
            </w:pPr>
            <w:r w:rsidRPr="000C0B6C">
              <w:rPr>
                <w:rFonts w:ascii="Times New Roman" w:hAnsi="Times New Roman" w:cs="Times New Roman"/>
                <w:b/>
                <w:sz w:val="22"/>
                <w:szCs w:val="22"/>
              </w:rPr>
              <w:t>Organization:</w:t>
            </w:r>
          </w:p>
        </w:tc>
        <w:tc>
          <w:tcPr>
            <w:tcW w:w="6102" w:type="dxa"/>
          </w:tcPr>
          <w:p w14:paraId="6DC88D1F" w14:textId="5CC88123" w:rsidR="00236608" w:rsidRPr="000C0B6C" w:rsidRDefault="00CF5AC6" w:rsidP="009251C2">
            <w:r>
              <w:t>Southeast Indigenous Peoples’ Center</w:t>
            </w:r>
          </w:p>
        </w:tc>
      </w:tr>
      <w:tr w:rsidR="00236608" w:rsidRPr="000C0B6C" w14:paraId="19EAFF8D" w14:textId="77777777" w:rsidTr="009251C2">
        <w:trPr>
          <w:trHeight w:val="280"/>
        </w:trPr>
        <w:tc>
          <w:tcPr>
            <w:tcW w:w="4086" w:type="dxa"/>
            <w:gridSpan w:val="3"/>
          </w:tcPr>
          <w:p w14:paraId="051F46C6" w14:textId="77777777" w:rsidR="00236608" w:rsidRPr="000C0B6C" w:rsidRDefault="00236608" w:rsidP="009251C2">
            <w:pPr>
              <w:pStyle w:val="Form"/>
              <w:rPr>
                <w:rFonts w:ascii="Times New Roman" w:hAnsi="Times New Roman" w:cs="Times New Roman"/>
                <w:b/>
                <w:sz w:val="22"/>
              </w:rPr>
            </w:pPr>
            <w:r w:rsidRPr="000C0B6C">
              <w:rPr>
                <w:rFonts w:ascii="Times New Roman" w:hAnsi="Times New Roman" w:cs="Times New Roman"/>
                <w:b/>
                <w:sz w:val="22"/>
                <w:szCs w:val="22"/>
              </w:rPr>
              <w:t xml:space="preserve">Address:  </w:t>
            </w:r>
          </w:p>
        </w:tc>
        <w:tc>
          <w:tcPr>
            <w:tcW w:w="6102" w:type="dxa"/>
          </w:tcPr>
          <w:p w14:paraId="1BEACDEF" w14:textId="4AD1F189" w:rsidR="00236608" w:rsidRPr="000C0B6C" w:rsidRDefault="00CF5AC6" w:rsidP="009251C2">
            <w:r>
              <w:rPr>
                <w:sz w:val="15"/>
                <w:szCs w:val="15"/>
              </w:rPr>
              <w:t>PO Box 4003 Eatonton, Georgia,</w:t>
            </w:r>
          </w:p>
        </w:tc>
      </w:tr>
      <w:tr w:rsidR="00236608" w:rsidRPr="000C0B6C" w14:paraId="3310BC30" w14:textId="77777777" w:rsidTr="009251C2">
        <w:trPr>
          <w:trHeight w:val="270"/>
        </w:trPr>
        <w:tc>
          <w:tcPr>
            <w:tcW w:w="4086" w:type="dxa"/>
            <w:gridSpan w:val="3"/>
          </w:tcPr>
          <w:p w14:paraId="675A80C3" w14:textId="77777777" w:rsidR="00236608" w:rsidRPr="000C0B6C" w:rsidRDefault="00236608" w:rsidP="009251C2">
            <w:pPr>
              <w:pStyle w:val="Form"/>
              <w:rPr>
                <w:rFonts w:ascii="Times New Roman" w:hAnsi="Times New Roman" w:cs="Times New Roman"/>
                <w:b/>
                <w:sz w:val="22"/>
              </w:rPr>
            </w:pPr>
            <w:r w:rsidRPr="000C0B6C">
              <w:rPr>
                <w:rFonts w:ascii="Times New Roman" w:hAnsi="Times New Roman" w:cs="Times New Roman"/>
                <w:b/>
                <w:sz w:val="22"/>
                <w:szCs w:val="22"/>
              </w:rPr>
              <w:t>City:</w:t>
            </w:r>
          </w:p>
        </w:tc>
        <w:tc>
          <w:tcPr>
            <w:tcW w:w="6102" w:type="dxa"/>
          </w:tcPr>
          <w:p w14:paraId="160AB00E" w14:textId="2BE2AE45" w:rsidR="00236608" w:rsidRPr="000C0B6C" w:rsidRDefault="00CF5AC6" w:rsidP="009251C2">
            <w:r>
              <w:rPr>
                <w:sz w:val="15"/>
                <w:szCs w:val="15"/>
              </w:rPr>
              <w:t>Eatonton</w:t>
            </w:r>
          </w:p>
        </w:tc>
      </w:tr>
      <w:tr w:rsidR="00236608" w:rsidRPr="000C0B6C" w14:paraId="0303D967" w14:textId="77777777" w:rsidTr="009251C2">
        <w:trPr>
          <w:trHeight w:val="280"/>
        </w:trPr>
        <w:tc>
          <w:tcPr>
            <w:tcW w:w="4086" w:type="dxa"/>
            <w:gridSpan w:val="3"/>
          </w:tcPr>
          <w:p w14:paraId="241052A2" w14:textId="77777777" w:rsidR="00236608" w:rsidRPr="000C0B6C" w:rsidRDefault="00236608" w:rsidP="009251C2">
            <w:pPr>
              <w:pStyle w:val="Form"/>
              <w:rPr>
                <w:rFonts w:ascii="Times New Roman" w:hAnsi="Times New Roman" w:cs="Times New Roman"/>
                <w:b/>
                <w:sz w:val="22"/>
              </w:rPr>
            </w:pPr>
            <w:r w:rsidRPr="000C0B6C">
              <w:rPr>
                <w:rFonts w:ascii="Times New Roman" w:hAnsi="Times New Roman" w:cs="Times New Roman"/>
                <w:b/>
                <w:sz w:val="22"/>
                <w:szCs w:val="22"/>
              </w:rPr>
              <w:t>Country:</w:t>
            </w:r>
          </w:p>
        </w:tc>
        <w:tc>
          <w:tcPr>
            <w:tcW w:w="6102" w:type="dxa"/>
          </w:tcPr>
          <w:p w14:paraId="213ED87C" w14:textId="020AA80A" w:rsidR="00236608" w:rsidRPr="000C0B6C" w:rsidRDefault="00CF5AC6" w:rsidP="009251C2">
            <w:r>
              <w:t>US</w:t>
            </w:r>
          </w:p>
        </w:tc>
      </w:tr>
      <w:tr w:rsidR="00236608" w:rsidRPr="000C0B6C" w14:paraId="1112C88B" w14:textId="77777777" w:rsidTr="009251C2">
        <w:trPr>
          <w:trHeight w:val="270"/>
        </w:trPr>
        <w:tc>
          <w:tcPr>
            <w:tcW w:w="4086" w:type="dxa"/>
            <w:gridSpan w:val="3"/>
          </w:tcPr>
          <w:p w14:paraId="45B7FB6A" w14:textId="77777777" w:rsidR="00236608" w:rsidRPr="000C0B6C" w:rsidRDefault="00236608" w:rsidP="009251C2">
            <w:pPr>
              <w:pStyle w:val="Form"/>
              <w:rPr>
                <w:rFonts w:ascii="Times New Roman" w:hAnsi="Times New Roman" w:cs="Times New Roman"/>
                <w:b/>
                <w:sz w:val="22"/>
              </w:rPr>
            </w:pPr>
            <w:r w:rsidRPr="000C0B6C">
              <w:rPr>
                <w:rFonts w:ascii="Times New Roman" w:hAnsi="Times New Roman" w:cs="Times New Roman"/>
                <w:b/>
                <w:sz w:val="22"/>
                <w:szCs w:val="22"/>
              </w:rPr>
              <w:t>Postal Code:</w:t>
            </w:r>
          </w:p>
        </w:tc>
        <w:tc>
          <w:tcPr>
            <w:tcW w:w="6102" w:type="dxa"/>
          </w:tcPr>
          <w:p w14:paraId="3E34F7CA" w14:textId="32445200" w:rsidR="00236608" w:rsidRPr="000C0B6C" w:rsidRDefault="00CF5AC6" w:rsidP="009251C2">
            <w:r>
              <w:t>31024</w:t>
            </w:r>
          </w:p>
        </w:tc>
      </w:tr>
      <w:tr w:rsidR="00236608" w:rsidRPr="000C0B6C" w14:paraId="64A916DC" w14:textId="77777777" w:rsidTr="009251C2">
        <w:trPr>
          <w:trHeight w:val="270"/>
        </w:trPr>
        <w:tc>
          <w:tcPr>
            <w:tcW w:w="4086" w:type="dxa"/>
            <w:gridSpan w:val="3"/>
          </w:tcPr>
          <w:p w14:paraId="18A42CE7" w14:textId="77777777" w:rsidR="00236608" w:rsidRPr="000C0B6C" w:rsidRDefault="00236608" w:rsidP="009251C2">
            <w:pPr>
              <w:pStyle w:val="Form"/>
              <w:rPr>
                <w:rFonts w:ascii="Times New Roman" w:hAnsi="Times New Roman" w:cs="Times New Roman"/>
                <w:b/>
                <w:sz w:val="22"/>
              </w:rPr>
            </w:pPr>
            <w:r w:rsidRPr="000C0B6C">
              <w:rPr>
                <w:rFonts w:ascii="Times New Roman" w:hAnsi="Times New Roman" w:cs="Times New Roman"/>
                <w:b/>
                <w:sz w:val="22"/>
                <w:szCs w:val="22"/>
              </w:rPr>
              <w:t xml:space="preserve">Phone Number </w:t>
            </w:r>
            <w:r w:rsidRPr="000C0B6C">
              <w:rPr>
                <w:rFonts w:ascii="Times New Roman" w:hAnsi="Times New Roman" w:cs="Times New Roman"/>
                <w:sz w:val="22"/>
                <w:szCs w:val="22"/>
              </w:rPr>
              <w:t>(including country code)</w:t>
            </w:r>
            <w:r w:rsidRPr="000C0B6C">
              <w:rPr>
                <w:rFonts w:ascii="Times New Roman" w:hAnsi="Times New Roman" w:cs="Times New Roman"/>
                <w:b/>
                <w:sz w:val="22"/>
                <w:szCs w:val="22"/>
              </w:rPr>
              <w:t xml:space="preserve">:  </w:t>
            </w:r>
          </w:p>
        </w:tc>
        <w:tc>
          <w:tcPr>
            <w:tcW w:w="6102" w:type="dxa"/>
          </w:tcPr>
          <w:p w14:paraId="6D5B5A6E" w14:textId="77777777" w:rsidR="00236608" w:rsidRPr="000C0B6C" w:rsidRDefault="00236608" w:rsidP="009251C2"/>
        </w:tc>
      </w:tr>
      <w:tr w:rsidR="00236608" w:rsidRPr="000C0B6C" w14:paraId="7C74835B" w14:textId="77777777" w:rsidTr="009251C2">
        <w:trPr>
          <w:trHeight w:val="233"/>
        </w:trPr>
        <w:tc>
          <w:tcPr>
            <w:tcW w:w="4086" w:type="dxa"/>
            <w:gridSpan w:val="3"/>
          </w:tcPr>
          <w:p w14:paraId="45DEDB26" w14:textId="77777777" w:rsidR="00236608" w:rsidRPr="000C0B6C" w:rsidRDefault="00236608" w:rsidP="009251C2">
            <w:pPr>
              <w:pStyle w:val="CommentSubject"/>
              <w:rPr>
                <w:sz w:val="22"/>
                <w:szCs w:val="22"/>
              </w:rPr>
            </w:pPr>
            <w:r w:rsidRPr="000C0B6C">
              <w:rPr>
                <w:sz w:val="22"/>
                <w:szCs w:val="22"/>
              </w:rPr>
              <w:t>E-mail:</w:t>
            </w:r>
          </w:p>
        </w:tc>
        <w:tc>
          <w:tcPr>
            <w:tcW w:w="6102" w:type="dxa"/>
          </w:tcPr>
          <w:p w14:paraId="118A29DB" w14:textId="0F1154B9" w:rsidR="00236608" w:rsidRPr="00CF5AC6" w:rsidRDefault="00CF5AC6" w:rsidP="009251C2">
            <w:pPr>
              <w:rPr>
                <w:lang w:val="es-MX"/>
              </w:rPr>
            </w:pPr>
            <w:r>
              <w:t>water@southeastpeoples.org</w:t>
            </w:r>
          </w:p>
        </w:tc>
      </w:tr>
      <w:tr w:rsidR="00236608" w:rsidRPr="000C0B6C" w14:paraId="623341FC" w14:textId="77777777" w:rsidTr="009251C2">
        <w:trPr>
          <w:trHeight w:val="224"/>
        </w:trPr>
        <w:tc>
          <w:tcPr>
            <w:tcW w:w="10188" w:type="dxa"/>
            <w:gridSpan w:val="4"/>
            <w:shd w:val="clear" w:color="auto" w:fill="C0C0C0"/>
          </w:tcPr>
          <w:p w14:paraId="1CE0413B" w14:textId="77777777" w:rsidR="00236608" w:rsidRPr="000C0B6C" w:rsidRDefault="00236608" w:rsidP="009251C2">
            <w:pPr>
              <w:jc w:val="center"/>
              <w:rPr>
                <w:b/>
                <w:i/>
              </w:rPr>
            </w:pPr>
            <w:r w:rsidRPr="000C0B6C">
              <w:rPr>
                <w:b/>
                <w:i/>
                <w:highlight w:val="lightGray"/>
              </w:rPr>
              <w:t>Comments</w:t>
            </w:r>
          </w:p>
        </w:tc>
      </w:tr>
      <w:tr w:rsidR="00236608" w:rsidRPr="000C0B6C" w14:paraId="2D6B6755" w14:textId="77777777" w:rsidTr="009251C2">
        <w:trPr>
          <w:trHeight w:val="224"/>
        </w:trPr>
        <w:tc>
          <w:tcPr>
            <w:tcW w:w="818" w:type="dxa"/>
          </w:tcPr>
          <w:p w14:paraId="63773A4F" w14:textId="77777777" w:rsidR="00236608" w:rsidRPr="000C0B6C" w:rsidRDefault="00236608" w:rsidP="009251C2">
            <w:pPr>
              <w:rPr>
                <w:b/>
              </w:rPr>
            </w:pPr>
            <w:r w:rsidRPr="000C0B6C">
              <w:rPr>
                <w:b/>
                <w:sz w:val="22"/>
                <w:szCs w:val="22"/>
              </w:rPr>
              <w:t xml:space="preserve">Page </w:t>
            </w:r>
          </w:p>
        </w:tc>
        <w:tc>
          <w:tcPr>
            <w:tcW w:w="1231" w:type="dxa"/>
          </w:tcPr>
          <w:p w14:paraId="7004D9C3" w14:textId="77777777" w:rsidR="00236608" w:rsidRPr="000C0B6C" w:rsidRDefault="00236608" w:rsidP="009251C2">
            <w:pPr>
              <w:rPr>
                <w:b/>
              </w:rPr>
            </w:pPr>
            <w:r>
              <w:rPr>
                <w:b/>
                <w:sz w:val="22"/>
                <w:szCs w:val="22"/>
              </w:rPr>
              <w:t>Paragraph</w:t>
            </w:r>
          </w:p>
        </w:tc>
        <w:tc>
          <w:tcPr>
            <w:tcW w:w="8139" w:type="dxa"/>
            <w:gridSpan w:val="2"/>
          </w:tcPr>
          <w:p w14:paraId="052311B8" w14:textId="77777777" w:rsidR="00236608" w:rsidRPr="000C0B6C" w:rsidRDefault="00236608" w:rsidP="009251C2">
            <w:pPr>
              <w:rPr>
                <w:b/>
              </w:rPr>
            </w:pPr>
            <w:r w:rsidRPr="000C0B6C">
              <w:rPr>
                <w:b/>
                <w:sz w:val="22"/>
                <w:szCs w:val="22"/>
              </w:rPr>
              <w:t>Comment</w:t>
            </w:r>
          </w:p>
        </w:tc>
      </w:tr>
      <w:tr w:rsidR="00236608" w:rsidRPr="000C0B6C" w14:paraId="0F2CD79B" w14:textId="77777777" w:rsidTr="009251C2">
        <w:trPr>
          <w:trHeight w:val="233"/>
        </w:trPr>
        <w:tc>
          <w:tcPr>
            <w:tcW w:w="818" w:type="dxa"/>
          </w:tcPr>
          <w:p w14:paraId="0C67F728" w14:textId="10A6DB2D" w:rsidR="00236608" w:rsidRPr="000C0B6C" w:rsidRDefault="00236608" w:rsidP="009251C2"/>
        </w:tc>
        <w:tc>
          <w:tcPr>
            <w:tcW w:w="1231" w:type="dxa"/>
          </w:tcPr>
          <w:p w14:paraId="0B8173C1" w14:textId="29287896" w:rsidR="00236608" w:rsidRPr="000C0B6C" w:rsidRDefault="00236608" w:rsidP="009251C2"/>
        </w:tc>
        <w:tc>
          <w:tcPr>
            <w:tcW w:w="8139" w:type="dxa"/>
            <w:gridSpan w:val="2"/>
          </w:tcPr>
          <w:p w14:paraId="7877A9E5" w14:textId="3C7486D2" w:rsidR="00CF5AC6" w:rsidRPr="00CF5AC6" w:rsidRDefault="00CF5AC6" w:rsidP="00CF5AC6">
            <w:pPr>
              <w:rPr>
                <w:lang w:eastAsia="es-MX"/>
              </w:rPr>
            </w:pPr>
            <w:r w:rsidRPr="00CF5AC6">
              <w:rPr>
                <w:lang w:eastAsia="es-MX"/>
              </w:rPr>
              <w:t>We support CBD Women Caucus position except that we oppose Resource Mobilization until there are protections of Indigenous Peoples' collectively held titles to territories and life sources</w:t>
            </w:r>
            <w:r w:rsidR="002A34F5">
              <w:rPr>
                <w:lang w:eastAsia="es-MX"/>
              </w:rPr>
              <w:t>, especially</w:t>
            </w:r>
            <w:r w:rsidRPr="00CF5AC6">
              <w:rPr>
                <w:lang w:eastAsia="es-MX"/>
              </w:rPr>
              <w:t xml:space="preserve"> in trade and finance systems. These protections do not depend on the adjudication of title, but on the process of adjudication that begins when an Indigenous People attempts to assert title. International systems must protect Indigenous Peoples' collective title and collective human rights to self-governance with the same sacred trust that the Trusteeship Council has for non-self-governing territories. International systems must protect the territory during the process of adjudication and capacity development of Indigenous Peoples, especially Indigenous women. Title of Indigenous Peoples' territories and life sources must not be transferred by trade </w:t>
            </w:r>
            <w:r w:rsidR="002A34F5">
              <w:rPr>
                <w:lang w:eastAsia="es-MX"/>
              </w:rPr>
              <w:t>or</w:t>
            </w:r>
            <w:r w:rsidRPr="00CF5AC6">
              <w:rPr>
                <w:lang w:eastAsia="es-MX"/>
              </w:rPr>
              <w:t xml:space="preserve"> finance institutions </w:t>
            </w:r>
            <w:r w:rsidR="002A34F5">
              <w:rPr>
                <w:lang w:eastAsia="es-MX"/>
              </w:rPr>
              <w:t xml:space="preserve">or mechanisms </w:t>
            </w:r>
            <w:r w:rsidRPr="00CF5AC6">
              <w:rPr>
                <w:lang w:eastAsia="es-MX"/>
              </w:rPr>
              <w:t>to States or their corporations, including NGOs</w:t>
            </w:r>
            <w:r w:rsidR="002A34F5">
              <w:rPr>
                <w:lang w:eastAsia="es-MX"/>
              </w:rPr>
              <w:t>,</w:t>
            </w:r>
            <w:r w:rsidRPr="00CF5AC6">
              <w:rPr>
                <w:lang w:eastAsia="es-MX"/>
              </w:rPr>
              <w:t xml:space="preserve"> without Indigenous Peoples' access to impartial justice</w:t>
            </w:r>
            <w:r w:rsidR="002A34F5">
              <w:rPr>
                <w:lang w:eastAsia="es-MX"/>
              </w:rPr>
              <w:t>, in accordance to international instruments</w:t>
            </w:r>
            <w:r w:rsidRPr="00CF5AC6">
              <w:rPr>
                <w:lang w:eastAsia="es-MX"/>
              </w:rPr>
              <w:t>.</w:t>
            </w:r>
          </w:p>
          <w:p w14:paraId="21BDA8AF" w14:textId="77777777" w:rsidR="00CF5AC6" w:rsidRPr="00CF5AC6" w:rsidRDefault="00CF5AC6" w:rsidP="00CF5AC6">
            <w:pPr>
              <w:rPr>
                <w:lang w:eastAsia="es-MX"/>
              </w:rPr>
            </w:pPr>
          </w:p>
          <w:p w14:paraId="03FD0A09" w14:textId="4FA27119" w:rsidR="00CF5AC6" w:rsidRPr="00CF5AC6" w:rsidRDefault="00CF5AC6" w:rsidP="00CF5AC6">
            <w:pPr>
              <w:rPr>
                <w:lang w:eastAsia="es-MX"/>
              </w:rPr>
            </w:pPr>
            <w:r w:rsidRPr="00CF5AC6">
              <w:rPr>
                <w:lang w:eastAsia="es-MX"/>
              </w:rPr>
              <w:t>We appreciate CBD Secretariat's great insight and skill and are sure that it will find the right way to make SDG 16 central to GBF to ensure no People will left behind in accessing justice</w:t>
            </w:r>
            <w:r w:rsidR="002A34F5">
              <w:rPr>
                <w:lang w:eastAsia="es-MX"/>
              </w:rPr>
              <w:t xml:space="preserve"> with ‘rules-based trade’ of SDG17. When all I</w:t>
            </w:r>
            <w:r w:rsidRPr="00CF5AC6">
              <w:rPr>
                <w:lang w:eastAsia="es-MX"/>
              </w:rPr>
              <w:t>ndigenous women have access to justice we will know immediately when biodiversity is adversely impacted. Indigenous women's human rights complaints at the local, subnational, national, regional, international level will be the first and most important indicator of impacts to ecosystem health that harms biodiversity. Indigenous women will notice our medicines are weaker</w:t>
            </w:r>
            <w:r w:rsidR="002A34F5">
              <w:rPr>
                <w:lang w:eastAsia="es-MX"/>
              </w:rPr>
              <w:t xml:space="preserve">, food or animal </w:t>
            </w:r>
            <w:proofErr w:type="spellStart"/>
            <w:r w:rsidR="002A34F5">
              <w:rPr>
                <w:lang w:eastAsia="es-MX"/>
              </w:rPr>
              <w:lastRenderedPageBreak/>
              <w:t>neighbours</w:t>
            </w:r>
            <w:proofErr w:type="spellEnd"/>
            <w:r w:rsidR="002A34F5">
              <w:rPr>
                <w:lang w:eastAsia="es-MX"/>
              </w:rPr>
              <w:t xml:space="preserve"> scarcer,</w:t>
            </w:r>
            <w:r w:rsidRPr="00CF5AC6">
              <w:rPr>
                <w:lang w:eastAsia="es-MX"/>
              </w:rPr>
              <w:t xml:space="preserve"> and can immediately report at the local, subnational, national, regional, international level that biodiversity is impacted until we find an impartial tribunal</w:t>
            </w:r>
            <w:r w:rsidR="002A34F5">
              <w:rPr>
                <w:lang w:eastAsia="es-MX"/>
              </w:rPr>
              <w:t xml:space="preserve"> to record it</w:t>
            </w:r>
            <w:r w:rsidRPr="00CF5AC6">
              <w:rPr>
                <w:lang w:eastAsia="es-MX"/>
              </w:rPr>
              <w:t>. Under the current regime such immediate feedback on biodiversity impact is not possible because the overwhelming majority of Indigenous women have little or no access to justice and too much access to violent reprisals</w:t>
            </w:r>
            <w:r w:rsidR="002A34F5">
              <w:rPr>
                <w:lang w:eastAsia="es-MX"/>
              </w:rPr>
              <w:t xml:space="preserve"> when seeking justice</w:t>
            </w:r>
            <w:r w:rsidRPr="00CF5AC6">
              <w:rPr>
                <w:lang w:eastAsia="es-MX"/>
              </w:rPr>
              <w:t>. CBD does not know how many Indigenous women we are because our self-reporting of our self-identified Indigenous Peoples' existence is denied by biodiversity-killers financed by IFIs.</w:t>
            </w:r>
          </w:p>
          <w:p w14:paraId="1D76A130" w14:textId="77777777" w:rsidR="00CF5AC6" w:rsidRPr="00CF5AC6" w:rsidRDefault="00CF5AC6" w:rsidP="00CF5AC6">
            <w:pPr>
              <w:rPr>
                <w:lang w:eastAsia="es-MX"/>
              </w:rPr>
            </w:pPr>
          </w:p>
          <w:p w14:paraId="6B125E77" w14:textId="1414F1D0" w:rsidR="00CF5AC6" w:rsidRPr="00CF5AC6" w:rsidRDefault="00CF5AC6" w:rsidP="00CF5AC6">
            <w:pPr>
              <w:rPr>
                <w:lang w:eastAsia="es-MX"/>
              </w:rPr>
            </w:pPr>
            <w:r w:rsidRPr="00CF5AC6">
              <w:rPr>
                <w:lang w:eastAsia="es-MX"/>
              </w:rPr>
              <w:t>The GBF can get the dynamic data that it needs to protect biodiversity if Indigenous women have direct access to impartial justice with no conflict of interest, not mediated by States or corporations, including NGOs.</w:t>
            </w:r>
            <w:r w:rsidR="000B1379">
              <w:rPr>
                <w:lang w:eastAsia="es-MX"/>
              </w:rPr>
              <w:t xml:space="preserve"> This has been found at regional or international human rights mechanisms.</w:t>
            </w:r>
            <w:r w:rsidRPr="00CF5AC6">
              <w:rPr>
                <w:lang w:eastAsia="es-MX"/>
              </w:rPr>
              <w:t xml:space="preserve"> Where there is violence against Indigenous women there is harm to biodiversity and the remedy to that is Indigenous women's access to justice, as was mentioned in WCIP (2014), which CBD could also invoke when calling trade and finance systems to uphold their obligations to integrate HR into its criteria, rubrics, standards, measurements, and protocols, integrating agreement dispute mechanisms with existing HR mechanisms. </w:t>
            </w:r>
          </w:p>
          <w:p w14:paraId="3ABEE5A1" w14:textId="77777777" w:rsidR="00CF5AC6" w:rsidRPr="00CF5AC6" w:rsidRDefault="00CF5AC6" w:rsidP="00CF5AC6">
            <w:pPr>
              <w:rPr>
                <w:lang w:eastAsia="es-MX"/>
              </w:rPr>
            </w:pPr>
          </w:p>
          <w:p w14:paraId="487C28A1" w14:textId="0EC4B63C" w:rsidR="00CF5AC6" w:rsidRPr="00CF5AC6" w:rsidRDefault="00CF5AC6" w:rsidP="00CF5AC6">
            <w:pPr>
              <w:rPr>
                <w:lang w:eastAsia="es-MX"/>
              </w:rPr>
            </w:pPr>
            <w:r w:rsidRPr="00CF5AC6">
              <w:rPr>
                <w:lang w:eastAsia="es-MX"/>
              </w:rPr>
              <w:t xml:space="preserve">Resource mobilization should not begin until Indigenous women have access to justice guaranteed by all trade, finance systems and the States and international organizations they run. If resource mobilization starts with the existing institutionalized systemic racism, Indigenous women will be the resources </w:t>
            </w:r>
            <w:r>
              <w:rPr>
                <w:lang w:eastAsia="es-MX"/>
              </w:rPr>
              <w:t xml:space="preserve">stripped, </w:t>
            </w:r>
            <w:r w:rsidRPr="00CF5AC6">
              <w:rPr>
                <w:lang w:eastAsia="es-MX"/>
              </w:rPr>
              <w:t>dismembered</w:t>
            </w:r>
            <w:r>
              <w:rPr>
                <w:lang w:eastAsia="es-MX"/>
              </w:rPr>
              <w:t>,</w:t>
            </w:r>
            <w:r w:rsidRPr="00CF5AC6">
              <w:rPr>
                <w:lang w:eastAsia="es-MX"/>
              </w:rPr>
              <w:t xml:space="preserve"> and mobilized instead of being the ones directing the mobilization.</w:t>
            </w:r>
            <w:r>
              <w:rPr>
                <w:lang w:eastAsia="es-MX"/>
              </w:rPr>
              <w:t xml:space="preserve"> We should be directing the mobilization because we know best how to do it productively without causing more damage to biodiversity because we are owners of great wealth with many generations of success in sustainably managing it. </w:t>
            </w:r>
            <w:r w:rsidR="000B1379">
              <w:rPr>
                <w:lang w:eastAsia="es-MX"/>
              </w:rPr>
              <w:t>P</w:t>
            </w:r>
            <w:r>
              <w:rPr>
                <w:lang w:eastAsia="es-MX"/>
              </w:rPr>
              <w:t>rotection of Indigenous Peoples’ titles</w:t>
            </w:r>
            <w:r w:rsidR="00AD0605">
              <w:rPr>
                <w:lang w:eastAsia="es-MX"/>
              </w:rPr>
              <w:t xml:space="preserve"> to territories and life sources</w:t>
            </w:r>
            <w:r>
              <w:rPr>
                <w:lang w:eastAsia="es-MX"/>
              </w:rPr>
              <w:t xml:space="preserve"> is requir</w:t>
            </w:r>
            <w:r w:rsidR="000B1379">
              <w:rPr>
                <w:lang w:eastAsia="es-MX"/>
              </w:rPr>
              <w:t>ed before resource mobilization to support</w:t>
            </w:r>
            <w:r>
              <w:rPr>
                <w:lang w:eastAsia="es-MX"/>
              </w:rPr>
              <w:t xml:space="preserve"> Indigenou</w:t>
            </w:r>
            <w:r w:rsidR="000B1379">
              <w:rPr>
                <w:lang w:eastAsia="es-MX"/>
              </w:rPr>
              <w:t>s women</w:t>
            </w:r>
            <w:r>
              <w:rPr>
                <w:lang w:eastAsia="es-MX"/>
              </w:rPr>
              <w:t xml:space="preserve"> directing resource mobilization</w:t>
            </w:r>
            <w:r w:rsidR="000B1379">
              <w:rPr>
                <w:lang w:eastAsia="es-MX"/>
              </w:rPr>
              <w:t xml:space="preserve">. This will </w:t>
            </w:r>
            <w:r>
              <w:rPr>
                <w:lang w:eastAsia="es-MX"/>
              </w:rPr>
              <w:t xml:space="preserve">ensure that we are protected from this mobilization and our sustainable economies are not stripped, dismembered, liquidated, financialized, monetized, and given to a fund that we have to beg a portion of </w:t>
            </w:r>
            <w:proofErr w:type="spellStart"/>
            <w:r>
              <w:rPr>
                <w:lang w:eastAsia="es-MX"/>
              </w:rPr>
              <w:t>to</w:t>
            </w:r>
            <w:proofErr w:type="spellEnd"/>
            <w:r>
              <w:rPr>
                <w:lang w:eastAsia="es-MX"/>
              </w:rPr>
              <w:t xml:space="preserve"> inadequately restore our biodiversity that was destroyed for the resource mobilization.</w:t>
            </w:r>
          </w:p>
          <w:p w14:paraId="00426BC3" w14:textId="4FAFDFC5" w:rsidR="00236608" w:rsidRPr="000C0B6C" w:rsidRDefault="00236608" w:rsidP="009251C2"/>
        </w:tc>
      </w:tr>
      <w:tr w:rsidR="00236608" w:rsidRPr="000C0B6C" w14:paraId="0C9C63D9" w14:textId="77777777" w:rsidTr="009251C2">
        <w:trPr>
          <w:trHeight w:val="224"/>
        </w:trPr>
        <w:tc>
          <w:tcPr>
            <w:tcW w:w="818" w:type="dxa"/>
          </w:tcPr>
          <w:p w14:paraId="46581EE4" w14:textId="64DD82D3" w:rsidR="00236608" w:rsidRPr="000C0B6C" w:rsidRDefault="00236608" w:rsidP="009251C2"/>
        </w:tc>
        <w:tc>
          <w:tcPr>
            <w:tcW w:w="1231" w:type="dxa"/>
          </w:tcPr>
          <w:p w14:paraId="3DA5E0E9" w14:textId="7CCD23A6" w:rsidR="00236608" w:rsidRPr="000C0B6C" w:rsidRDefault="00236608" w:rsidP="009251C2"/>
        </w:tc>
        <w:tc>
          <w:tcPr>
            <w:tcW w:w="8139" w:type="dxa"/>
            <w:gridSpan w:val="2"/>
          </w:tcPr>
          <w:p w14:paraId="1FB20CA9" w14:textId="6C33082A" w:rsidR="00236608" w:rsidRPr="000C0B6C" w:rsidRDefault="00236608" w:rsidP="009251C2"/>
        </w:tc>
      </w:tr>
      <w:tr w:rsidR="00236608" w:rsidRPr="000C0B6C" w14:paraId="6153AF8D" w14:textId="77777777" w:rsidTr="009251C2">
        <w:trPr>
          <w:trHeight w:val="233"/>
        </w:trPr>
        <w:tc>
          <w:tcPr>
            <w:tcW w:w="818" w:type="dxa"/>
          </w:tcPr>
          <w:p w14:paraId="66AF3500" w14:textId="77777777" w:rsidR="00236608" w:rsidRPr="000C0B6C" w:rsidRDefault="00236608" w:rsidP="009251C2"/>
        </w:tc>
        <w:tc>
          <w:tcPr>
            <w:tcW w:w="1231" w:type="dxa"/>
          </w:tcPr>
          <w:p w14:paraId="6A91318A" w14:textId="77777777" w:rsidR="00236608" w:rsidRPr="000C0B6C" w:rsidRDefault="00236608" w:rsidP="009251C2"/>
        </w:tc>
        <w:tc>
          <w:tcPr>
            <w:tcW w:w="8139" w:type="dxa"/>
            <w:gridSpan w:val="2"/>
          </w:tcPr>
          <w:p w14:paraId="5F267497" w14:textId="77777777" w:rsidR="00236608" w:rsidRPr="000C0B6C" w:rsidRDefault="00236608" w:rsidP="009251C2"/>
        </w:tc>
      </w:tr>
      <w:tr w:rsidR="00236608" w:rsidRPr="000C0B6C" w14:paraId="6D0FC60A" w14:textId="77777777" w:rsidTr="009251C2">
        <w:trPr>
          <w:trHeight w:val="224"/>
        </w:trPr>
        <w:tc>
          <w:tcPr>
            <w:tcW w:w="818" w:type="dxa"/>
          </w:tcPr>
          <w:p w14:paraId="6282A73C" w14:textId="77777777" w:rsidR="00236608" w:rsidRPr="000C0B6C" w:rsidRDefault="00236608" w:rsidP="009251C2"/>
        </w:tc>
        <w:tc>
          <w:tcPr>
            <w:tcW w:w="1231" w:type="dxa"/>
          </w:tcPr>
          <w:p w14:paraId="4956A208" w14:textId="77777777" w:rsidR="00236608" w:rsidRPr="000C0B6C" w:rsidRDefault="00236608" w:rsidP="009251C2"/>
        </w:tc>
        <w:tc>
          <w:tcPr>
            <w:tcW w:w="8139" w:type="dxa"/>
            <w:gridSpan w:val="2"/>
          </w:tcPr>
          <w:p w14:paraId="1B92E2B4" w14:textId="77777777" w:rsidR="00236608" w:rsidRPr="000C0B6C" w:rsidRDefault="00236608" w:rsidP="009251C2"/>
        </w:tc>
      </w:tr>
      <w:tr w:rsidR="00236608" w:rsidRPr="000C0B6C" w14:paraId="30930566" w14:textId="77777777" w:rsidTr="009251C2">
        <w:trPr>
          <w:trHeight w:val="224"/>
        </w:trPr>
        <w:tc>
          <w:tcPr>
            <w:tcW w:w="818" w:type="dxa"/>
          </w:tcPr>
          <w:p w14:paraId="7E88CD75" w14:textId="77777777" w:rsidR="00236608" w:rsidRPr="000C0B6C" w:rsidRDefault="00236608" w:rsidP="009251C2"/>
        </w:tc>
        <w:tc>
          <w:tcPr>
            <w:tcW w:w="1231" w:type="dxa"/>
          </w:tcPr>
          <w:p w14:paraId="613F0F0B" w14:textId="77777777" w:rsidR="00236608" w:rsidRPr="000C0B6C" w:rsidRDefault="00236608" w:rsidP="009251C2"/>
        </w:tc>
        <w:tc>
          <w:tcPr>
            <w:tcW w:w="8139" w:type="dxa"/>
            <w:gridSpan w:val="2"/>
          </w:tcPr>
          <w:p w14:paraId="4B30F77B" w14:textId="77777777" w:rsidR="00236608" w:rsidRPr="000C0B6C" w:rsidRDefault="00236608" w:rsidP="009251C2"/>
        </w:tc>
      </w:tr>
      <w:tr w:rsidR="00236608" w:rsidRPr="000C0B6C" w14:paraId="419DB47A" w14:textId="77777777" w:rsidTr="009251C2">
        <w:trPr>
          <w:trHeight w:val="224"/>
        </w:trPr>
        <w:tc>
          <w:tcPr>
            <w:tcW w:w="818" w:type="dxa"/>
          </w:tcPr>
          <w:p w14:paraId="583A2152" w14:textId="77777777" w:rsidR="00236608" w:rsidRPr="000C0B6C" w:rsidRDefault="00236608" w:rsidP="009251C2"/>
        </w:tc>
        <w:tc>
          <w:tcPr>
            <w:tcW w:w="1231" w:type="dxa"/>
          </w:tcPr>
          <w:p w14:paraId="491D28B8" w14:textId="77777777" w:rsidR="00236608" w:rsidRPr="000C0B6C" w:rsidRDefault="00236608" w:rsidP="009251C2"/>
        </w:tc>
        <w:tc>
          <w:tcPr>
            <w:tcW w:w="8139" w:type="dxa"/>
            <w:gridSpan w:val="2"/>
          </w:tcPr>
          <w:p w14:paraId="7EB00430" w14:textId="77777777" w:rsidR="00236608" w:rsidRPr="000C0B6C" w:rsidRDefault="00236608" w:rsidP="009251C2"/>
        </w:tc>
      </w:tr>
      <w:tr w:rsidR="00236608" w:rsidRPr="000C0B6C" w14:paraId="5DBDB291" w14:textId="77777777" w:rsidTr="009251C2">
        <w:trPr>
          <w:trHeight w:val="224"/>
        </w:trPr>
        <w:tc>
          <w:tcPr>
            <w:tcW w:w="818" w:type="dxa"/>
          </w:tcPr>
          <w:p w14:paraId="29E068DB" w14:textId="77777777" w:rsidR="00236608" w:rsidRPr="000C0B6C" w:rsidRDefault="00236608" w:rsidP="009251C2"/>
        </w:tc>
        <w:tc>
          <w:tcPr>
            <w:tcW w:w="1231" w:type="dxa"/>
          </w:tcPr>
          <w:p w14:paraId="212354D4" w14:textId="77777777" w:rsidR="00236608" w:rsidRPr="000C0B6C" w:rsidRDefault="00236608" w:rsidP="009251C2"/>
        </w:tc>
        <w:tc>
          <w:tcPr>
            <w:tcW w:w="8139" w:type="dxa"/>
            <w:gridSpan w:val="2"/>
          </w:tcPr>
          <w:p w14:paraId="637A167D" w14:textId="77777777" w:rsidR="00236608" w:rsidRPr="000C0B6C" w:rsidRDefault="00236608" w:rsidP="009251C2"/>
        </w:tc>
      </w:tr>
      <w:tr w:rsidR="00236608" w:rsidRPr="000C0B6C" w14:paraId="7A865B83" w14:textId="77777777" w:rsidTr="009251C2">
        <w:trPr>
          <w:trHeight w:val="224"/>
        </w:trPr>
        <w:tc>
          <w:tcPr>
            <w:tcW w:w="818" w:type="dxa"/>
          </w:tcPr>
          <w:p w14:paraId="48F7EE30" w14:textId="77777777" w:rsidR="00236608" w:rsidRPr="000C0B6C" w:rsidRDefault="00236608" w:rsidP="009251C2"/>
        </w:tc>
        <w:tc>
          <w:tcPr>
            <w:tcW w:w="1231" w:type="dxa"/>
          </w:tcPr>
          <w:p w14:paraId="6A798625" w14:textId="77777777" w:rsidR="00236608" w:rsidRPr="000C0B6C" w:rsidRDefault="00236608" w:rsidP="009251C2"/>
        </w:tc>
        <w:tc>
          <w:tcPr>
            <w:tcW w:w="8139" w:type="dxa"/>
            <w:gridSpan w:val="2"/>
          </w:tcPr>
          <w:p w14:paraId="531C2A0F" w14:textId="77777777" w:rsidR="00236608" w:rsidRPr="000C0B6C" w:rsidRDefault="00236608" w:rsidP="009251C2"/>
        </w:tc>
      </w:tr>
      <w:tr w:rsidR="00236608" w:rsidRPr="000C0B6C" w14:paraId="73FD340A" w14:textId="77777777" w:rsidTr="009251C2">
        <w:trPr>
          <w:trHeight w:val="224"/>
        </w:trPr>
        <w:tc>
          <w:tcPr>
            <w:tcW w:w="818" w:type="dxa"/>
          </w:tcPr>
          <w:p w14:paraId="37288C1C" w14:textId="77777777" w:rsidR="00236608" w:rsidRPr="000C0B6C" w:rsidRDefault="00236608" w:rsidP="009251C2"/>
        </w:tc>
        <w:tc>
          <w:tcPr>
            <w:tcW w:w="1231" w:type="dxa"/>
          </w:tcPr>
          <w:p w14:paraId="2993E983" w14:textId="77777777" w:rsidR="00236608" w:rsidRPr="000C0B6C" w:rsidRDefault="00236608" w:rsidP="009251C2"/>
        </w:tc>
        <w:tc>
          <w:tcPr>
            <w:tcW w:w="8139" w:type="dxa"/>
            <w:gridSpan w:val="2"/>
          </w:tcPr>
          <w:p w14:paraId="2A720A2D" w14:textId="77777777" w:rsidR="00236608" w:rsidRPr="000C0B6C" w:rsidRDefault="00236608" w:rsidP="009251C2"/>
        </w:tc>
      </w:tr>
      <w:tr w:rsidR="00236608" w:rsidRPr="000C0B6C" w14:paraId="435624C6" w14:textId="77777777" w:rsidTr="009251C2">
        <w:trPr>
          <w:trHeight w:val="224"/>
        </w:trPr>
        <w:tc>
          <w:tcPr>
            <w:tcW w:w="818" w:type="dxa"/>
          </w:tcPr>
          <w:p w14:paraId="112D65BF" w14:textId="77777777" w:rsidR="00236608" w:rsidRPr="000C0B6C" w:rsidRDefault="00236608" w:rsidP="009251C2"/>
        </w:tc>
        <w:tc>
          <w:tcPr>
            <w:tcW w:w="1231" w:type="dxa"/>
          </w:tcPr>
          <w:p w14:paraId="15A50A76" w14:textId="77777777" w:rsidR="00236608" w:rsidRPr="000C0B6C" w:rsidRDefault="00236608" w:rsidP="009251C2"/>
        </w:tc>
        <w:tc>
          <w:tcPr>
            <w:tcW w:w="8139" w:type="dxa"/>
            <w:gridSpan w:val="2"/>
          </w:tcPr>
          <w:p w14:paraId="778EFB93" w14:textId="77777777" w:rsidR="00236608" w:rsidRPr="000C0B6C" w:rsidRDefault="00236608" w:rsidP="009251C2"/>
        </w:tc>
      </w:tr>
      <w:tr w:rsidR="00236608" w:rsidRPr="000C0B6C" w14:paraId="4C53569F" w14:textId="77777777" w:rsidTr="009251C2">
        <w:trPr>
          <w:trHeight w:val="224"/>
        </w:trPr>
        <w:tc>
          <w:tcPr>
            <w:tcW w:w="818" w:type="dxa"/>
          </w:tcPr>
          <w:p w14:paraId="5ACD88D5" w14:textId="77777777" w:rsidR="00236608" w:rsidRPr="000C0B6C" w:rsidRDefault="00236608" w:rsidP="009251C2"/>
        </w:tc>
        <w:tc>
          <w:tcPr>
            <w:tcW w:w="1231" w:type="dxa"/>
          </w:tcPr>
          <w:p w14:paraId="1A074978" w14:textId="77777777" w:rsidR="00236608" w:rsidRPr="000C0B6C" w:rsidRDefault="00236608" w:rsidP="009251C2"/>
        </w:tc>
        <w:tc>
          <w:tcPr>
            <w:tcW w:w="8139" w:type="dxa"/>
            <w:gridSpan w:val="2"/>
          </w:tcPr>
          <w:p w14:paraId="249A3E43" w14:textId="6114B1C3" w:rsidR="00236608" w:rsidRPr="000C0B6C" w:rsidRDefault="00236608" w:rsidP="009251C2"/>
        </w:tc>
      </w:tr>
      <w:tr w:rsidR="00236608" w:rsidRPr="000C0B6C" w14:paraId="4DDE7993" w14:textId="77777777" w:rsidTr="009251C2">
        <w:trPr>
          <w:trHeight w:val="224"/>
        </w:trPr>
        <w:tc>
          <w:tcPr>
            <w:tcW w:w="2049" w:type="dxa"/>
            <w:gridSpan w:val="2"/>
          </w:tcPr>
          <w:p w14:paraId="342EFA23" w14:textId="77777777" w:rsidR="00236608" w:rsidRPr="000C0B6C" w:rsidRDefault="00236608" w:rsidP="009251C2">
            <w:pPr>
              <w:rPr>
                <w:b/>
              </w:rPr>
            </w:pPr>
            <w:r w:rsidRPr="000C0B6C">
              <w:rPr>
                <w:b/>
                <w:sz w:val="22"/>
                <w:szCs w:val="22"/>
              </w:rPr>
              <w:lastRenderedPageBreak/>
              <w:t>Figures</w:t>
            </w:r>
            <w:r>
              <w:rPr>
                <w:b/>
                <w:sz w:val="22"/>
                <w:szCs w:val="22"/>
              </w:rPr>
              <w:t>/Boxes</w:t>
            </w:r>
          </w:p>
        </w:tc>
        <w:tc>
          <w:tcPr>
            <w:tcW w:w="8139" w:type="dxa"/>
            <w:gridSpan w:val="2"/>
          </w:tcPr>
          <w:p w14:paraId="093EEB88" w14:textId="77777777" w:rsidR="00236608" w:rsidRPr="000C0B6C" w:rsidRDefault="00236608" w:rsidP="009251C2">
            <w:r w:rsidRPr="000C0B6C">
              <w:rPr>
                <w:b/>
                <w:sz w:val="22"/>
                <w:szCs w:val="22"/>
              </w:rPr>
              <w:t>Comment</w:t>
            </w:r>
          </w:p>
        </w:tc>
      </w:tr>
      <w:tr w:rsidR="00236608" w:rsidRPr="000C0B6C" w14:paraId="3BFBDE80" w14:textId="77777777" w:rsidTr="009251C2">
        <w:trPr>
          <w:trHeight w:val="224"/>
        </w:trPr>
        <w:tc>
          <w:tcPr>
            <w:tcW w:w="2049" w:type="dxa"/>
            <w:gridSpan w:val="2"/>
          </w:tcPr>
          <w:p w14:paraId="6AEAECF1" w14:textId="77777777" w:rsidR="00236608" w:rsidRPr="000C0B6C" w:rsidRDefault="00236608" w:rsidP="009251C2">
            <w:r w:rsidRPr="000C0B6C">
              <w:rPr>
                <w:sz w:val="22"/>
                <w:szCs w:val="22"/>
              </w:rPr>
              <w:t>Fig. 4</w:t>
            </w:r>
          </w:p>
        </w:tc>
        <w:tc>
          <w:tcPr>
            <w:tcW w:w="8139" w:type="dxa"/>
            <w:gridSpan w:val="2"/>
          </w:tcPr>
          <w:p w14:paraId="5190D302" w14:textId="77777777" w:rsidR="00236608" w:rsidRPr="000C0B6C" w:rsidRDefault="00236608" w:rsidP="009251C2">
            <w:r w:rsidRPr="000C0B6C">
              <w:rPr>
                <w:sz w:val="22"/>
                <w:szCs w:val="22"/>
              </w:rPr>
              <w:t>This is a comment on Figure 4 or the caption to Figure 4</w:t>
            </w:r>
          </w:p>
        </w:tc>
      </w:tr>
      <w:tr w:rsidR="00236608" w:rsidRPr="000C0B6C" w14:paraId="5E935541" w14:textId="77777777" w:rsidTr="009251C2">
        <w:trPr>
          <w:trHeight w:val="224"/>
        </w:trPr>
        <w:tc>
          <w:tcPr>
            <w:tcW w:w="2049" w:type="dxa"/>
            <w:gridSpan w:val="2"/>
          </w:tcPr>
          <w:p w14:paraId="4893A81F" w14:textId="77777777" w:rsidR="00236608" w:rsidRDefault="00236608" w:rsidP="009251C2"/>
        </w:tc>
        <w:tc>
          <w:tcPr>
            <w:tcW w:w="8139" w:type="dxa"/>
            <w:gridSpan w:val="2"/>
          </w:tcPr>
          <w:p w14:paraId="63A57C02" w14:textId="77777777" w:rsidR="00236608" w:rsidRDefault="00236608" w:rsidP="009251C2"/>
        </w:tc>
      </w:tr>
      <w:tr w:rsidR="00236608" w:rsidRPr="000C0B6C" w14:paraId="4164A51D" w14:textId="77777777" w:rsidTr="009251C2">
        <w:trPr>
          <w:trHeight w:val="224"/>
        </w:trPr>
        <w:tc>
          <w:tcPr>
            <w:tcW w:w="2049" w:type="dxa"/>
            <w:gridSpan w:val="2"/>
          </w:tcPr>
          <w:p w14:paraId="16B32DEA" w14:textId="77777777" w:rsidR="00236608" w:rsidRDefault="00236608" w:rsidP="009251C2"/>
        </w:tc>
        <w:tc>
          <w:tcPr>
            <w:tcW w:w="8139" w:type="dxa"/>
            <w:gridSpan w:val="2"/>
          </w:tcPr>
          <w:p w14:paraId="72F523A0" w14:textId="77777777" w:rsidR="00236608" w:rsidRDefault="00236608" w:rsidP="009251C2"/>
        </w:tc>
      </w:tr>
      <w:tr w:rsidR="00236608" w:rsidRPr="000C0B6C" w14:paraId="7E23B04F" w14:textId="77777777" w:rsidTr="009251C2">
        <w:trPr>
          <w:trHeight w:val="224"/>
        </w:trPr>
        <w:tc>
          <w:tcPr>
            <w:tcW w:w="2049" w:type="dxa"/>
            <w:gridSpan w:val="2"/>
          </w:tcPr>
          <w:p w14:paraId="5780B3C3" w14:textId="77777777" w:rsidR="00236608" w:rsidRDefault="00236608" w:rsidP="009251C2"/>
        </w:tc>
        <w:tc>
          <w:tcPr>
            <w:tcW w:w="8139" w:type="dxa"/>
            <w:gridSpan w:val="2"/>
          </w:tcPr>
          <w:p w14:paraId="7F7D1F38" w14:textId="77777777" w:rsidR="00236608" w:rsidRDefault="00236608" w:rsidP="009251C2"/>
        </w:tc>
      </w:tr>
      <w:tr w:rsidR="00236608" w:rsidRPr="000C0B6C" w14:paraId="5A99C5DE" w14:textId="77777777" w:rsidTr="009251C2">
        <w:trPr>
          <w:trHeight w:val="224"/>
        </w:trPr>
        <w:tc>
          <w:tcPr>
            <w:tcW w:w="2049" w:type="dxa"/>
            <w:gridSpan w:val="2"/>
          </w:tcPr>
          <w:p w14:paraId="520C68EE" w14:textId="77777777" w:rsidR="00236608" w:rsidRDefault="00236608" w:rsidP="009251C2"/>
        </w:tc>
        <w:tc>
          <w:tcPr>
            <w:tcW w:w="8139" w:type="dxa"/>
            <w:gridSpan w:val="2"/>
          </w:tcPr>
          <w:p w14:paraId="4122440F" w14:textId="77777777" w:rsidR="00236608" w:rsidRDefault="00236608" w:rsidP="009251C2"/>
        </w:tc>
      </w:tr>
      <w:tr w:rsidR="00236608" w:rsidRPr="000C0B6C" w14:paraId="1F168E51" w14:textId="77777777" w:rsidTr="009251C2">
        <w:trPr>
          <w:trHeight w:val="224"/>
        </w:trPr>
        <w:tc>
          <w:tcPr>
            <w:tcW w:w="2049" w:type="dxa"/>
            <w:gridSpan w:val="2"/>
          </w:tcPr>
          <w:p w14:paraId="553A9A78" w14:textId="77777777" w:rsidR="00236608" w:rsidRPr="000C0B6C" w:rsidRDefault="00236608" w:rsidP="009251C2"/>
        </w:tc>
        <w:tc>
          <w:tcPr>
            <w:tcW w:w="8139" w:type="dxa"/>
            <w:gridSpan w:val="2"/>
          </w:tcPr>
          <w:p w14:paraId="4444D119" w14:textId="5E2F8BD7" w:rsidR="00236608" w:rsidRPr="000C0B6C" w:rsidRDefault="00236608" w:rsidP="009251C2"/>
        </w:tc>
      </w:tr>
    </w:tbl>
    <w:p w14:paraId="3F5E71EC" w14:textId="77777777" w:rsidR="00236608" w:rsidRPr="00532BBA" w:rsidRDefault="00236608" w:rsidP="00236608">
      <w:pPr>
        <w:pStyle w:val="Default"/>
        <w:jc w:val="center"/>
        <w:rPr>
          <w:b/>
          <w:sz w:val="22"/>
          <w:szCs w:val="22"/>
          <w:u w:val="single"/>
        </w:rPr>
      </w:pPr>
    </w:p>
    <w:p w14:paraId="254542ED" w14:textId="77777777" w:rsidR="00236608" w:rsidRPr="00624FAA" w:rsidRDefault="00236608" w:rsidP="00236608">
      <w:pPr>
        <w:jc w:val="both"/>
        <w:rPr>
          <w:i/>
          <w:szCs w:val="22"/>
        </w:rPr>
      </w:pPr>
      <w:r w:rsidRPr="00624FAA">
        <w:rPr>
          <w:i/>
          <w:sz w:val="22"/>
          <w:szCs w:val="22"/>
        </w:rPr>
        <w:t xml:space="preserve">Comments should be sent by e-mail to </w:t>
      </w:r>
      <w:hyperlink r:id="rId4" w:history="1">
        <w:r w:rsidRPr="00624FAA">
          <w:rPr>
            <w:rStyle w:val="Hyperlink"/>
            <w:i/>
            <w:sz w:val="22"/>
            <w:szCs w:val="22"/>
          </w:rPr>
          <w:t>secretariat@cbd.int</w:t>
        </w:r>
      </w:hyperlink>
      <w:r w:rsidRPr="00153018">
        <w:rPr>
          <w:i/>
          <w:sz w:val="22"/>
          <w:szCs w:val="22"/>
        </w:rPr>
        <w:t xml:space="preserve"> </w:t>
      </w:r>
    </w:p>
    <w:p w14:paraId="48DAF900" w14:textId="5924F03A" w:rsidR="00B51493" w:rsidRDefault="00B51493" w:rsidP="00D93CCA"/>
    <w:sectPr w:rsidR="00B5149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3CCA"/>
    <w:rsid w:val="000B1379"/>
    <w:rsid w:val="00236608"/>
    <w:rsid w:val="002A34F5"/>
    <w:rsid w:val="003F611B"/>
    <w:rsid w:val="008E7015"/>
    <w:rsid w:val="00AD0605"/>
    <w:rsid w:val="00AF4AD0"/>
    <w:rsid w:val="00B51493"/>
    <w:rsid w:val="00CF5AC6"/>
    <w:rsid w:val="00D93CC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4FB3F"/>
  <w15:docId w15:val="{4D5F87B1-CFEE-4610-87C9-E6404575A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6608"/>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236608"/>
    <w:rPr>
      <w:rFonts w:cs="Times New Roman"/>
      <w:color w:val="0000FF"/>
      <w:u w:val="single"/>
    </w:rPr>
  </w:style>
  <w:style w:type="paragraph" w:customStyle="1" w:styleId="Default">
    <w:name w:val="Default"/>
    <w:uiPriority w:val="99"/>
    <w:rsid w:val="00236608"/>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CommentText">
    <w:name w:val="annotation text"/>
    <w:basedOn w:val="Normal"/>
    <w:link w:val="CommentTextChar"/>
    <w:uiPriority w:val="99"/>
    <w:semiHidden/>
    <w:unhideWhenUsed/>
    <w:rsid w:val="00236608"/>
    <w:rPr>
      <w:sz w:val="20"/>
      <w:szCs w:val="20"/>
    </w:rPr>
  </w:style>
  <w:style w:type="character" w:customStyle="1" w:styleId="CommentTextChar">
    <w:name w:val="Comment Text Char"/>
    <w:basedOn w:val="DefaultParagraphFont"/>
    <w:link w:val="CommentText"/>
    <w:uiPriority w:val="99"/>
    <w:semiHidden/>
    <w:rsid w:val="00236608"/>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rsid w:val="00236608"/>
    <w:rPr>
      <w:b/>
      <w:bCs/>
    </w:rPr>
  </w:style>
  <w:style w:type="character" w:customStyle="1" w:styleId="CommentSubjectChar">
    <w:name w:val="Comment Subject Char"/>
    <w:basedOn w:val="CommentTextChar"/>
    <w:link w:val="CommentSubject"/>
    <w:uiPriority w:val="99"/>
    <w:rsid w:val="00236608"/>
    <w:rPr>
      <w:rFonts w:ascii="Times New Roman" w:eastAsia="Times New Roman" w:hAnsi="Times New Roman" w:cs="Times New Roman"/>
      <w:b/>
      <w:bCs/>
      <w:sz w:val="20"/>
      <w:szCs w:val="20"/>
      <w:lang w:val="en-US"/>
    </w:rPr>
  </w:style>
  <w:style w:type="paragraph" w:customStyle="1" w:styleId="Form">
    <w:name w:val="Form"/>
    <w:basedOn w:val="Normal"/>
    <w:uiPriority w:val="99"/>
    <w:rsid w:val="00236608"/>
    <w:pPr>
      <w:autoSpaceDE w:val="0"/>
      <w:autoSpaceDN w:val="0"/>
      <w:adjustRightInd w:val="0"/>
      <w:spacing w:before="60" w:after="60"/>
    </w:pPr>
    <w:rPr>
      <w:rFonts w:ascii="Arial" w:eastAsia="MS Mincho" w:hAnsi="Arial" w:cs="Arial"/>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8212105">
      <w:bodyDiv w:val="1"/>
      <w:marLeft w:val="0"/>
      <w:marRight w:val="0"/>
      <w:marTop w:val="0"/>
      <w:marBottom w:val="0"/>
      <w:divBdr>
        <w:top w:val="none" w:sz="0" w:space="0" w:color="auto"/>
        <w:left w:val="none" w:sz="0" w:space="0" w:color="auto"/>
        <w:bottom w:val="none" w:sz="0" w:space="0" w:color="auto"/>
        <w:right w:val="none" w:sz="0" w:space="0" w:color="auto"/>
      </w:divBdr>
      <w:divsChild>
        <w:div w:id="1157914710">
          <w:marLeft w:val="0"/>
          <w:marRight w:val="0"/>
          <w:marTop w:val="0"/>
          <w:marBottom w:val="0"/>
          <w:divBdr>
            <w:top w:val="none" w:sz="0" w:space="0" w:color="auto"/>
            <w:left w:val="none" w:sz="0" w:space="0" w:color="auto"/>
            <w:bottom w:val="none" w:sz="0" w:space="0" w:color="auto"/>
            <w:right w:val="none" w:sz="0" w:space="0" w:color="auto"/>
          </w:divBdr>
        </w:div>
        <w:div w:id="1853912353">
          <w:marLeft w:val="0"/>
          <w:marRight w:val="0"/>
          <w:marTop w:val="0"/>
          <w:marBottom w:val="0"/>
          <w:divBdr>
            <w:top w:val="none" w:sz="0" w:space="0" w:color="auto"/>
            <w:left w:val="none" w:sz="0" w:space="0" w:color="auto"/>
            <w:bottom w:val="none" w:sz="0" w:space="0" w:color="auto"/>
            <w:right w:val="none" w:sz="0" w:space="0" w:color="auto"/>
          </w:divBdr>
        </w:div>
        <w:div w:id="588007004">
          <w:marLeft w:val="0"/>
          <w:marRight w:val="0"/>
          <w:marTop w:val="0"/>
          <w:marBottom w:val="0"/>
          <w:divBdr>
            <w:top w:val="none" w:sz="0" w:space="0" w:color="auto"/>
            <w:left w:val="none" w:sz="0" w:space="0" w:color="auto"/>
            <w:bottom w:val="none" w:sz="0" w:space="0" w:color="auto"/>
            <w:right w:val="none" w:sz="0" w:space="0" w:color="auto"/>
          </w:divBdr>
        </w:div>
        <w:div w:id="1649363686">
          <w:marLeft w:val="0"/>
          <w:marRight w:val="0"/>
          <w:marTop w:val="0"/>
          <w:marBottom w:val="0"/>
          <w:divBdr>
            <w:top w:val="none" w:sz="0" w:space="0" w:color="auto"/>
            <w:left w:val="none" w:sz="0" w:space="0" w:color="auto"/>
            <w:bottom w:val="none" w:sz="0" w:space="0" w:color="auto"/>
            <w:right w:val="none" w:sz="0" w:space="0" w:color="auto"/>
          </w:divBdr>
        </w:div>
        <w:div w:id="1770806836">
          <w:marLeft w:val="0"/>
          <w:marRight w:val="0"/>
          <w:marTop w:val="0"/>
          <w:marBottom w:val="0"/>
          <w:divBdr>
            <w:top w:val="none" w:sz="0" w:space="0" w:color="auto"/>
            <w:left w:val="none" w:sz="0" w:space="0" w:color="auto"/>
            <w:bottom w:val="none" w:sz="0" w:space="0" w:color="auto"/>
            <w:right w:val="none" w:sz="0" w:space="0" w:color="auto"/>
          </w:divBdr>
        </w:div>
        <w:div w:id="324362736">
          <w:marLeft w:val="0"/>
          <w:marRight w:val="0"/>
          <w:marTop w:val="0"/>
          <w:marBottom w:val="0"/>
          <w:divBdr>
            <w:top w:val="none" w:sz="0" w:space="0" w:color="auto"/>
            <w:left w:val="none" w:sz="0" w:space="0" w:color="auto"/>
            <w:bottom w:val="none" w:sz="0" w:space="0" w:color="auto"/>
            <w:right w:val="none" w:sz="0" w:space="0" w:color="auto"/>
          </w:divBdr>
        </w:div>
        <w:div w:id="13806640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ecretariat@cbd.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743</Words>
  <Characters>4236</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Kieran Noonan Mooney</dc:creator>
  <cp:lastModifiedBy>Tanya Mcgregor</cp:lastModifiedBy>
  <cp:revision>2</cp:revision>
  <dcterms:created xsi:type="dcterms:W3CDTF">2020-12-23T01:06:00Z</dcterms:created>
  <dcterms:modified xsi:type="dcterms:W3CDTF">2020-12-23T01:06:00Z</dcterms:modified>
</cp:coreProperties>
</file>