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9E" w:rsidRPr="0010369E" w:rsidRDefault="00421676" w:rsidP="0010369E">
      <w:pPr>
        <w:pStyle w:val="Rentekst"/>
        <w:rPr>
          <w:rFonts w:asciiTheme="minorHAnsi" w:hAnsiTheme="minorHAnsi"/>
          <w:sz w:val="22"/>
          <w:szCs w:val="22"/>
          <w:lang w:val="en-US"/>
        </w:rPr>
      </w:pPr>
      <w:r>
        <w:rPr>
          <w:rFonts w:asciiTheme="minorHAnsi" w:hAnsiTheme="minorHAnsi"/>
          <w:sz w:val="22"/>
          <w:szCs w:val="22"/>
          <w:lang w:val="en-US"/>
        </w:rPr>
        <w:t xml:space="preserve">Information from the </w:t>
      </w:r>
      <w:r w:rsidR="0010369E" w:rsidRPr="0010369E">
        <w:rPr>
          <w:rFonts w:asciiTheme="minorHAnsi" w:hAnsiTheme="minorHAnsi"/>
          <w:sz w:val="22"/>
          <w:szCs w:val="22"/>
          <w:lang w:val="en-US"/>
        </w:rPr>
        <w:t xml:space="preserve">Norwegian BCH focal </w:t>
      </w:r>
      <w:r>
        <w:rPr>
          <w:rFonts w:asciiTheme="minorHAnsi" w:hAnsiTheme="minorHAnsi"/>
          <w:sz w:val="22"/>
          <w:szCs w:val="22"/>
          <w:lang w:val="en-US"/>
        </w:rPr>
        <w:t xml:space="preserve">point, </w:t>
      </w:r>
      <w:r w:rsidR="0010369E" w:rsidRPr="0010369E">
        <w:rPr>
          <w:rFonts w:asciiTheme="minorHAnsi" w:hAnsiTheme="minorHAnsi"/>
          <w:sz w:val="22"/>
          <w:szCs w:val="22"/>
          <w:lang w:val="en-US"/>
        </w:rPr>
        <w:t xml:space="preserve">according to notification 2015-002, issued on 7 January 2015. </w:t>
      </w:r>
    </w:p>
    <w:p w:rsidR="0010369E" w:rsidRPr="0010369E" w:rsidRDefault="0010369E" w:rsidP="0010369E">
      <w:pPr>
        <w:pStyle w:val="Rentekst"/>
        <w:ind w:left="1080"/>
        <w:rPr>
          <w:rFonts w:asciiTheme="minorHAnsi" w:hAnsiTheme="minorHAnsi"/>
          <w:sz w:val="22"/>
          <w:szCs w:val="22"/>
          <w:lang w:val="en-US"/>
        </w:rPr>
      </w:pPr>
    </w:p>
    <w:p w:rsidR="00A127A4" w:rsidRPr="0010369E" w:rsidRDefault="00A127A4" w:rsidP="00A127A4">
      <w:pPr>
        <w:pStyle w:val="Rentekst"/>
        <w:numPr>
          <w:ilvl w:val="0"/>
          <w:numId w:val="1"/>
        </w:numPr>
        <w:rPr>
          <w:rFonts w:asciiTheme="minorHAnsi" w:hAnsiTheme="minorHAnsi"/>
          <w:i/>
          <w:sz w:val="22"/>
          <w:szCs w:val="22"/>
          <w:lang w:val="en-US"/>
        </w:rPr>
      </w:pPr>
      <w:r w:rsidRPr="0010369E">
        <w:rPr>
          <w:rFonts w:asciiTheme="minorHAnsi" w:hAnsiTheme="minorHAnsi"/>
          <w:i/>
          <w:sz w:val="22"/>
          <w:szCs w:val="22"/>
          <w:lang w:val="en-US"/>
        </w:rPr>
        <w:t xml:space="preserve">Information on actual cases of unintentional transboundary movement and case studies related to their existing mechanisms for emergency measures in case of unintentional transboundary movements of living modified organisms that are likely to have significant adverse effects on the conservation and sustainable use of biological diversity, taking also into account risks to human health, including information on existing rapid alert mechanisms and monitoring systems; </w:t>
      </w:r>
    </w:p>
    <w:p w:rsidR="0010369E" w:rsidRPr="0010369E" w:rsidRDefault="0010369E" w:rsidP="0010369E">
      <w:pPr>
        <w:pStyle w:val="Rentekst"/>
        <w:rPr>
          <w:rFonts w:asciiTheme="minorHAnsi" w:hAnsiTheme="minorHAnsi"/>
          <w:sz w:val="22"/>
          <w:szCs w:val="22"/>
          <w:lang w:val="en-US"/>
        </w:rPr>
      </w:pPr>
    </w:p>
    <w:p w:rsidR="0010369E" w:rsidRDefault="0010369E" w:rsidP="0010369E">
      <w:pPr>
        <w:pStyle w:val="Rentekst"/>
        <w:rPr>
          <w:rFonts w:asciiTheme="minorHAnsi" w:hAnsiTheme="minorHAnsi"/>
          <w:sz w:val="22"/>
          <w:szCs w:val="22"/>
          <w:lang w:val="en-US"/>
        </w:rPr>
      </w:pPr>
      <w:r w:rsidRPr="0010369E">
        <w:rPr>
          <w:rFonts w:asciiTheme="minorHAnsi" w:hAnsiTheme="minorHAnsi"/>
          <w:sz w:val="22"/>
          <w:szCs w:val="22"/>
          <w:lang w:val="en-US"/>
        </w:rPr>
        <w:t xml:space="preserve">Please find the list of cases of unauthorized LMO </w:t>
      </w:r>
      <w:r w:rsidR="004A256D">
        <w:rPr>
          <w:rFonts w:asciiTheme="minorHAnsi" w:hAnsiTheme="minorHAnsi"/>
          <w:sz w:val="22"/>
          <w:szCs w:val="22"/>
          <w:lang w:val="en-US"/>
        </w:rPr>
        <w:t>identified</w:t>
      </w:r>
      <w:r w:rsidRPr="0010369E">
        <w:rPr>
          <w:rFonts w:asciiTheme="minorHAnsi" w:hAnsiTheme="minorHAnsi"/>
          <w:sz w:val="22"/>
          <w:szCs w:val="22"/>
          <w:lang w:val="en-US"/>
        </w:rPr>
        <w:t xml:space="preserve"> in Norway in 2014:</w:t>
      </w:r>
    </w:p>
    <w:p w:rsidR="0010369E" w:rsidRPr="0010369E" w:rsidRDefault="0010369E" w:rsidP="0010369E">
      <w:pPr>
        <w:pStyle w:val="Rentekst"/>
        <w:rPr>
          <w:rFonts w:asciiTheme="minorHAnsi" w:hAnsiTheme="minorHAnsi"/>
          <w:sz w:val="22"/>
          <w:szCs w:val="22"/>
          <w:lang w:val="en-US"/>
        </w:rPr>
      </w:pPr>
      <w:r>
        <w:rPr>
          <w:rFonts w:asciiTheme="minorHAnsi" w:hAnsiTheme="minorHAnsi"/>
          <w:sz w:val="22"/>
          <w:szCs w:val="22"/>
          <w:lang w:val="en-US"/>
        </w:rPr>
        <w:br/>
        <w:t>In total, it was identified seven cases of illegal (</w:t>
      </w:r>
      <w:r w:rsidRPr="0010369E">
        <w:rPr>
          <w:rFonts w:asciiTheme="minorHAnsi" w:hAnsiTheme="minorHAnsi"/>
          <w:sz w:val="22"/>
          <w:szCs w:val="22"/>
          <w:lang w:val="en-US"/>
        </w:rPr>
        <w:t>unauthorized</w:t>
      </w:r>
      <w:r>
        <w:rPr>
          <w:rFonts w:asciiTheme="minorHAnsi" w:hAnsiTheme="minorHAnsi"/>
          <w:sz w:val="22"/>
          <w:szCs w:val="22"/>
          <w:lang w:val="en-US"/>
        </w:rPr>
        <w:t>) LMO in Norway in 2014. One papaya (not authorized in EU or Norway) and six cases of LMO (authorized in EU, but not in Norway)</w:t>
      </w:r>
      <w:r w:rsidR="00421676">
        <w:rPr>
          <w:rFonts w:asciiTheme="minorHAnsi" w:hAnsiTheme="minorHAnsi"/>
          <w:sz w:val="22"/>
          <w:szCs w:val="22"/>
          <w:lang w:val="en-US"/>
        </w:rPr>
        <w:t xml:space="preserve">. The papaya case </w:t>
      </w:r>
      <w:proofErr w:type="gramStart"/>
      <w:r w:rsidR="00421676">
        <w:rPr>
          <w:rFonts w:asciiTheme="minorHAnsi" w:hAnsiTheme="minorHAnsi"/>
          <w:sz w:val="22"/>
          <w:szCs w:val="22"/>
          <w:lang w:val="en-US"/>
        </w:rPr>
        <w:t>was notified</w:t>
      </w:r>
      <w:proofErr w:type="gramEnd"/>
      <w:r w:rsidR="00421676">
        <w:rPr>
          <w:rFonts w:asciiTheme="minorHAnsi" w:hAnsiTheme="minorHAnsi"/>
          <w:sz w:val="22"/>
          <w:szCs w:val="22"/>
          <w:lang w:val="en-US"/>
        </w:rPr>
        <w:t xml:space="preserve"> in the RASFF system.</w:t>
      </w:r>
    </w:p>
    <w:p w:rsidR="0010369E" w:rsidRPr="0010369E" w:rsidRDefault="0010369E" w:rsidP="0010369E">
      <w:pPr>
        <w:pStyle w:val="Rentekst"/>
        <w:rPr>
          <w:rFonts w:asciiTheme="minorHAnsi" w:hAnsiTheme="minorHAnsi"/>
          <w:sz w:val="22"/>
          <w:szCs w:val="22"/>
          <w:lang w:val="en-US"/>
        </w:rPr>
      </w:pPr>
    </w:p>
    <w:p w:rsidR="0010369E" w:rsidRPr="00421676" w:rsidRDefault="0010369E" w:rsidP="0010369E">
      <w:pPr>
        <w:autoSpaceDE w:val="0"/>
        <w:autoSpaceDN w:val="0"/>
        <w:rPr>
          <w:rFonts w:ascii="Trebuchet MS" w:hAnsi="Trebuchet MS"/>
          <w:sz w:val="20"/>
          <w:szCs w:val="20"/>
          <w:lang w:val="en-US"/>
        </w:rPr>
      </w:pPr>
      <w:r w:rsidRPr="00421676">
        <w:rPr>
          <w:rFonts w:ascii="Trebuchet MS" w:hAnsi="Trebuchet MS"/>
          <w:sz w:val="20"/>
          <w:szCs w:val="20"/>
          <w:lang w:val="en-US"/>
        </w:rPr>
        <w:t>Papaya* p35S</w:t>
      </w:r>
      <w:r w:rsidR="00421676">
        <w:rPr>
          <w:rFonts w:ascii="Trebuchet MS" w:hAnsi="Trebuchet MS"/>
          <w:sz w:val="20"/>
          <w:szCs w:val="20"/>
          <w:lang w:val="en-US"/>
        </w:rPr>
        <w:t xml:space="preserve"> and</w:t>
      </w:r>
      <w:r w:rsidRPr="00421676">
        <w:rPr>
          <w:rFonts w:ascii="Trebuchet MS" w:hAnsi="Trebuchet MS"/>
          <w:sz w:val="20"/>
          <w:szCs w:val="20"/>
          <w:lang w:val="en-US"/>
        </w:rPr>
        <w:t xml:space="preserve"> </w:t>
      </w:r>
      <w:proofErr w:type="spellStart"/>
      <w:r w:rsidRPr="00421676">
        <w:rPr>
          <w:rFonts w:ascii="Trebuchet MS" w:hAnsi="Trebuchet MS"/>
          <w:sz w:val="20"/>
          <w:szCs w:val="20"/>
          <w:lang w:val="en-US"/>
        </w:rPr>
        <w:t>tNOS</w:t>
      </w:r>
      <w:proofErr w:type="spellEnd"/>
      <w:r w:rsidRPr="00421676">
        <w:rPr>
          <w:rFonts w:ascii="Trebuchet MS" w:hAnsi="Trebuchet MS"/>
          <w:sz w:val="20"/>
          <w:szCs w:val="20"/>
          <w:lang w:val="en-US"/>
        </w:rPr>
        <w:t xml:space="preserve"> -</w:t>
      </w:r>
    </w:p>
    <w:p w:rsidR="0010369E" w:rsidRPr="0010369E" w:rsidRDefault="0010369E" w:rsidP="0010369E">
      <w:pPr>
        <w:autoSpaceDE w:val="0"/>
        <w:autoSpaceDN w:val="0"/>
        <w:rPr>
          <w:rFonts w:ascii="Trebuchet MS" w:hAnsi="Trebuchet MS"/>
          <w:sz w:val="20"/>
          <w:szCs w:val="20"/>
          <w:lang w:val="en-US"/>
        </w:rPr>
      </w:pPr>
      <w:r w:rsidRPr="0010369E">
        <w:rPr>
          <w:rFonts w:ascii="Trebuchet MS" w:hAnsi="Trebuchet MS"/>
          <w:sz w:val="20"/>
          <w:szCs w:val="20"/>
          <w:lang w:val="en-US"/>
        </w:rPr>
        <w:t>Soya 80% ± 24% MON-Ø4Ø32-6    MON-89788-1</w:t>
      </w:r>
    </w:p>
    <w:p w:rsidR="0010369E" w:rsidRPr="0010369E" w:rsidRDefault="0010369E" w:rsidP="0010369E">
      <w:pPr>
        <w:autoSpaceDE w:val="0"/>
        <w:autoSpaceDN w:val="0"/>
        <w:rPr>
          <w:rFonts w:ascii="Trebuchet MS" w:hAnsi="Trebuchet MS"/>
          <w:sz w:val="20"/>
          <w:szCs w:val="20"/>
          <w:lang w:val="en-US"/>
        </w:rPr>
      </w:pPr>
      <w:r w:rsidRPr="0010369E">
        <w:rPr>
          <w:rFonts w:ascii="Trebuchet MS" w:hAnsi="Trebuchet MS"/>
          <w:sz w:val="20"/>
          <w:szCs w:val="20"/>
          <w:lang w:val="en-US"/>
        </w:rPr>
        <w:t>Soya 92% ± 28% MON-Ø4Ø32-6    ACS-GMØØ5-3, MON-89788-1</w:t>
      </w:r>
    </w:p>
    <w:p w:rsidR="0010369E" w:rsidRDefault="0010369E" w:rsidP="0010369E">
      <w:pPr>
        <w:autoSpaceDE w:val="0"/>
        <w:autoSpaceDN w:val="0"/>
        <w:rPr>
          <w:rFonts w:ascii="Trebuchet MS" w:hAnsi="Trebuchet MS"/>
          <w:sz w:val="20"/>
          <w:szCs w:val="20"/>
          <w:lang w:val="en-US"/>
        </w:rPr>
      </w:pPr>
      <w:r>
        <w:rPr>
          <w:rFonts w:ascii="Trebuchet MS" w:hAnsi="Trebuchet MS"/>
          <w:sz w:val="20"/>
          <w:szCs w:val="20"/>
          <w:lang w:val="en-US"/>
        </w:rPr>
        <w:t>Soya 55% ± 17% MON-Ø4Ø32-6    ACS-GMØØ5-3, MON-89788-1</w:t>
      </w:r>
    </w:p>
    <w:p w:rsidR="0010369E" w:rsidRPr="0010369E" w:rsidRDefault="0010369E" w:rsidP="0010369E">
      <w:pPr>
        <w:autoSpaceDE w:val="0"/>
        <w:autoSpaceDN w:val="0"/>
        <w:rPr>
          <w:rFonts w:ascii="Trebuchet MS" w:hAnsi="Trebuchet MS"/>
          <w:sz w:val="20"/>
          <w:szCs w:val="20"/>
          <w:lang w:val="en-US"/>
        </w:rPr>
      </w:pPr>
      <w:r w:rsidRPr="0010369E">
        <w:rPr>
          <w:rFonts w:ascii="Trebuchet MS" w:hAnsi="Trebuchet MS"/>
          <w:sz w:val="20"/>
          <w:szCs w:val="20"/>
          <w:lang w:val="en-US"/>
        </w:rPr>
        <w:t>Ma</w:t>
      </w:r>
      <w:r>
        <w:rPr>
          <w:rFonts w:ascii="Trebuchet MS" w:hAnsi="Trebuchet MS"/>
          <w:sz w:val="20"/>
          <w:szCs w:val="20"/>
          <w:lang w:val="en-US"/>
        </w:rPr>
        <w:t>ize</w:t>
      </w:r>
      <w:r w:rsidRPr="0010369E">
        <w:rPr>
          <w:rFonts w:ascii="Trebuchet MS" w:hAnsi="Trebuchet MS"/>
          <w:sz w:val="20"/>
          <w:szCs w:val="20"/>
          <w:lang w:val="en-US"/>
        </w:rPr>
        <w:t xml:space="preserve"> 49% ± 15% MON-ØØ6Ø3-6, 28% ± 8</w:t>
      </w:r>
      <w:proofErr w:type="gramStart"/>
      <w:r w:rsidRPr="0010369E">
        <w:rPr>
          <w:rFonts w:ascii="Trebuchet MS" w:hAnsi="Trebuchet MS"/>
          <w:sz w:val="20"/>
          <w:szCs w:val="20"/>
          <w:lang w:val="en-US"/>
        </w:rPr>
        <w:t>,4</w:t>
      </w:r>
      <w:proofErr w:type="gramEnd"/>
      <w:r w:rsidRPr="0010369E">
        <w:rPr>
          <w:rFonts w:ascii="Trebuchet MS" w:hAnsi="Trebuchet MS"/>
          <w:sz w:val="20"/>
          <w:szCs w:val="20"/>
          <w:lang w:val="en-US"/>
        </w:rPr>
        <w:t>% DAS-Ø15Ø7-1              MON-88Ø17-3</w:t>
      </w:r>
    </w:p>
    <w:p w:rsidR="0010369E" w:rsidRPr="0010369E" w:rsidRDefault="0010369E" w:rsidP="0010369E">
      <w:pPr>
        <w:autoSpaceDE w:val="0"/>
        <w:autoSpaceDN w:val="0"/>
        <w:rPr>
          <w:rFonts w:ascii="Trebuchet MS" w:hAnsi="Trebuchet MS"/>
          <w:sz w:val="20"/>
          <w:szCs w:val="20"/>
          <w:lang w:val="en-US"/>
        </w:rPr>
      </w:pPr>
      <w:r>
        <w:rPr>
          <w:rFonts w:ascii="Trebuchet MS" w:hAnsi="Trebuchet MS"/>
          <w:sz w:val="20"/>
          <w:szCs w:val="20"/>
          <w:lang w:val="en-US"/>
        </w:rPr>
        <w:t xml:space="preserve">Maize 54% ± 16% MON-89Ø34-3, 94% ± 28% MON-ØØ6Ø3-6, </w:t>
      </w:r>
      <w:r w:rsidRPr="0010369E">
        <w:rPr>
          <w:rFonts w:ascii="Trebuchet MS" w:hAnsi="Trebuchet MS"/>
          <w:sz w:val="20"/>
          <w:szCs w:val="20"/>
          <w:lang w:val="en-US"/>
        </w:rPr>
        <w:t>27% ± 8% MON-ØØ81Ø-6</w:t>
      </w:r>
    </w:p>
    <w:p w:rsidR="0010369E" w:rsidRDefault="0010369E" w:rsidP="00421676">
      <w:pPr>
        <w:autoSpaceDE w:val="0"/>
        <w:autoSpaceDN w:val="0"/>
        <w:rPr>
          <w:rFonts w:ascii="Trebuchet MS" w:hAnsi="Trebuchet MS"/>
          <w:sz w:val="20"/>
          <w:szCs w:val="20"/>
          <w:lang w:val="en-US"/>
        </w:rPr>
      </w:pPr>
      <w:r w:rsidRPr="0010369E">
        <w:rPr>
          <w:rFonts w:ascii="Trebuchet MS" w:hAnsi="Trebuchet MS"/>
          <w:sz w:val="20"/>
          <w:szCs w:val="20"/>
          <w:lang w:val="en-US"/>
        </w:rPr>
        <w:t>Mai</w:t>
      </w:r>
      <w:r>
        <w:rPr>
          <w:rFonts w:ascii="Trebuchet MS" w:hAnsi="Trebuchet MS"/>
          <w:sz w:val="20"/>
          <w:szCs w:val="20"/>
          <w:lang w:val="en-US"/>
        </w:rPr>
        <w:t>ze</w:t>
      </w:r>
      <w:r w:rsidRPr="0010369E">
        <w:rPr>
          <w:rFonts w:ascii="Trebuchet MS" w:hAnsi="Trebuchet MS"/>
          <w:sz w:val="20"/>
          <w:szCs w:val="20"/>
          <w:lang w:val="en-US"/>
        </w:rPr>
        <w:t xml:space="preserve"> 36% ± 11% MON-89Ø34-3, 59% ± 18% MON-ØØ6Ø3-6, 62</w:t>
      </w:r>
      <w:r>
        <w:rPr>
          <w:rFonts w:ascii="Trebuchet MS" w:hAnsi="Trebuchet MS"/>
          <w:sz w:val="20"/>
          <w:szCs w:val="20"/>
          <w:lang w:val="en-US"/>
        </w:rPr>
        <w:t>% ±</w:t>
      </w:r>
      <w:proofErr w:type="gramStart"/>
      <w:r>
        <w:rPr>
          <w:rFonts w:ascii="Trebuchet MS" w:hAnsi="Trebuchet MS"/>
          <w:sz w:val="20"/>
          <w:szCs w:val="20"/>
          <w:lang w:val="en-US"/>
        </w:rPr>
        <w:t>19%</w:t>
      </w:r>
      <w:proofErr w:type="gramEnd"/>
      <w:r>
        <w:rPr>
          <w:rFonts w:ascii="Trebuchet MS" w:hAnsi="Trebuchet MS"/>
          <w:sz w:val="20"/>
          <w:szCs w:val="20"/>
          <w:lang w:val="en-US"/>
        </w:rPr>
        <w:t xml:space="preserve"> MON-ØØ81Ø-6</w:t>
      </w:r>
    </w:p>
    <w:p w:rsidR="0010369E" w:rsidRPr="0010369E" w:rsidRDefault="0010369E" w:rsidP="0010369E">
      <w:pPr>
        <w:rPr>
          <w:rFonts w:ascii="Calibri" w:hAnsi="Calibri"/>
          <w:color w:val="1F497D"/>
          <w:lang w:val="en-US"/>
        </w:rPr>
      </w:pPr>
    </w:p>
    <w:p w:rsidR="0010369E" w:rsidRPr="0010369E" w:rsidRDefault="0010369E" w:rsidP="0010369E">
      <w:pPr>
        <w:rPr>
          <w:color w:val="1F497D"/>
          <w:lang w:val="en-US"/>
        </w:rPr>
      </w:pPr>
    </w:p>
    <w:p w:rsidR="0010369E" w:rsidRPr="00A127A4" w:rsidRDefault="0010369E" w:rsidP="0010369E">
      <w:pPr>
        <w:rPr>
          <w:lang w:val="en-US"/>
        </w:rPr>
      </w:pPr>
    </w:p>
    <w:p w:rsidR="0010369E" w:rsidRDefault="0010369E">
      <w:pPr>
        <w:rPr>
          <w:rFonts w:ascii="Arial" w:hAnsi="Arial" w:cs="Arial"/>
          <w:color w:val="000000"/>
          <w:sz w:val="18"/>
          <w:szCs w:val="18"/>
          <w:lang w:val="en-US" w:eastAsia="nb-NO"/>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10369E" w:rsidRDefault="0010369E" w:rsidP="0010369E">
      <w:pPr>
        <w:pStyle w:val="Rentekst"/>
        <w:rPr>
          <w:lang w:val="en-US"/>
        </w:rPr>
      </w:pPr>
    </w:p>
    <w:p w:rsidR="00A127A4" w:rsidRPr="0010369E" w:rsidRDefault="00A127A4" w:rsidP="0010369E">
      <w:pPr>
        <w:pStyle w:val="Rentekst"/>
        <w:numPr>
          <w:ilvl w:val="0"/>
          <w:numId w:val="1"/>
        </w:numPr>
        <w:rPr>
          <w:i/>
          <w:lang w:val="en-US"/>
        </w:rPr>
      </w:pPr>
      <w:r w:rsidRPr="0010369E">
        <w:rPr>
          <w:i/>
          <w:lang w:val="en-US"/>
        </w:rPr>
        <w:lastRenderedPageBreak/>
        <w:t>Views on what constitutes unintentional transboundary movements in contrast with illegal transboundary movements and what type of informatio</w:t>
      </w:r>
      <w:r w:rsidR="0010369E" w:rsidRPr="0010369E">
        <w:rPr>
          <w:i/>
          <w:lang w:val="en-US"/>
        </w:rPr>
        <w:t>n should be exchanged through </w:t>
      </w:r>
      <w:r w:rsidRPr="0010369E">
        <w:rPr>
          <w:i/>
          <w:lang w:val="en-US"/>
        </w:rPr>
        <w:t>the Biosafety Clearing-House</w:t>
      </w:r>
    </w:p>
    <w:p w:rsidR="00A127A4" w:rsidRDefault="00A127A4" w:rsidP="00A127A4">
      <w:pPr>
        <w:rPr>
          <w:lang w:val="en-US"/>
        </w:rPr>
      </w:pPr>
    </w:p>
    <w:p w:rsidR="0010369E" w:rsidRPr="00421676" w:rsidRDefault="00D5122E" w:rsidP="0010369E">
      <w:pPr>
        <w:rPr>
          <w:lang w:val="en-US"/>
        </w:rPr>
      </w:pPr>
      <w:r>
        <w:rPr>
          <w:lang w:val="en-US"/>
        </w:rPr>
        <w:t>In cases</w:t>
      </w:r>
      <w:r w:rsidR="00EA7884">
        <w:rPr>
          <w:lang w:val="en-US"/>
        </w:rPr>
        <w:t xml:space="preserve"> of</w:t>
      </w:r>
      <w:r>
        <w:rPr>
          <w:lang w:val="en-US"/>
        </w:rPr>
        <w:t xml:space="preserve"> identification of illegal LMO (unauthorized in EU), Norway give</w:t>
      </w:r>
      <w:r w:rsidR="00EA7884">
        <w:rPr>
          <w:lang w:val="en-US"/>
        </w:rPr>
        <w:t>s</w:t>
      </w:r>
      <w:r>
        <w:rPr>
          <w:lang w:val="en-US"/>
        </w:rPr>
        <w:t xml:space="preserve"> information via</w:t>
      </w:r>
      <w:r w:rsidR="00EA7884">
        <w:rPr>
          <w:lang w:val="en-US"/>
        </w:rPr>
        <w:t xml:space="preserve"> the</w:t>
      </w:r>
      <w:r w:rsidRPr="00D5122E">
        <w:rPr>
          <w:lang w:val="en-US"/>
        </w:rPr>
        <w:t xml:space="preserve"> </w:t>
      </w:r>
      <w:r w:rsidR="0010369E" w:rsidRPr="00D5122E">
        <w:rPr>
          <w:lang w:val="en-US"/>
        </w:rPr>
        <w:t xml:space="preserve">RASFF </w:t>
      </w:r>
      <w:r w:rsidRPr="00D5122E">
        <w:rPr>
          <w:lang w:val="en-US"/>
        </w:rPr>
        <w:t>(</w:t>
      </w:r>
      <w:r w:rsidRPr="00D5122E">
        <w:rPr>
          <w:rStyle w:val="Sterk"/>
          <w:b w:val="0"/>
          <w:lang w:val="en"/>
        </w:rPr>
        <w:t>the Rapid Alert System for Food and Feed</w:t>
      </w:r>
      <w:r>
        <w:rPr>
          <w:rStyle w:val="Sterk"/>
          <w:b w:val="0"/>
          <w:lang w:val="en"/>
        </w:rPr>
        <w:t>)</w:t>
      </w:r>
      <w:r w:rsidRPr="00D5122E">
        <w:rPr>
          <w:b/>
          <w:lang w:val="en"/>
        </w:rPr>
        <w:t>.</w:t>
      </w:r>
      <w:r w:rsidRPr="00D5122E">
        <w:rPr>
          <w:lang w:val="en-US"/>
        </w:rPr>
        <w:t xml:space="preserve"> </w:t>
      </w:r>
      <w:r>
        <w:rPr>
          <w:lang w:val="en-US"/>
        </w:rPr>
        <w:t xml:space="preserve">RASFF has four categories, </w:t>
      </w:r>
      <w:r w:rsidR="0010369E" w:rsidRPr="00D5122E">
        <w:rPr>
          <w:lang w:val="en-US"/>
        </w:rPr>
        <w:t>1. Alert</w:t>
      </w:r>
      <w:r w:rsidRPr="00D5122E">
        <w:rPr>
          <w:lang w:val="en-US"/>
        </w:rPr>
        <w:t xml:space="preserve"> notification</w:t>
      </w:r>
      <w:r w:rsidR="0010369E" w:rsidRPr="00D5122E">
        <w:rPr>
          <w:lang w:val="en-US"/>
        </w:rPr>
        <w:t>, 2. Information</w:t>
      </w:r>
      <w:r>
        <w:rPr>
          <w:lang w:val="en-US"/>
        </w:rPr>
        <w:t xml:space="preserve"> not</w:t>
      </w:r>
      <w:r w:rsidRPr="00D5122E">
        <w:rPr>
          <w:lang w:val="en-US"/>
        </w:rPr>
        <w:t>if</w:t>
      </w:r>
      <w:r>
        <w:rPr>
          <w:lang w:val="en-US"/>
        </w:rPr>
        <w:t>ic</w:t>
      </w:r>
      <w:r w:rsidRPr="00D5122E">
        <w:rPr>
          <w:lang w:val="en-US"/>
        </w:rPr>
        <w:t>ation</w:t>
      </w:r>
      <w:r w:rsidR="0010369E" w:rsidRPr="00D5122E">
        <w:rPr>
          <w:lang w:val="en-US"/>
        </w:rPr>
        <w:t xml:space="preserve">, 3. Boarder rejection </w:t>
      </w:r>
      <w:r w:rsidRPr="00D5122E">
        <w:rPr>
          <w:lang w:val="en-US"/>
        </w:rPr>
        <w:t xml:space="preserve">and </w:t>
      </w:r>
      <w:proofErr w:type="gramStart"/>
      <w:r w:rsidR="0010369E" w:rsidRPr="00D5122E">
        <w:rPr>
          <w:lang w:val="en-US"/>
        </w:rPr>
        <w:t>4</w:t>
      </w:r>
      <w:proofErr w:type="gramEnd"/>
      <w:r w:rsidR="0010369E" w:rsidRPr="00D5122E">
        <w:rPr>
          <w:lang w:val="en-US"/>
        </w:rPr>
        <w:t xml:space="preserve">. </w:t>
      </w:r>
      <w:r w:rsidR="0010369E" w:rsidRPr="00421676">
        <w:rPr>
          <w:lang w:val="en-US"/>
        </w:rPr>
        <w:t>News</w:t>
      </w:r>
      <w:r w:rsidR="00421676">
        <w:rPr>
          <w:lang w:val="en-US"/>
        </w:rPr>
        <w:t>.</w:t>
      </w:r>
    </w:p>
    <w:p w:rsidR="00D5122E" w:rsidRPr="00D5122E" w:rsidRDefault="00421676" w:rsidP="0010369E">
      <w:pPr>
        <w:rPr>
          <w:lang w:val="en-US"/>
        </w:rPr>
      </w:pPr>
      <w:r>
        <w:rPr>
          <w:lang w:val="en-US"/>
        </w:rPr>
        <w:t xml:space="preserve">With regard to what type of information </w:t>
      </w:r>
      <w:r w:rsidR="00EA7884">
        <w:rPr>
          <w:lang w:val="en-US"/>
        </w:rPr>
        <w:t>that to exchange</w:t>
      </w:r>
      <w:r>
        <w:rPr>
          <w:lang w:val="en-US"/>
        </w:rPr>
        <w:t xml:space="preserve"> through the BCH</w:t>
      </w:r>
      <w:r w:rsidR="00EA7884">
        <w:rPr>
          <w:lang w:val="en-US"/>
        </w:rPr>
        <w:t>,</w:t>
      </w:r>
      <w:r>
        <w:rPr>
          <w:lang w:val="en-US"/>
        </w:rPr>
        <w:t xml:space="preserve"> we are of an opinion that illegal transboundary movements </w:t>
      </w:r>
      <w:r w:rsidR="00EA7884">
        <w:rPr>
          <w:lang w:val="en-US"/>
        </w:rPr>
        <w:t>of LMO should be included as defined in the Cartagena protocol.</w:t>
      </w:r>
      <w:r>
        <w:rPr>
          <w:lang w:val="en-US"/>
        </w:rPr>
        <w:t xml:space="preserve"> </w:t>
      </w:r>
      <w:bookmarkStart w:id="0" w:name="_GoBack"/>
      <w:bookmarkEnd w:id="0"/>
    </w:p>
    <w:p w:rsidR="0010369E" w:rsidRPr="004A256D" w:rsidRDefault="0010369E" w:rsidP="0010369E">
      <w:pPr>
        <w:rPr>
          <w:color w:val="1F497D"/>
          <w:lang w:val="en-US"/>
        </w:rPr>
      </w:pPr>
    </w:p>
    <w:sectPr w:rsidR="0010369E" w:rsidRPr="004A25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9E" w:rsidRDefault="0010369E" w:rsidP="0010369E">
      <w:pPr>
        <w:spacing w:after="0" w:line="240" w:lineRule="auto"/>
      </w:pPr>
      <w:r>
        <w:separator/>
      </w:r>
    </w:p>
  </w:endnote>
  <w:endnote w:type="continuationSeparator" w:id="0">
    <w:p w:rsidR="0010369E" w:rsidRDefault="0010369E" w:rsidP="0010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9E" w:rsidRDefault="0010369E" w:rsidP="0010369E">
      <w:pPr>
        <w:spacing w:after="0" w:line="240" w:lineRule="auto"/>
      </w:pPr>
      <w:r>
        <w:separator/>
      </w:r>
    </w:p>
  </w:footnote>
  <w:footnote w:type="continuationSeparator" w:id="0">
    <w:p w:rsidR="0010369E" w:rsidRDefault="0010369E" w:rsidP="00103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9E" w:rsidRDefault="0010369E">
    <w:pPr>
      <w:pStyle w:val="Topptekst"/>
    </w:pPr>
    <w:r>
      <w:tab/>
    </w:r>
    <w:r>
      <w:tab/>
      <w:t>31.08.2015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D6177"/>
    <w:multiLevelType w:val="hybridMultilevel"/>
    <w:tmpl w:val="93A0F2D8"/>
    <w:lvl w:ilvl="0" w:tplc="80BE6D5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E5723A1"/>
    <w:multiLevelType w:val="hybridMultilevel"/>
    <w:tmpl w:val="B77EF81E"/>
    <w:lvl w:ilvl="0" w:tplc="9468D3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A4"/>
    <w:rsid w:val="0010018F"/>
    <w:rsid w:val="0010369E"/>
    <w:rsid w:val="00421676"/>
    <w:rsid w:val="004A256D"/>
    <w:rsid w:val="005F0D06"/>
    <w:rsid w:val="00857AC0"/>
    <w:rsid w:val="00892762"/>
    <w:rsid w:val="00955B52"/>
    <w:rsid w:val="00A127A4"/>
    <w:rsid w:val="00D5122E"/>
    <w:rsid w:val="00DE0695"/>
    <w:rsid w:val="00EA78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11A2B-2655-4600-9304-F04223DF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A127A4"/>
    <w:pPr>
      <w:spacing w:after="0" w:line="240" w:lineRule="auto"/>
    </w:pPr>
    <w:rPr>
      <w:rFonts w:ascii="Arial" w:hAnsi="Arial" w:cs="Arial"/>
      <w:color w:val="000000"/>
      <w:sz w:val="18"/>
      <w:szCs w:val="18"/>
      <w:lang w:eastAsia="nb-NO"/>
    </w:rPr>
  </w:style>
  <w:style w:type="character" w:customStyle="1" w:styleId="RentekstTegn">
    <w:name w:val="Ren tekst Tegn"/>
    <w:basedOn w:val="Standardskriftforavsnitt"/>
    <w:link w:val="Rentekst"/>
    <w:uiPriority w:val="99"/>
    <w:rsid w:val="00A127A4"/>
    <w:rPr>
      <w:rFonts w:ascii="Arial" w:hAnsi="Arial" w:cs="Arial"/>
      <w:color w:val="000000"/>
      <w:sz w:val="18"/>
      <w:szCs w:val="18"/>
      <w:lang w:eastAsia="nb-NO"/>
    </w:rPr>
  </w:style>
  <w:style w:type="paragraph" w:styleId="Topptekst">
    <w:name w:val="header"/>
    <w:basedOn w:val="Normal"/>
    <w:link w:val="TopptekstTegn"/>
    <w:uiPriority w:val="99"/>
    <w:unhideWhenUsed/>
    <w:rsid w:val="001036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369E"/>
  </w:style>
  <w:style w:type="paragraph" w:styleId="Bunntekst">
    <w:name w:val="footer"/>
    <w:basedOn w:val="Normal"/>
    <w:link w:val="BunntekstTegn"/>
    <w:uiPriority w:val="99"/>
    <w:unhideWhenUsed/>
    <w:rsid w:val="0010369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369E"/>
  </w:style>
  <w:style w:type="character" w:styleId="Sterk">
    <w:name w:val="Strong"/>
    <w:basedOn w:val="Standardskriftforavsnitt"/>
    <w:uiPriority w:val="22"/>
    <w:qFormat/>
    <w:rsid w:val="00D5122E"/>
    <w:rPr>
      <w:b/>
      <w:bCs/>
    </w:rPr>
  </w:style>
  <w:style w:type="paragraph" w:styleId="Listeavsnitt">
    <w:name w:val="List Paragraph"/>
    <w:basedOn w:val="Normal"/>
    <w:uiPriority w:val="34"/>
    <w:qFormat/>
    <w:rsid w:val="0042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8165">
      <w:bodyDiv w:val="1"/>
      <w:marLeft w:val="0"/>
      <w:marRight w:val="0"/>
      <w:marTop w:val="0"/>
      <w:marBottom w:val="0"/>
      <w:divBdr>
        <w:top w:val="none" w:sz="0" w:space="0" w:color="auto"/>
        <w:left w:val="none" w:sz="0" w:space="0" w:color="auto"/>
        <w:bottom w:val="none" w:sz="0" w:space="0" w:color="auto"/>
        <w:right w:val="none" w:sz="0" w:space="0" w:color="auto"/>
      </w:divBdr>
    </w:div>
    <w:div w:id="6445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316</Words>
  <Characters>1675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Miljødirektoratet</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Øvrebø Bohnhorst</dc:creator>
  <cp:keywords/>
  <dc:description/>
  <cp:lastModifiedBy>Janne Øvrebø Bohnhorst</cp:lastModifiedBy>
  <cp:revision>5</cp:revision>
  <dcterms:created xsi:type="dcterms:W3CDTF">2015-08-31T12:39:00Z</dcterms:created>
  <dcterms:modified xsi:type="dcterms:W3CDTF">2015-09-01T14:47:00Z</dcterms:modified>
</cp:coreProperties>
</file>