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gramStart"/>
            <w:r w:rsidRPr="004F7374">
              <w:rPr>
                <w:rFonts w:ascii="Arial" w:hAnsi="Arial" w:cs="Arial"/>
                <w:b/>
                <w:sz w:val="16"/>
                <w:szCs w:val="16"/>
              </w:rPr>
              <w:t>Ramsar</w:t>
            </w:r>
            <w:r w:rsidR="4AE51243" w:rsidRPr="4FD5E346">
              <w:rPr>
                <w:rFonts w:ascii="Arial" w:hAnsi="Arial" w:cs="Arial"/>
                <w:b/>
                <w:bCs/>
                <w:sz w:val="16"/>
                <w:szCs w:val="16"/>
              </w:rPr>
              <w:t xml:space="preserve">  Convention</w:t>
            </w:r>
            <w:proofErr w:type="gramEnd"/>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3ADA0A57" w:rsidR="00FC6E3F" w:rsidRPr="00292092" w:rsidRDefault="00FC6E3F" w:rsidP="001D764F">
            <w:pPr>
              <w:rPr>
                <w:rFonts w:ascii="Arial" w:hAnsi="Arial" w:cs="Arial"/>
                <w:i/>
                <w:iCs/>
                <w:sz w:val="18"/>
                <w:szCs w:val="18"/>
              </w:rPr>
            </w:pPr>
          </w:p>
        </w:tc>
        <w:tc>
          <w:tcPr>
            <w:tcW w:w="1936" w:type="dxa"/>
            <w:shd w:val="clear" w:color="auto" w:fill="FFE599" w:themeFill="accent4" w:themeFillTint="66"/>
          </w:tcPr>
          <w:p w14:paraId="2F345535" w14:textId="08583446" w:rsidR="00FC6E3F" w:rsidRPr="00292092" w:rsidRDefault="00FC6E3F" w:rsidP="001D764F">
            <w:pPr>
              <w:rPr>
                <w:rFonts w:ascii="Arial" w:hAnsi="Arial" w:cs="Arial"/>
                <w:i/>
                <w:iCs/>
                <w:sz w:val="18"/>
                <w:szCs w:val="18"/>
              </w:rPr>
            </w:pPr>
          </w:p>
        </w:tc>
        <w:tc>
          <w:tcPr>
            <w:tcW w:w="1787" w:type="dxa"/>
            <w:shd w:val="clear" w:color="auto" w:fill="auto"/>
          </w:tcPr>
          <w:p w14:paraId="05B5A68D" w14:textId="659E6366" w:rsidR="00FC6E3F" w:rsidRPr="00292092" w:rsidRDefault="00FC6E3F" w:rsidP="001D764F">
            <w:pPr>
              <w:rPr>
                <w:rFonts w:ascii="Arial" w:hAnsi="Arial" w:cs="Arial"/>
                <w:i/>
                <w:iCs/>
                <w:sz w:val="18"/>
                <w:szCs w:val="18"/>
              </w:rPr>
            </w:pPr>
          </w:p>
        </w:tc>
        <w:tc>
          <w:tcPr>
            <w:tcW w:w="1489" w:type="dxa"/>
            <w:shd w:val="clear" w:color="auto" w:fill="auto"/>
          </w:tcPr>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4150644" w:rsidR="00FC6E3F" w:rsidRPr="00292092" w:rsidRDefault="00FC6E3F" w:rsidP="001D764F">
            <w:pPr>
              <w:jc w:val="center"/>
              <w:rPr>
                <w:rFonts w:ascii="Arial" w:hAnsi="Arial" w:cs="Arial"/>
                <w:i/>
                <w:iCs/>
                <w:sz w:val="18"/>
                <w:szCs w:val="18"/>
              </w:rPr>
            </w:pP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308B890A" w:rsidR="00FC6E3F" w:rsidRPr="00292092" w:rsidRDefault="00FC6E3F" w:rsidP="001D764F">
            <w:pPr>
              <w:jc w:val="center"/>
              <w:rPr>
                <w:rFonts w:ascii="Arial" w:hAnsi="Arial" w:cs="Arial"/>
                <w:i/>
                <w:iCs/>
                <w:sz w:val="18"/>
                <w:szCs w:val="18"/>
              </w:rPr>
            </w:pPr>
          </w:p>
        </w:tc>
        <w:tc>
          <w:tcPr>
            <w:tcW w:w="1193" w:type="dxa"/>
            <w:shd w:val="clear" w:color="auto" w:fill="auto"/>
          </w:tcPr>
          <w:p w14:paraId="27699EF1" w14:textId="0F404B0A" w:rsidR="00FC6E3F" w:rsidRPr="00292092" w:rsidRDefault="00FC6E3F" w:rsidP="001D764F">
            <w:pPr>
              <w:jc w:val="center"/>
              <w:rPr>
                <w:rFonts w:ascii="Arial" w:hAnsi="Arial" w:cs="Arial"/>
                <w:i/>
                <w:iCs/>
                <w:sz w:val="18"/>
                <w:szCs w:val="18"/>
              </w:rPr>
            </w:pPr>
          </w:p>
        </w:tc>
        <w:tc>
          <w:tcPr>
            <w:tcW w:w="1340" w:type="dxa"/>
            <w:shd w:val="clear" w:color="auto" w:fill="auto"/>
          </w:tcPr>
          <w:p w14:paraId="1A035779" w14:textId="51E31242" w:rsidR="00FC6E3F" w:rsidRPr="00330C5D" w:rsidRDefault="00FC6E3F" w:rsidP="001D764F">
            <w:pPr>
              <w:jc w:val="center"/>
              <w:rPr>
                <w:rFonts w:ascii="Arial" w:hAnsi="Arial" w:cs="Arial"/>
                <w:sz w:val="18"/>
                <w:szCs w:val="18"/>
              </w:rPr>
            </w:pPr>
          </w:p>
        </w:tc>
        <w:tc>
          <w:tcPr>
            <w:tcW w:w="1640" w:type="dxa"/>
            <w:shd w:val="clear" w:color="auto" w:fill="auto"/>
          </w:tcPr>
          <w:p w14:paraId="0D3F8138" w14:textId="11AA6B4D" w:rsidR="00FC6E3F" w:rsidRPr="00292092" w:rsidRDefault="00FC6E3F" w:rsidP="001D764F">
            <w:pPr>
              <w:jc w:val="center"/>
              <w:rPr>
                <w:rFonts w:ascii="Arial" w:hAnsi="Arial" w:cs="Arial"/>
                <w:i/>
                <w:iCs/>
                <w:sz w:val="18"/>
                <w:szCs w:val="18"/>
              </w:rPr>
            </w:pPr>
          </w:p>
        </w:tc>
        <w:tc>
          <w:tcPr>
            <w:tcW w:w="1340" w:type="dxa"/>
            <w:shd w:val="clear" w:color="auto" w:fill="auto"/>
          </w:tcPr>
          <w:p w14:paraId="584D0707" w14:textId="799CDBD5" w:rsidR="00FC6E3F" w:rsidRPr="00292092" w:rsidRDefault="00FC6E3F" w:rsidP="001D764F">
            <w:pPr>
              <w:jc w:val="center"/>
              <w:rPr>
                <w:rFonts w:ascii="Arial" w:hAnsi="Arial" w:cs="Arial"/>
                <w:i/>
                <w:iCs/>
                <w:sz w:val="18"/>
                <w:szCs w:val="18"/>
              </w:rPr>
            </w:pPr>
          </w:p>
        </w:tc>
        <w:tc>
          <w:tcPr>
            <w:tcW w:w="1166" w:type="dxa"/>
            <w:shd w:val="clear" w:color="auto" w:fill="auto"/>
          </w:tcPr>
          <w:p w14:paraId="1E136E8A" w14:textId="3319A35C" w:rsidR="00FC6E3F" w:rsidRPr="00292092" w:rsidRDefault="00FC6E3F" w:rsidP="001D764F">
            <w:pPr>
              <w:jc w:val="center"/>
              <w:rPr>
                <w:rFonts w:ascii="Arial" w:hAnsi="Arial" w:cs="Arial"/>
                <w:i/>
                <w:iCs/>
                <w:sz w:val="18"/>
                <w:szCs w:val="18"/>
              </w:rPr>
            </w:pPr>
          </w:p>
        </w:tc>
        <w:tc>
          <w:tcPr>
            <w:tcW w:w="966" w:type="dxa"/>
            <w:shd w:val="clear" w:color="auto" w:fill="auto"/>
          </w:tcPr>
          <w:p w14:paraId="717834F9" w14:textId="266606A5" w:rsidR="00FC6E3F" w:rsidRPr="00292092" w:rsidRDefault="00FC6E3F" w:rsidP="001D764F">
            <w:pPr>
              <w:jc w:val="center"/>
              <w:rPr>
                <w:rFonts w:ascii="Arial" w:hAnsi="Arial" w:cs="Arial"/>
                <w:i/>
                <w:iCs/>
                <w:sz w:val="18"/>
                <w:szCs w:val="18"/>
              </w:rPr>
            </w:pP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77777777" w:rsidR="00FC6E3F" w:rsidRPr="00292092" w:rsidRDefault="00FC6E3F" w:rsidP="001D764F">
            <w:pPr>
              <w:jc w:val="center"/>
              <w:rPr>
                <w:rFonts w:ascii="Arial" w:hAnsi="Arial" w:cs="Arial"/>
                <w:i/>
                <w:iCs/>
                <w:sz w:val="18"/>
                <w:szCs w:val="18"/>
              </w:rPr>
            </w:pPr>
          </w:p>
        </w:tc>
      </w:tr>
      <w:tr w:rsidR="00FC6E3F" w:rsidRPr="004F7374" w14:paraId="70161528" w14:textId="77777777" w:rsidTr="007A15AD">
        <w:trPr>
          <w:trHeight w:val="236"/>
        </w:trPr>
        <w:tc>
          <w:tcPr>
            <w:tcW w:w="1781" w:type="dxa"/>
            <w:shd w:val="clear" w:color="auto" w:fill="FFE599" w:themeFill="accent4" w:themeFillTint="66"/>
          </w:tcPr>
          <w:p w14:paraId="7F3B08B9" w14:textId="2D9AF3D0" w:rsidR="00FC6E3F" w:rsidRPr="00292092" w:rsidRDefault="00FC6E3F" w:rsidP="001D764F">
            <w:pPr>
              <w:rPr>
                <w:rFonts w:ascii="Arial" w:hAnsi="Arial" w:cs="Arial"/>
                <w:i/>
                <w:iCs/>
                <w:sz w:val="18"/>
                <w:szCs w:val="18"/>
              </w:rPr>
            </w:pPr>
          </w:p>
        </w:tc>
        <w:tc>
          <w:tcPr>
            <w:tcW w:w="1936" w:type="dxa"/>
            <w:shd w:val="clear" w:color="auto" w:fill="FFE599" w:themeFill="accent4" w:themeFillTint="66"/>
          </w:tcPr>
          <w:p w14:paraId="16CAADC6" w14:textId="277AD06F" w:rsidR="00FC6E3F" w:rsidRPr="00292092" w:rsidRDefault="00FC6E3F" w:rsidP="001D764F">
            <w:pPr>
              <w:rPr>
                <w:rFonts w:ascii="Arial" w:hAnsi="Arial" w:cs="Arial"/>
                <w:i/>
                <w:iCs/>
                <w:sz w:val="18"/>
                <w:szCs w:val="18"/>
              </w:rPr>
            </w:pPr>
          </w:p>
        </w:tc>
        <w:tc>
          <w:tcPr>
            <w:tcW w:w="1787" w:type="dxa"/>
            <w:shd w:val="clear" w:color="auto" w:fill="auto"/>
          </w:tcPr>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2B52EDD5" w:rsidR="00FC6E3F" w:rsidRPr="00292092" w:rsidRDefault="00FC6E3F" w:rsidP="001D764F">
            <w:pPr>
              <w:jc w:val="center"/>
              <w:rPr>
                <w:rFonts w:ascii="Arial" w:hAnsi="Arial" w:cs="Arial"/>
                <w:i/>
                <w:iCs/>
                <w:kern w:val="22"/>
                <w:sz w:val="18"/>
                <w:szCs w:val="18"/>
              </w:rPr>
            </w:pP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6AF3F034" w:rsidR="00FC6E3F" w:rsidRPr="00292092" w:rsidRDefault="00FC6E3F" w:rsidP="001D764F">
            <w:pPr>
              <w:jc w:val="center"/>
              <w:rPr>
                <w:rFonts w:ascii="Arial" w:hAnsi="Arial" w:cs="Arial"/>
                <w:i/>
                <w:iCs/>
                <w:kern w:val="22"/>
                <w:sz w:val="18"/>
                <w:szCs w:val="18"/>
              </w:rPr>
            </w:pPr>
          </w:p>
        </w:tc>
        <w:tc>
          <w:tcPr>
            <w:tcW w:w="1193" w:type="dxa"/>
            <w:shd w:val="clear" w:color="auto" w:fill="auto"/>
          </w:tcPr>
          <w:p w14:paraId="54D881FD" w14:textId="41F18E7C"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10FFA792" w14:textId="7C7C2703" w:rsidR="00FC6E3F" w:rsidRPr="00292092" w:rsidRDefault="00FC6E3F" w:rsidP="001D764F">
            <w:pPr>
              <w:jc w:val="center"/>
              <w:rPr>
                <w:rFonts w:ascii="Arial" w:hAnsi="Arial" w:cs="Arial"/>
                <w:i/>
                <w:iCs/>
                <w:kern w:val="22"/>
                <w:sz w:val="18"/>
                <w:szCs w:val="18"/>
              </w:rPr>
            </w:pPr>
          </w:p>
        </w:tc>
        <w:tc>
          <w:tcPr>
            <w:tcW w:w="1640" w:type="dxa"/>
            <w:shd w:val="clear" w:color="auto" w:fill="auto"/>
          </w:tcPr>
          <w:p w14:paraId="3ACC4BA7" w14:textId="3DFBB5D9"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4A7F27AD" w14:textId="15321927" w:rsidR="00FC6E3F" w:rsidRPr="00292092" w:rsidRDefault="00FC6E3F" w:rsidP="001D764F">
            <w:pPr>
              <w:jc w:val="center"/>
              <w:rPr>
                <w:rFonts w:ascii="Arial" w:hAnsi="Arial" w:cs="Arial"/>
                <w:i/>
                <w:iCs/>
                <w:kern w:val="22"/>
                <w:sz w:val="18"/>
                <w:szCs w:val="18"/>
              </w:rPr>
            </w:pPr>
          </w:p>
        </w:tc>
        <w:tc>
          <w:tcPr>
            <w:tcW w:w="1166" w:type="dxa"/>
            <w:shd w:val="clear" w:color="auto" w:fill="auto"/>
          </w:tcPr>
          <w:p w14:paraId="0B21E1CE" w14:textId="26F4B78B" w:rsidR="00FC6E3F" w:rsidRPr="00292092" w:rsidRDefault="00FC6E3F" w:rsidP="001D764F">
            <w:pPr>
              <w:jc w:val="center"/>
              <w:rPr>
                <w:rFonts w:ascii="Arial" w:hAnsi="Arial" w:cs="Arial"/>
                <w:i/>
                <w:iCs/>
                <w:kern w:val="22"/>
                <w:sz w:val="18"/>
                <w:szCs w:val="18"/>
              </w:rPr>
            </w:pPr>
          </w:p>
        </w:tc>
        <w:tc>
          <w:tcPr>
            <w:tcW w:w="966" w:type="dxa"/>
            <w:shd w:val="clear" w:color="auto" w:fill="auto"/>
          </w:tcPr>
          <w:p w14:paraId="2DE05A07" w14:textId="70CDEC72" w:rsidR="00FC6E3F" w:rsidRPr="00292092" w:rsidRDefault="00FC6E3F" w:rsidP="001D764F">
            <w:pPr>
              <w:jc w:val="center"/>
              <w:rPr>
                <w:rFonts w:ascii="Arial" w:hAnsi="Arial" w:cs="Arial"/>
                <w:i/>
                <w:iCs/>
                <w:kern w:val="22"/>
                <w:sz w:val="18"/>
                <w:szCs w:val="18"/>
              </w:rPr>
            </w:pPr>
          </w:p>
        </w:tc>
        <w:tc>
          <w:tcPr>
            <w:tcW w:w="1794" w:type="dxa"/>
            <w:shd w:val="clear" w:color="auto" w:fill="auto"/>
          </w:tcPr>
          <w:p w14:paraId="12EA8F3E" w14:textId="59CB8C30" w:rsidR="00FC6E3F" w:rsidRPr="00292092" w:rsidRDefault="00FC6E3F" w:rsidP="001D764F">
            <w:pPr>
              <w:jc w:val="center"/>
              <w:rPr>
                <w:rFonts w:ascii="Arial" w:hAnsi="Arial" w:cs="Arial"/>
                <w:i/>
                <w:iCs/>
                <w:kern w:val="22"/>
                <w:sz w:val="18"/>
                <w:szCs w:val="18"/>
              </w:rPr>
            </w:pP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17227E8D" w14:textId="503FC8F3" w:rsidR="00C20290" w:rsidRPr="00BF2004" w:rsidRDefault="00BF2004" w:rsidP="00C20290">
            <w:pPr>
              <w:rPr>
                <w:rFonts w:ascii="CIDFont+F5" w:hAnsi="CIDFont+F5" w:cs="CIDFont+F5"/>
                <w:b/>
                <w:bCs/>
                <w:lang w:val="en-GB"/>
              </w:rPr>
            </w:pPr>
            <w:r w:rsidRPr="00E01221">
              <w:rPr>
                <w:rFonts w:ascii="Arial" w:hAnsi="Arial" w:cs="Arial"/>
                <w:sz w:val="18"/>
                <w:szCs w:val="18"/>
              </w:rPr>
              <w:t>T2.4</w:t>
            </w:r>
            <w:r w:rsidR="00C20290">
              <w:rPr>
                <w:rFonts w:ascii="Arial" w:hAnsi="Arial" w:cs="Arial"/>
                <w:sz w:val="18"/>
                <w:szCs w:val="18"/>
              </w:rPr>
              <w:t xml:space="preserve"> </w:t>
            </w:r>
          </w:p>
          <w:p w14:paraId="50B3FF48" w14:textId="74CE2A9C" w:rsidR="00C20290" w:rsidRPr="00C20290" w:rsidRDefault="00C20290" w:rsidP="00C20290">
            <w:pPr>
              <w:autoSpaceDE w:val="0"/>
              <w:autoSpaceDN w:val="0"/>
              <w:adjustRightInd w:val="0"/>
            </w:pPr>
            <w:r w:rsidRPr="00C20290">
              <w:t>Effective management</w:t>
            </w:r>
          </w:p>
          <w:p w14:paraId="019B717B" w14:textId="24553B3C" w:rsidR="00FD0318" w:rsidRPr="00E01221" w:rsidRDefault="00C20290" w:rsidP="00C20290">
            <w:pPr>
              <w:rPr>
                <w:rFonts w:ascii="Arial" w:hAnsi="Arial" w:cs="Arial"/>
                <w:sz w:val="18"/>
                <w:szCs w:val="18"/>
              </w:rPr>
            </w:pPr>
            <w:r w:rsidRPr="00C20290">
              <w:t>and equitable governance of the system of protected areas and other effective area-based conservation measures</w:t>
            </w:r>
            <w:r w:rsidR="00BF2004" w:rsidRPr="00E01221">
              <w:rPr>
                <w:rFonts w:ascii="Arial" w:hAnsi="Arial" w:cs="Arial"/>
                <w:sz w:val="18"/>
                <w:szCs w:val="18"/>
              </w:rPr>
              <w:t xml:space="preserve"> </w:t>
            </w:r>
          </w:p>
        </w:tc>
        <w:tc>
          <w:tcPr>
            <w:tcW w:w="1936" w:type="dxa"/>
            <w:shd w:val="clear" w:color="auto" w:fill="FFE599" w:themeFill="accent4" w:themeFillTint="66"/>
          </w:tcPr>
          <w:p w14:paraId="27C19495" w14:textId="77777777" w:rsidR="00C20290" w:rsidRDefault="00C20290" w:rsidP="00C20290">
            <w:pPr>
              <w:autoSpaceDE w:val="0"/>
              <w:autoSpaceDN w:val="0"/>
              <w:adjustRightInd w:val="0"/>
              <w:rPr>
                <w:rFonts w:ascii="CIDFont+F5" w:hAnsi="CIDFont+F5" w:cs="CIDFont+F5"/>
                <w:lang w:val="en-GB"/>
              </w:rPr>
            </w:pPr>
            <w:r>
              <w:rPr>
                <w:rFonts w:ascii="CIDFont+F5" w:hAnsi="CIDFont+F5" w:cs="CIDFont+F5"/>
                <w:lang w:val="en-GB"/>
              </w:rPr>
              <w:t>Trends in proportion of protected areas and other</w:t>
            </w:r>
          </w:p>
          <w:p w14:paraId="486DDB57" w14:textId="77777777" w:rsidR="00C20290" w:rsidRDefault="00C20290" w:rsidP="00C20290">
            <w:pPr>
              <w:autoSpaceDE w:val="0"/>
              <w:autoSpaceDN w:val="0"/>
              <w:adjustRightInd w:val="0"/>
              <w:rPr>
                <w:rFonts w:ascii="CIDFont+F5" w:hAnsi="CIDFont+F5" w:cs="CIDFont+F5"/>
                <w:lang w:val="en-GB"/>
              </w:rPr>
            </w:pPr>
            <w:r>
              <w:rPr>
                <w:rFonts w:ascii="CIDFont+F5" w:hAnsi="CIDFont+F5" w:cs="CIDFont+F5"/>
                <w:lang w:val="en-GB"/>
              </w:rPr>
              <w:t xml:space="preserve">effective </w:t>
            </w:r>
            <w:proofErr w:type="gramStart"/>
            <w:r>
              <w:rPr>
                <w:rFonts w:ascii="CIDFont+F5" w:hAnsi="CIDFont+F5" w:cs="CIDFont+F5"/>
                <w:lang w:val="en-GB"/>
              </w:rPr>
              <w:t>area based</w:t>
            </w:r>
            <w:proofErr w:type="gramEnd"/>
            <w:r>
              <w:rPr>
                <w:rFonts w:ascii="CIDFont+F5" w:hAnsi="CIDFont+F5" w:cs="CIDFont+F5"/>
                <w:lang w:val="en-GB"/>
              </w:rPr>
              <w:t xml:space="preserve"> conservation measures</w:t>
            </w:r>
          </w:p>
          <w:p w14:paraId="435D2472" w14:textId="39846FD3" w:rsidR="00FD0318" w:rsidRPr="00E01221" w:rsidRDefault="00C20290" w:rsidP="00C20290">
            <w:pPr>
              <w:rPr>
                <w:rFonts w:ascii="Arial" w:hAnsi="Arial" w:cs="Arial"/>
                <w:sz w:val="18"/>
                <w:szCs w:val="18"/>
              </w:rPr>
            </w:pPr>
            <w:r>
              <w:rPr>
                <w:rFonts w:ascii="CIDFont+F5" w:hAnsi="CIDFont+F5" w:cs="CIDFont+F5"/>
                <w:lang w:val="en-GB"/>
              </w:rPr>
              <w:t>under various governance regimes</w:t>
            </w:r>
          </w:p>
        </w:tc>
        <w:tc>
          <w:tcPr>
            <w:tcW w:w="1787" w:type="dxa"/>
            <w:shd w:val="clear" w:color="auto" w:fill="auto"/>
          </w:tcPr>
          <w:p w14:paraId="674BFC0F" w14:textId="1B34F0FC" w:rsidR="00FD0318" w:rsidRPr="00E01221" w:rsidRDefault="00E01221" w:rsidP="00FD0318">
            <w:pPr>
              <w:rPr>
                <w:rFonts w:ascii="Arial" w:hAnsi="Arial" w:cs="Arial"/>
                <w:sz w:val="18"/>
                <w:szCs w:val="18"/>
              </w:rPr>
            </w:pPr>
            <w:r w:rsidRPr="00E01221">
              <w:t>Number of PAs/CAs that have completed a site-level assessment of governance and equity (SAGE)</w:t>
            </w:r>
          </w:p>
        </w:tc>
        <w:tc>
          <w:tcPr>
            <w:tcW w:w="1489" w:type="dxa"/>
            <w:shd w:val="clear" w:color="auto" w:fill="auto"/>
          </w:tcPr>
          <w:p w14:paraId="68B92E9E" w14:textId="4E2F3886" w:rsidR="00FD0318" w:rsidRPr="00E01221" w:rsidRDefault="00E01221" w:rsidP="00FD0318">
            <w:pPr>
              <w:rPr>
                <w:rFonts w:ascii="Arial" w:hAnsi="Arial" w:cs="Arial"/>
                <w:sz w:val="18"/>
                <w:szCs w:val="18"/>
              </w:rPr>
            </w:pPr>
            <w:r>
              <w:rPr>
                <w:rFonts w:ascii="Arial" w:hAnsi="Arial" w:cs="Arial"/>
                <w:sz w:val="18"/>
                <w:szCs w:val="18"/>
              </w:rPr>
              <w:t>IIED</w:t>
            </w:r>
          </w:p>
        </w:tc>
        <w:tc>
          <w:tcPr>
            <w:tcW w:w="1194" w:type="dxa"/>
            <w:shd w:val="clear" w:color="auto" w:fill="auto"/>
          </w:tcPr>
          <w:p w14:paraId="233E49AD" w14:textId="0498562F" w:rsidR="00FD0318" w:rsidRPr="00E01221" w:rsidRDefault="00E01221" w:rsidP="00FD0318">
            <w:pPr>
              <w:jc w:val="center"/>
              <w:rPr>
                <w:rFonts w:ascii="Arial" w:hAnsi="Arial" w:cs="Arial"/>
                <w:sz w:val="18"/>
                <w:szCs w:val="18"/>
              </w:rPr>
            </w:pPr>
            <w:r>
              <w:rPr>
                <w:rFonts w:ascii="Arial" w:hAnsi="Arial" w:cs="Arial"/>
                <w:sz w:val="18"/>
                <w:szCs w:val="18"/>
              </w:rPr>
              <w:t>Y</w:t>
            </w:r>
          </w:p>
        </w:tc>
        <w:tc>
          <w:tcPr>
            <w:tcW w:w="1341" w:type="dxa"/>
            <w:shd w:val="clear" w:color="auto" w:fill="auto"/>
          </w:tcPr>
          <w:p w14:paraId="279D495E" w14:textId="19753867" w:rsidR="00FD0318" w:rsidRPr="00E01221" w:rsidRDefault="00E01221" w:rsidP="00FD0318">
            <w:pPr>
              <w:jc w:val="center"/>
              <w:rPr>
                <w:rFonts w:ascii="Arial" w:hAnsi="Arial" w:cs="Arial"/>
                <w:sz w:val="18"/>
                <w:szCs w:val="18"/>
              </w:rPr>
            </w:pPr>
            <w:r>
              <w:rPr>
                <w:rFonts w:ascii="Arial" w:hAnsi="Arial" w:cs="Arial"/>
                <w:sz w:val="18"/>
                <w:szCs w:val="18"/>
              </w:rPr>
              <w:t>2020</w:t>
            </w:r>
          </w:p>
        </w:tc>
        <w:tc>
          <w:tcPr>
            <w:tcW w:w="1042" w:type="dxa"/>
            <w:shd w:val="clear" w:color="auto" w:fill="auto"/>
          </w:tcPr>
          <w:p w14:paraId="5814549E" w14:textId="421D297D" w:rsidR="00FD0318" w:rsidRPr="00E01221" w:rsidRDefault="00E01221" w:rsidP="00FD0318">
            <w:pPr>
              <w:jc w:val="center"/>
              <w:rPr>
                <w:rFonts w:ascii="Arial" w:hAnsi="Arial" w:cs="Arial"/>
                <w:sz w:val="18"/>
                <w:szCs w:val="18"/>
              </w:rPr>
            </w:pPr>
            <w:r>
              <w:rPr>
                <w:rFonts w:ascii="Arial" w:hAnsi="Arial" w:cs="Arial"/>
                <w:sz w:val="18"/>
                <w:szCs w:val="18"/>
              </w:rPr>
              <w:t>2019</w:t>
            </w:r>
          </w:p>
        </w:tc>
        <w:tc>
          <w:tcPr>
            <w:tcW w:w="1193" w:type="dxa"/>
            <w:shd w:val="clear" w:color="auto" w:fill="auto"/>
          </w:tcPr>
          <w:p w14:paraId="1EFF1774" w14:textId="13C68703" w:rsidR="00FD0318" w:rsidRPr="00E01221" w:rsidRDefault="00484AA6" w:rsidP="14E12F90">
            <w:pPr>
              <w:jc w:val="center"/>
              <w:rPr>
                <w:rFonts w:ascii="Arial" w:hAnsi="Arial" w:cs="Arial"/>
                <w:sz w:val="18"/>
                <w:szCs w:val="18"/>
              </w:rPr>
            </w:pPr>
            <w:r>
              <w:rPr>
                <w:rFonts w:ascii="Arial" w:hAnsi="Arial" w:cs="Arial"/>
                <w:sz w:val="18"/>
                <w:szCs w:val="18"/>
              </w:rPr>
              <w:t xml:space="preserve">2019, </w:t>
            </w:r>
            <w:r w:rsidR="00E01221">
              <w:rPr>
                <w:rFonts w:ascii="Arial" w:hAnsi="Arial" w:cs="Arial"/>
                <w:sz w:val="18"/>
                <w:szCs w:val="18"/>
              </w:rPr>
              <w:t>Annually</w:t>
            </w:r>
          </w:p>
        </w:tc>
        <w:tc>
          <w:tcPr>
            <w:tcW w:w="1340" w:type="dxa"/>
            <w:shd w:val="clear" w:color="auto" w:fill="auto"/>
          </w:tcPr>
          <w:p w14:paraId="3B337FC1" w14:textId="757B79F6" w:rsidR="00FD0318" w:rsidRPr="0036095E" w:rsidRDefault="0036095E" w:rsidP="00FD0318">
            <w:pPr>
              <w:jc w:val="center"/>
              <w:rPr>
                <w:rFonts w:ascii="Arial" w:hAnsi="Arial" w:cs="Arial"/>
                <w:iCs/>
                <w:sz w:val="18"/>
                <w:szCs w:val="18"/>
              </w:rPr>
            </w:pPr>
            <w:r w:rsidRPr="0036095E">
              <w:rPr>
                <w:rFonts w:ascii="Arial" w:eastAsia="Arial" w:hAnsi="Arial" w:cs="Arial"/>
                <w:iCs/>
                <w:sz w:val="18"/>
                <w:szCs w:val="18"/>
              </w:rPr>
              <w:t>Y (in draft</w:t>
            </w:r>
            <w:proofErr w:type="gramStart"/>
            <w:r w:rsidRPr="0036095E">
              <w:rPr>
                <w:rFonts w:ascii="Arial" w:eastAsia="Arial" w:hAnsi="Arial" w:cs="Arial"/>
                <w:iCs/>
                <w:sz w:val="18"/>
                <w:szCs w:val="18"/>
              </w:rPr>
              <w:t>) ,</w:t>
            </w:r>
            <w:proofErr w:type="gramEnd"/>
            <w:r w:rsidRPr="0036095E">
              <w:rPr>
                <w:rFonts w:ascii="Arial" w:eastAsia="Arial" w:hAnsi="Arial" w:cs="Arial"/>
                <w:iCs/>
                <w:sz w:val="18"/>
                <w:szCs w:val="18"/>
              </w:rPr>
              <w:t xml:space="preserve"> to be published in September 2020</w:t>
            </w:r>
          </w:p>
        </w:tc>
        <w:tc>
          <w:tcPr>
            <w:tcW w:w="1640" w:type="dxa"/>
            <w:shd w:val="clear" w:color="auto" w:fill="auto"/>
          </w:tcPr>
          <w:p w14:paraId="41B8D4F2" w14:textId="3AD61B86" w:rsidR="00FD0318" w:rsidRPr="00E01221" w:rsidRDefault="00E01221" w:rsidP="00FD0318">
            <w:pPr>
              <w:jc w:val="center"/>
              <w:rPr>
                <w:rFonts w:ascii="Arial" w:hAnsi="Arial" w:cs="Arial"/>
                <w:sz w:val="18"/>
                <w:szCs w:val="18"/>
              </w:rPr>
            </w:pPr>
            <w:r>
              <w:rPr>
                <w:rFonts w:ascii="Arial" w:hAnsi="Arial" w:cs="Arial"/>
                <w:sz w:val="18"/>
                <w:szCs w:val="18"/>
              </w:rPr>
              <w:t>Y</w:t>
            </w:r>
          </w:p>
        </w:tc>
        <w:tc>
          <w:tcPr>
            <w:tcW w:w="1340" w:type="dxa"/>
            <w:shd w:val="clear" w:color="auto" w:fill="auto"/>
          </w:tcPr>
          <w:p w14:paraId="6ACE2CD7" w14:textId="42EAA5D7" w:rsidR="00FD0318" w:rsidRPr="00E01221" w:rsidRDefault="00E01221" w:rsidP="00FD0318">
            <w:pPr>
              <w:jc w:val="center"/>
              <w:rPr>
                <w:rFonts w:ascii="Arial" w:hAnsi="Arial" w:cs="Arial"/>
                <w:sz w:val="18"/>
                <w:szCs w:val="18"/>
              </w:rPr>
            </w:pPr>
            <w:r>
              <w:rPr>
                <w:rFonts w:ascii="Arial" w:hAnsi="Arial" w:cs="Arial"/>
                <w:sz w:val="18"/>
                <w:szCs w:val="18"/>
              </w:rPr>
              <w:t>Y</w:t>
            </w:r>
          </w:p>
        </w:tc>
        <w:tc>
          <w:tcPr>
            <w:tcW w:w="1166" w:type="dxa"/>
            <w:shd w:val="clear" w:color="auto" w:fill="auto"/>
          </w:tcPr>
          <w:p w14:paraId="029B27A6" w14:textId="3EE911DB" w:rsidR="00FD0318" w:rsidRPr="00E01221" w:rsidRDefault="00E01221" w:rsidP="00FD0318">
            <w:pPr>
              <w:jc w:val="center"/>
              <w:rPr>
                <w:rFonts w:ascii="Arial" w:hAnsi="Arial" w:cs="Arial"/>
                <w:sz w:val="18"/>
                <w:szCs w:val="18"/>
              </w:rPr>
            </w:pPr>
            <w:r>
              <w:rPr>
                <w:rFonts w:ascii="Arial" w:hAnsi="Arial" w:cs="Arial"/>
                <w:sz w:val="18"/>
                <w:szCs w:val="18"/>
              </w:rPr>
              <w:t>N</w:t>
            </w:r>
          </w:p>
        </w:tc>
        <w:tc>
          <w:tcPr>
            <w:tcW w:w="966" w:type="dxa"/>
            <w:shd w:val="clear" w:color="auto" w:fill="auto"/>
          </w:tcPr>
          <w:p w14:paraId="3CC9CA20" w14:textId="0E5ED5DA" w:rsidR="00FD0318" w:rsidRPr="00E01221" w:rsidRDefault="00E01221" w:rsidP="00FD0318">
            <w:pPr>
              <w:jc w:val="center"/>
              <w:rPr>
                <w:rFonts w:ascii="Arial" w:hAnsi="Arial" w:cs="Arial"/>
                <w:sz w:val="18"/>
                <w:szCs w:val="18"/>
              </w:rPr>
            </w:pPr>
            <w:r>
              <w:rPr>
                <w:rFonts w:ascii="Arial" w:hAnsi="Arial" w:cs="Arial"/>
                <w:sz w:val="18"/>
                <w:szCs w:val="18"/>
              </w:rPr>
              <w:t>N</w:t>
            </w:r>
          </w:p>
        </w:tc>
        <w:tc>
          <w:tcPr>
            <w:tcW w:w="1794" w:type="dxa"/>
            <w:shd w:val="clear" w:color="auto" w:fill="auto"/>
          </w:tcPr>
          <w:p w14:paraId="245BF1A9" w14:textId="673ED71F" w:rsidR="00FD0318" w:rsidRPr="00E01221" w:rsidRDefault="00E01221" w:rsidP="007D6F80">
            <w:pPr>
              <w:jc w:val="center"/>
              <w:rPr>
                <w:rFonts w:ascii="Arial" w:hAnsi="Arial" w:cs="Arial"/>
                <w:sz w:val="18"/>
                <w:szCs w:val="18"/>
              </w:rPr>
            </w:pPr>
            <w:r>
              <w:rPr>
                <w:rFonts w:ascii="Arial" w:hAnsi="Arial" w:cs="Arial"/>
                <w:sz w:val="18"/>
                <w:szCs w:val="18"/>
              </w:rPr>
              <w:t>N</w:t>
            </w:r>
          </w:p>
        </w:tc>
        <w:tc>
          <w:tcPr>
            <w:tcW w:w="1794" w:type="dxa"/>
          </w:tcPr>
          <w:p w14:paraId="7652B788" w14:textId="2C1BE729" w:rsidR="00FD0318" w:rsidRPr="00E01221" w:rsidRDefault="00843FB1" w:rsidP="00FD0318">
            <w:pPr>
              <w:jc w:val="center"/>
              <w:rPr>
                <w:rFonts w:ascii="Arial" w:hAnsi="Arial" w:cs="Arial"/>
                <w:sz w:val="18"/>
                <w:szCs w:val="18"/>
              </w:rPr>
            </w:pPr>
            <w:r>
              <w:rPr>
                <w:rFonts w:ascii="Arial" w:hAnsi="Arial" w:cs="Arial"/>
                <w:sz w:val="18"/>
                <w:szCs w:val="18"/>
              </w:rPr>
              <w:t>IIED is keen to support this but can only do so if adequate funding is available</w:t>
            </w:r>
          </w:p>
        </w:tc>
      </w:tr>
      <w:tr w:rsidR="001D2FED" w:rsidRPr="004F7374" w14:paraId="7FEC995E" w14:textId="77777777" w:rsidTr="007A15AD">
        <w:trPr>
          <w:trHeight w:val="296"/>
        </w:trPr>
        <w:tc>
          <w:tcPr>
            <w:tcW w:w="1781" w:type="dxa"/>
            <w:shd w:val="clear" w:color="auto" w:fill="FFE599" w:themeFill="accent4" w:themeFillTint="66"/>
          </w:tcPr>
          <w:p w14:paraId="6BC7BC9F" w14:textId="77777777" w:rsidR="001D2FED" w:rsidRDefault="001D2FED" w:rsidP="001D2FED">
            <w:pPr>
              <w:autoSpaceDE w:val="0"/>
              <w:autoSpaceDN w:val="0"/>
              <w:adjustRightInd w:val="0"/>
              <w:rPr>
                <w:rFonts w:ascii="CIDFont+F2" w:hAnsi="CIDFont+F2" w:cs="CIDFont+F2"/>
                <w:sz w:val="18"/>
                <w:szCs w:val="18"/>
                <w:lang w:val="en-GB"/>
              </w:rPr>
            </w:pPr>
            <w:r>
              <w:rPr>
                <w:rFonts w:ascii="CIDFont+F2" w:hAnsi="CIDFont+F2" w:cs="CIDFont+F2"/>
                <w:sz w:val="18"/>
                <w:szCs w:val="18"/>
                <w:lang w:val="en-GB"/>
              </w:rPr>
              <w:t>T20.1. Equitable</w:t>
            </w:r>
          </w:p>
          <w:p w14:paraId="689C1BEA" w14:textId="77777777" w:rsidR="001D2FED" w:rsidRDefault="001D2FED" w:rsidP="001D2FED">
            <w:pPr>
              <w:autoSpaceDE w:val="0"/>
              <w:autoSpaceDN w:val="0"/>
              <w:adjustRightInd w:val="0"/>
              <w:rPr>
                <w:rFonts w:ascii="CIDFont+F2" w:hAnsi="CIDFont+F2" w:cs="CIDFont+F2"/>
                <w:sz w:val="18"/>
                <w:szCs w:val="18"/>
                <w:lang w:val="en-GB"/>
              </w:rPr>
            </w:pPr>
            <w:r>
              <w:rPr>
                <w:rFonts w:ascii="CIDFont+F2" w:hAnsi="CIDFont+F2" w:cs="CIDFont+F2"/>
                <w:sz w:val="18"/>
                <w:szCs w:val="18"/>
                <w:lang w:val="en-GB"/>
              </w:rPr>
              <w:t>participation of</w:t>
            </w:r>
          </w:p>
          <w:p w14:paraId="47E7DF76" w14:textId="77777777" w:rsidR="001D2FED" w:rsidRDefault="001D2FED" w:rsidP="001D2FED">
            <w:pPr>
              <w:autoSpaceDE w:val="0"/>
              <w:autoSpaceDN w:val="0"/>
              <w:adjustRightInd w:val="0"/>
              <w:rPr>
                <w:rFonts w:ascii="CIDFont+F2" w:hAnsi="CIDFont+F2" w:cs="CIDFont+F2"/>
                <w:sz w:val="18"/>
                <w:szCs w:val="18"/>
                <w:lang w:val="en-GB"/>
              </w:rPr>
            </w:pPr>
            <w:r>
              <w:rPr>
                <w:rFonts w:ascii="CIDFont+F2" w:hAnsi="CIDFont+F2" w:cs="CIDFont+F2"/>
                <w:sz w:val="18"/>
                <w:szCs w:val="18"/>
                <w:lang w:val="en-GB"/>
              </w:rPr>
              <w:t xml:space="preserve">IPLCs in </w:t>
            </w:r>
            <w:proofErr w:type="spellStart"/>
            <w:r>
              <w:rPr>
                <w:rFonts w:ascii="CIDFont+F2" w:hAnsi="CIDFont+F2" w:cs="CIDFont+F2"/>
                <w:sz w:val="18"/>
                <w:szCs w:val="18"/>
                <w:lang w:val="en-GB"/>
              </w:rPr>
              <w:t>decisionmaking</w:t>
            </w:r>
            <w:proofErr w:type="spellEnd"/>
          </w:p>
          <w:p w14:paraId="25748A96" w14:textId="77777777" w:rsidR="001D2FED" w:rsidRDefault="001D2FED" w:rsidP="001D2FED">
            <w:pPr>
              <w:autoSpaceDE w:val="0"/>
              <w:autoSpaceDN w:val="0"/>
              <w:adjustRightInd w:val="0"/>
              <w:rPr>
                <w:rFonts w:ascii="CIDFont+F2" w:hAnsi="CIDFont+F2" w:cs="CIDFont+F2"/>
                <w:sz w:val="18"/>
                <w:szCs w:val="18"/>
                <w:lang w:val="en-GB"/>
              </w:rPr>
            </w:pPr>
            <w:r>
              <w:rPr>
                <w:rFonts w:ascii="CIDFont+F2" w:hAnsi="CIDFont+F2" w:cs="CIDFont+F2"/>
                <w:sz w:val="18"/>
                <w:szCs w:val="18"/>
                <w:lang w:val="en-GB"/>
              </w:rPr>
              <w:t>related to</w:t>
            </w:r>
          </w:p>
          <w:p w14:paraId="02F5525F" w14:textId="77777777" w:rsidR="001D2FED" w:rsidRDefault="001D2FED" w:rsidP="001D2FED">
            <w:pPr>
              <w:autoSpaceDE w:val="0"/>
              <w:autoSpaceDN w:val="0"/>
              <w:adjustRightInd w:val="0"/>
              <w:rPr>
                <w:rFonts w:ascii="CIDFont+F2" w:hAnsi="CIDFont+F2" w:cs="CIDFont+F2"/>
                <w:sz w:val="18"/>
                <w:szCs w:val="18"/>
                <w:lang w:val="en-GB"/>
              </w:rPr>
            </w:pPr>
            <w:r>
              <w:rPr>
                <w:rFonts w:ascii="CIDFont+F2" w:hAnsi="CIDFont+F2" w:cs="CIDFont+F2"/>
                <w:sz w:val="18"/>
                <w:szCs w:val="18"/>
                <w:lang w:val="en-GB"/>
              </w:rPr>
              <w:t>biodiversity and</w:t>
            </w:r>
          </w:p>
          <w:p w14:paraId="1865AAA1" w14:textId="77777777" w:rsidR="001D2FED" w:rsidRDefault="001D2FED" w:rsidP="001D2FED">
            <w:pPr>
              <w:autoSpaceDE w:val="0"/>
              <w:autoSpaceDN w:val="0"/>
              <w:adjustRightInd w:val="0"/>
              <w:rPr>
                <w:rFonts w:ascii="CIDFont+F2" w:hAnsi="CIDFont+F2" w:cs="CIDFont+F2"/>
                <w:sz w:val="18"/>
                <w:szCs w:val="18"/>
                <w:lang w:val="en-GB"/>
              </w:rPr>
            </w:pPr>
            <w:r>
              <w:rPr>
                <w:rFonts w:ascii="CIDFont+F2" w:hAnsi="CIDFont+F2" w:cs="CIDFont+F2"/>
                <w:sz w:val="18"/>
                <w:szCs w:val="18"/>
                <w:lang w:val="en-GB"/>
              </w:rPr>
              <w:t>rights over</w:t>
            </w:r>
          </w:p>
          <w:p w14:paraId="2DA90314" w14:textId="0F4FAB19" w:rsidR="001D2FED" w:rsidRPr="00E01221" w:rsidRDefault="001D2FED" w:rsidP="001D2FED">
            <w:pPr>
              <w:rPr>
                <w:rFonts w:ascii="Arial" w:hAnsi="Arial" w:cs="Arial"/>
                <w:sz w:val="18"/>
                <w:szCs w:val="18"/>
              </w:rPr>
            </w:pPr>
            <w:r>
              <w:rPr>
                <w:rFonts w:ascii="CIDFont+F2" w:hAnsi="CIDFont+F2" w:cs="CIDFont+F2"/>
                <w:sz w:val="18"/>
                <w:szCs w:val="18"/>
                <w:lang w:val="en-GB"/>
              </w:rPr>
              <w:t>relevant resources</w:t>
            </w:r>
          </w:p>
        </w:tc>
        <w:tc>
          <w:tcPr>
            <w:tcW w:w="1936" w:type="dxa"/>
            <w:shd w:val="clear" w:color="auto" w:fill="FFE599" w:themeFill="accent4" w:themeFillTint="66"/>
          </w:tcPr>
          <w:p w14:paraId="47E7E6D0" w14:textId="5E23F01C" w:rsidR="001D2FED" w:rsidRPr="00901E50" w:rsidRDefault="001D2FED" w:rsidP="001D2FED">
            <w:pPr>
              <w:rPr>
                <w:rFonts w:ascii="CIDFont+F5" w:hAnsi="CIDFont+F5" w:cs="CIDFont+F5"/>
              </w:rPr>
            </w:pPr>
            <w:r>
              <w:rPr>
                <w:rFonts w:ascii="CIDFont+F5" w:hAnsi="CIDFont+F5" w:cs="CIDFont+F5"/>
              </w:rPr>
              <w:t>Trends in participation of IPLCs in decision-making</w:t>
            </w:r>
          </w:p>
        </w:tc>
        <w:tc>
          <w:tcPr>
            <w:tcW w:w="1787" w:type="dxa"/>
            <w:shd w:val="clear" w:color="auto" w:fill="auto"/>
          </w:tcPr>
          <w:p w14:paraId="268E9D85" w14:textId="22E18C6A" w:rsidR="001D2FED" w:rsidRPr="00E01221" w:rsidRDefault="001D2FED" w:rsidP="001D2FED">
            <w:r w:rsidRPr="00901E50">
              <w:t xml:space="preserve">Proportion of IPLCs rightsholders and stakeholders who believe decision-making is inclusive and responsive </w:t>
            </w:r>
            <w:r>
              <w:t xml:space="preserve">by </w:t>
            </w:r>
            <w:proofErr w:type="gramStart"/>
            <w:r>
              <w:t>sex  and</w:t>
            </w:r>
            <w:proofErr w:type="gramEnd"/>
            <w:r>
              <w:t xml:space="preserve"> age (using SAGE tool)</w:t>
            </w:r>
          </w:p>
        </w:tc>
        <w:tc>
          <w:tcPr>
            <w:tcW w:w="1489" w:type="dxa"/>
            <w:shd w:val="clear" w:color="auto" w:fill="auto"/>
          </w:tcPr>
          <w:p w14:paraId="483DB6A1" w14:textId="5B351687" w:rsidR="001D2FED" w:rsidRDefault="001D2FED" w:rsidP="001D2FED">
            <w:pPr>
              <w:rPr>
                <w:rFonts w:ascii="Arial" w:hAnsi="Arial" w:cs="Arial"/>
                <w:sz w:val="18"/>
                <w:szCs w:val="18"/>
              </w:rPr>
            </w:pPr>
            <w:r>
              <w:rPr>
                <w:rFonts w:ascii="Arial" w:hAnsi="Arial" w:cs="Arial"/>
                <w:sz w:val="18"/>
                <w:szCs w:val="18"/>
              </w:rPr>
              <w:t>IIED</w:t>
            </w:r>
          </w:p>
        </w:tc>
        <w:tc>
          <w:tcPr>
            <w:tcW w:w="1194" w:type="dxa"/>
            <w:shd w:val="clear" w:color="auto" w:fill="auto"/>
          </w:tcPr>
          <w:p w14:paraId="02942AFD" w14:textId="1EAE265E" w:rsidR="001D2FED" w:rsidRDefault="001D2FED" w:rsidP="001D2FED">
            <w:pPr>
              <w:jc w:val="center"/>
              <w:rPr>
                <w:rFonts w:ascii="Arial" w:hAnsi="Arial" w:cs="Arial"/>
                <w:sz w:val="18"/>
                <w:szCs w:val="18"/>
              </w:rPr>
            </w:pPr>
            <w:r>
              <w:rPr>
                <w:rFonts w:ascii="Arial" w:hAnsi="Arial" w:cs="Arial"/>
                <w:sz w:val="18"/>
                <w:szCs w:val="18"/>
              </w:rPr>
              <w:t>Y</w:t>
            </w:r>
          </w:p>
        </w:tc>
        <w:tc>
          <w:tcPr>
            <w:tcW w:w="1341" w:type="dxa"/>
            <w:shd w:val="clear" w:color="auto" w:fill="auto"/>
          </w:tcPr>
          <w:p w14:paraId="0941DFFD" w14:textId="1A029827" w:rsidR="001D2FED" w:rsidRDefault="001D2FED" w:rsidP="001D2FED">
            <w:pPr>
              <w:jc w:val="center"/>
              <w:rPr>
                <w:rFonts w:ascii="Arial" w:hAnsi="Arial" w:cs="Arial"/>
                <w:sz w:val="18"/>
                <w:szCs w:val="18"/>
              </w:rPr>
            </w:pPr>
            <w:r>
              <w:rPr>
                <w:rFonts w:ascii="Arial" w:hAnsi="Arial" w:cs="Arial"/>
                <w:sz w:val="18"/>
                <w:szCs w:val="18"/>
              </w:rPr>
              <w:t>2020</w:t>
            </w:r>
          </w:p>
        </w:tc>
        <w:tc>
          <w:tcPr>
            <w:tcW w:w="1042" w:type="dxa"/>
            <w:shd w:val="clear" w:color="auto" w:fill="auto"/>
          </w:tcPr>
          <w:p w14:paraId="3F3AA99B" w14:textId="7093C5E4" w:rsidR="001D2FED" w:rsidRDefault="001D2FED" w:rsidP="001D2FED">
            <w:pPr>
              <w:jc w:val="center"/>
              <w:rPr>
                <w:rFonts w:ascii="Arial" w:hAnsi="Arial" w:cs="Arial"/>
                <w:sz w:val="18"/>
                <w:szCs w:val="18"/>
              </w:rPr>
            </w:pPr>
            <w:r>
              <w:rPr>
                <w:rFonts w:ascii="Arial" w:hAnsi="Arial" w:cs="Arial"/>
                <w:sz w:val="18"/>
                <w:szCs w:val="18"/>
              </w:rPr>
              <w:t>2019</w:t>
            </w:r>
          </w:p>
        </w:tc>
        <w:tc>
          <w:tcPr>
            <w:tcW w:w="1193" w:type="dxa"/>
            <w:shd w:val="clear" w:color="auto" w:fill="auto"/>
          </w:tcPr>
          <w:p w14:paraId="48896EB9" w14:textId="701B9EBB" w:rsidR="001D2FED" w:rsidRDefault="001D2FED" w:rsidP="001D2FED">
            <w:pPr>
              <w:jc w:val="center"/>
              <w:rPr>
                <w:rFonts w:ascii="Arial" w:hAnsi="Arial" w:cs="Arial"/>
                <w:sz w:val="18"/>
                <w:szCs w:val="18"/>
              </w:rPr>
            </w:pPr>
            <w:r>
              <w:rPr>
                <w:rFonts w:ascii="Arial" w:hAnsi="Arial" w:cs="Arial"/>
                <w:sz w:val="18"/>
                <w:szCs w:val="18"/>
              </w:rPr>
              <w:t>2019, Annually</w:t>
            </w:r>
          </w:p>
        </w:tc>
        <w:tc>
          <w:tcPr>
            <w:tcW w:w="1340" w:type="dxa"/>
            <w:shd w:val="clear" w:color="auto" w:fill="auto"/>
          </w:tcPr>
          <w:p w14:paraId="5B698E71" w14:textId="6EA56324" w:rsidR="001D2FED" w:rsidRPr="0036095E" w:rsidRDefault="001D2FED" w:rsidP="001D2FED">
            <w:pPr>
              <w:jc w:val="center"/>
              <w:rPr>
                <w:rFonts w:ascii="Arial" w:eastAsia="Arial" w:hAnsi="Arial" w:cs="Arial"/>
                <w:iCs/>
                <w:sz w:val="18"/>
                <w:szCs w:val="18"/>
              </w:rPr>
            </w:pPr>
            <w:r w:rsidRPr="0036095E">
              <w:rPr>
                <w:rFonts w:ascii="Arial" w:eastAsia="Arial" w:hAnsi="Arial" w:cs="Arial"/>
                <w:iCs/>
                <w:sz w:val="18"/>
                <w:szCs w:val="18"/>
              </w:rPr>
              <w:t>Y (in draft</w:t>
            </w:r>
            <w:proofErr w:type="gramStart"/>
            <w:r w:rsidRPr="0036095E">
              <w:rPr>
                <w:rFonts w:ascii="Arial" w:eastAsia="Arial" w:hAnsi="Arial" w:cs="Arial"/>
                <w:iCs/>
                <w:sz w:val="18"/>
                <w:szCs w:val="18"/>
              </w:rPr>
              <w:t>) ,</w:t>
            </w:r>
            <w:proofErr w:type="gramEnd"/>
            <w:r w:rsidRPr="0036095E">
              <w:rPr>
                <w:rFonts w:ascii="Arial" w:eastAsia="Arial" w:hAnsi="Arial" w:cs="Arial"/>
                <w:iCs/>
                <w:sz w:val="18"/>
                <w:szCs w:val="18"/>
              </w:rPr>
              <w:t xml:space="preserve"> to be published in September 2020</w:t>
            </w:r>
          </w:p>
        </w:tc>
        <w:tc>
          <w:tcPr>
            <w:tcW w:w="1640" w:type="dxa"/>
            <w:shd w:val="clear" w:color="auto" w:fill="auto"/>
          </w:tcPr>
          <w:p w14:paraId="7B8A59B7" w14:textId="59D95BFB" w:rsidR="001D2FED" w:rsidRDefault="001D2FED" w:rsidP="001D2FED">
            <w:pPr>
              <w:jc w:val="center"/>
              <w:rPr>
                <w:rFonts w:ascii="Arial" w:hAnsi="Arial" w:cs="Arial"/>
                <w:sz w:val="18"/>
                <w:szCs w:val="18"/>
              </w:rPr>
            </w:pPr>
            <w:r>
              <w:rPr>
                <w:rFonts w:ascii="Arial" w:hAnsi="Arial" w:cs="Arial"/>
                <w:sz w:val="18"/>
                <w:szCs w:val="18"/>
              </w:rPr>
              <w:t>Y</w:t>
            </w:r>
          </w:p>
        </w:tc>
        <w:tc>
          <w:tcPr>
            <w:tcW w:w="1340" w:type="dxa"/>
            <w:shd w:val="clear" w:color="auto" w:fill="auto"/>
          </w:tcPr>
          <w:p w14:paraId="05A0CB6D" w14:textId="02AA886D" w:rsidR="001D2FED" w:rsidRDefault="001D2FED" w:rsidP="001D2FED">
            <w:pPr>
              <w:jc w:val="center"/>
              <w:rPr>
                <w:rFonts w:ascii="Arial" w:hAnsi="Arial" w:cs="Arial"/>
                <w:sz w:val="18"/>
                <w:szCs w:val="18"/>
              </w:rPr>
            </w:pPr>
            <w:r>
              <w:rPr>
                <w:rFonts w:ascii="Arial" w:hAnsi="Arial" w:cs="Arial"/>
                <w:sz w:val="18"/>
                <w:szCs w:val="18"/>
              </w:rPr>
              <w:t>Y</w:t>
            </w:r>
          </w:p>
        </w:tc>
        <w:tc>
          <w:tcPr>
            <w:tcW w:w="1166" w:type="dxa"/>
            <w:shd w:val="clear" w:color="auto" w:fill="auto"/>
          </w:tcPr>
          <w:p w14:paraId="04A8D783" w14:textId="634061B6" w:rsidR="001D2FED" w:rsidRDefault="001D2FED" w:rsidP="001D2FED">
            <w:pPr>
              <w:jc w:val="center"/>
              <w:rPr>
                <w:rFonts w:ascii="Arial" w:hAnsi="Arial" w:cs="Arial"/>
                <w:sz w:val="18"/>
                <w:szCs w:val="18"/>
              </w:rPr>
            </w:pPr>
            <w:r>
              <w:rPr>
                <w:rFonts w:ascii="Arial" w:hAnsi="Arial" w:cs="Arial"/>
                <w:sz w:val="18"/>
                <w:szCs w:val="18"/>
              </w:rPr>
              <w:t>N</w:t>
            </w:r>
          </w:p>
        </w:tc>
        <w:tc>
          <w:tcPr>
            <w:tcW w:w="966" w:type="dxa"/>
            <w:shd w:val="clear" w:color="auto" w:fill="auto"/>
          </w:tcPr>
          <w:p w14:paraId="5C6077EF" w14:textId="37F17217" w:rsidR="001D2FED" w:rsidRDefault="001D2FED" w:rsidP="001D2FED">
            <w:pPr>
              <w:jc w:val="center"/>
              <w:rPr>
                <w:rFonts w:ascii="Arial" w:hAnsi="Arial" w:cs="Arial"/>
                <w:sz w:val="18"/>
                <w:szCs w:val="18"/>
              </w:rPr>
            </w:pPr>
            <w:r>
              <w:rPr>
                <w:rFonts w:ascii="Arial" w:hAnsi="Arial" w:cs="Arial"/>
                <w:sz w:val="18"/>
                <w:szCs w:val="18"/>
              </w:rPr>
              <w:t>N</w:t>
            </w:r>
          </w:p>
        </w:tc>
        <w:tc>
          <w:tcPr>
            <w:tcW w:w="1794" w:type="dxa"/>
            <w:shd w:val="clear" w:color="auto" w:fill="auto"/>
          </w:tcPr>
          <w:p w14:paraId="7BE5E044" w14:textId="44B2A735" w:rsidR="001D2FED" w:rsidRDefault="001D2FED" w:rsidP="001D2FED">
            <w:pPr>
              <w:jc w:val="center"/>
              <w:rPr>
                <w:rFonts w:ascii="Arial" w:hAnsi="Arial" w:cs="Arial"/>
                <w:sz w:val="18"/>
                <w:szCs w:val="18"/>
              </w:rPr>
            </w:pPr>
            <w:r>
              <w:rPr>
                <w:rFonts w:ascii="Arial" w:hAnsi="Arial" w:cs="Arial"/>
                <w:sz w:val="18"/>
                <w:szCs w:val="18"/>
              </w:rPr>
              <w:t>N</w:t>
            </w:r>
          </w:p>
        </w:tc>
        <w:tc>
          <w:tcPr>
            <w:tcW w:w="1794" w:type="dxa"/>
          </w:tcPr>
          <w:p w14:paraId="1114D9C5" w14:textId="77777777" w:rsidR="001D2FED" w:rsidRDefault="001D2FED" w:rsidP="001D2FED">
            <w:pPr>
              <w:jc w:val="center"/>
              <w:rPr>
                <w:rFonts w:ascii="Arial" w:hAnsi="Arial" w:cs="Arial"/>
                <w:sz w:val="18"/>
                <w:szCs w:val="18"/>
              </w:rPr>
            </w:pPr>
            <w:r>
              <w:rPr>
                <w:rFonts w:ascii="Arial" w:hAnsi="Arial" w:cs="Arial"/>
                <w:sz w:val="18"/>
                <w:szCs w:val="18"/>
              </w:rPr>
              <w:t>SAGE does not enable disaggregation by disability</w:t>
            </w:r>
          </w:p>
          <w:p w14:paraId="7573CAE0" w14:textId="77777777" w:rsidR="00843FB1" w:rsidRDefault="00843FB1" w:rsidP="001D2FED">
            <w:pPr>
              <w:jc w:val="center"/>
              <w:rPr>
                <w:rFonts w:ascii="Arial" w:hAnsi="Arial" w:cs="Arial"/>
                <w:sz w:val="18"/>
                <w:szCs w:val="18"/>
              </w:rPr>
            </w:pPr>
          </w:p>
          <w:p w14:paraId="3CD985BE" w14:textId="767CB7BA" w:rsidR="00843FB1" w:rsidRPr="00E01221" w:rsidRDefault="00843FB1" w:rsidP="001D2FED">
            <w:pPr>
              <w:jc w:val="center"/>
              <w:rPr>
                <w:rFonts w:ascii="Arial" w:hAnsi="Arial" w:cs="Arial"/>
                <w:sz w:val="18"/>
                <w:szCs w:val="18"/>
              </w:rPr>
            </w:pPr>
            <w:r>
              <w:rPr>
                <w:rFonts w:ascii="Arial" w:hAnsi="Arial" w:cs="Arial"/>
                <w:sz w:val="18"/>
                <w:szCs w:val="18"/>
              </w:rPr>
              <w:t>IIED is keen to support this but can only do so if adequate funding is available</w:t>
            </w:r>
          </w:p>
        </w:tc>
      </w:tr>
    </w:tbl>
    <w:p w14:paraId="3892155D" w14:textId="1F9F1CAD" w:rsidR="0037414D" w:rsidRDefault="0037414D" w:rsidP="0037414D">
      <w:pPr>
        <w:tabs>
          <w:tab w:val="left" w:pos="2943"/>
          <w:tab w:val="left" w:pos="6912"/>
          <w:tab w:val="left" w:pos="10314"/>
        </w:tabs>
        <w:rPr>
          <w:rFonts w:ascii="Arial" w:eastAsia="Arial" w:hAnsi="Arial" w:cs="Arial"/>
          <w:b/>
          <w:bCs/>
          <w:sz w:val="24"/>
          <w:szCs w:val="24"/>
        </w:rPr>
      </w:pPr>
    </w:p>
    <w:p w14:paraId="361BDF0E" w14:textId="6648FD7E" w:rsidR="00843FB1" w:rsidRDefault="00843FB1" w:rsidP="0037414D">
      <w:pPr>
        <w:tabs>
          <w:tab w:val="left" w:pos="2943"/>
          <w:tab w:val="left" w:pos="6912"/>
          <w:tab w:val="left" w:pos="10314"/>
        </w:tabs>
        <w:rPr>
          <w:rFonts w:ascii="Arial" w:eastAsia="Arial" w:hAnsi="Arial" w:cs="Arial"/>
          <w:b/>
          <w:bCs/>
          <w:sz w:val="24"/>
          <w:szCs w:val="24"/>
        </w:rPr>
      </w:pPr>
    </w:p>
    <w:p w14:paraId="1931A9B6" w14:textId="77777777" w:rsidR="00843FB1" w:rsidRDefault="00843FB1"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58503B74" w:rsidR="007861DC" w:rsidRPr="000C0B6C" w:rsidRDefault="00BF2004" w:rsidP="00A71694">
            <w:r>
              <w:t>58/59</w:t>
            </w:r>
          </w:p>
        </w:tc>
        <w:tc>
          <w:tcPr>
            <w:tcW w:w="17480" w:type="dxa"/>
          </w:tcPr>
          <w:p w14:paraId="06D6756A" w14:textId="6FEA4D2F" w:rsidR="00BF2004" w:rsidRPr="00BF2004" w:rsidRDefault="00BF2004" w:rsidP="00BF2004">
            <w:pPr>
              <w:autoSpaceDE w:val="0"/>
              <w:autoSpaceDN w:val="0"/>
              <w:adjustRightInd w:val="0"/>
              <w:spacing w:after="0" w:line="240" w:lineRule="auto"/>
              <w:rPr>
                <w:rFonts w:ascii="CIDFont+F5" w:hAnsi="CIDFont+F5" w:cs="CIDFont+F5"/>
                <w:b/>
                <w:bCs/>
                <w:lang w:val="en-GB"/>
              </w:rPr>
            </w:pPr>
            <w:r>
              <w:t>Target 2.4 is not correctly formulated</w:t>
            </w:r>
            <w:r w:rsidR="003315B7">
              <w:t xml:space="preserve"> in the UNEP-WCMC document</w:t>
            </w:r>
            <w:r>
              <w:t xml:space="preserve">.  Use the correct formulation from the </w:t>
            </w:r>
            <w:r w:rsidR="00C20290">
              <w:t xml:space="preserve">GBF </w:t>
            </w:r>
            <w:r>
              <w:t>monitoring framework</w:t>
            </w:r>
            <w:r w:rsidR="003315B7">
              <w:t xml:space="preserve"> as shown above</w:t>
            </w:r>
            <w:r>
              <w:t xml:space="preserve">: </w:t>
            </w:r>
            <w:r w:rsidRPr="00BF2004">
              <w:rPr>
                <w:rFonts w:ascii="CIDFont+F5" w:hAnsi="CIDFont+F5" w:cs="CIDFont+F5"/>
                <w:b/>
                <w:bCs/>
                <w:lang w:val="en-GB"/>
              </w:rPr>
              <w:t>Effective management</w:t>
            </w:r>
          </w:p>
          <w:p w14:paraId="1D58C544" w14:textId="7CDC9AAB" w:rsidR="007861DC" w:rsidRPr="000C0B6C" w:rsidRDefault="00BF2004" w:rsidP="00BF2004">
            <w:r w:rsidRPr="00BF2004">
              <w:rPr>
                <w:rFonts w:ascii="CIDFont+F5" w:hAnsi="CIDFont+F5" w:cs="CIDFont+F5"/>
                <w:b/>
                <w:bCs/>
                <w:lang w:val="en-GB"/>
              </w:rPr>
              <w:t>and equitable governance of</w:t>
            </w:r>
            <w:r w:rsidRPr="00BF2004">
              <w:rPr>
                <w:b/>
                <w:bCs/>
              </w:rPr>
              <w:t xml:space="preserve"> the system of protected areas and other effective area-based conservation measures</w:t>
            </w:r>
          </w:p>
        </w:tc>
      </w:tr>
      <w:tr w:rsidR="007861DC" w:rsidRPr="000C0B6C" w14:paraId="04DFD7F9" w14:textId="77777777" w:rsidTr="00911866">
        <w:trPr>
          <w:trHeight w:val="134"/>
        </w:trPr>
        <w:tc>
          <w:tcPr>
            <w:tcW w:w="2643" w:type="dxa"/>
          </w:tcPr>
          <w:p w14:paraId="6BF222BF" w14:textId="5BD2C2A7" w:rsidR="007861DC" w:rsidRPr="000C0B6C" w:rsidRDefault="007E0E70" w:rsidP="00A71694">
            <w:r>
              <w:t>59</w:t>
            </w:r>
          </w:p>
        </w:tc>
        <w:tc>
          <w:tcPr>
            <w:tcW w:w="17480" w:type="dxa"/>
          </w:tcPr>
          <w:p w14:paraId="432BDD91" w14:textId="3062DCA7" w:rsidR="007E0E70" w:rsidRPr="000C0B6C" w:rsidRDefault="007E0E70" w:rsidP="007E0E70">
            <w:r>
              <w:t>As per my comments on the monitoring framework, the monitoring element “</w:t>
            </w:r>
            <w:r w:rsidRPr="007E0E70">
              <w:t>Trends in proportion of protected areas and other effective area-based conservation measures under various</w:t>
            </w:r>
            <w:r>
              <w:t xml:space="preserve">….” Should be framed more broadly: </w:t>
            </w:r>
            <w:r w:rsidRPr="00913ACD">
              <w:rPr>
                <w:b/>
                <w:bCs/>
              </w:rPr>
              <w:t>Trends in governance and equity</w:t>
            </w:r>
            <w:r>
              <w:rPr>
                <w:b/>
                <w:bCs/>
              </w:rPr>
              <w:t xml:space="preserve"> </w:t>
            </w:r>
            <w:r w:rsidR="00C20290" w:rsidRPr="00053279">
              <w:rPr>
                <w:b/>
                <w:bCs/>
              </w:rPr>
              <w:t>of p</w:t>
            </w:r>
            <w:r w:rsidR="00C20290" w:rsidRPr="00C20290">
              <w:rPr>
                <w:b/>
                <w:bCs/>
              </w:rPr>
              <w:t>rotected areas and other effective area-based conservation measures</w:t>
            </w:r>
            <w:r w:rsidR="00C20290" w:rsidRPr="007E0E70">
              <w:t xml:space="preserve"> </w:t>
            </w:r>
            <w:r>
              <w:t xml:space="preserve">as there are two aspects to equitable governance a) type or regime of governance and b) quality of governance and equity (equity being an issue of governance quality as explained in COP-14-DEC-08).  At present the monitoring element only contains a) and lacks b) which is equally if not more important. </w:t>
            </w:r>
            <w:r w:rsidR="00053279">
              <w:t xml:space="preserve"> Then, as shown, there should be one indicator for each.</w:t>
            </w:r>
          </w:p>
        </w:tc>
      </w:tr>
      <w:tr w:rsidR="007861DC" w:rsidRPr="000C0B6C" w14:paraId="6C885495" w14:textId="77777777" w:rsidTr="00911866">
        <w:trPr>
          <w:trHeight w:val="134"/>
        </w:trPr>
        <w:tc>
          <w:tcPr>
            <w:tcW w:w="2643" w:type="dxa"/>
          </w:tcPr>
          <w:p w14:paraId="1C499DC4" w14:textId="070ADFBA" w:rsidR="007861DC" w:rsidRPr="000C0B6C" w:rsidRDefault="007E0E70" w:rsidP="00A71694">
            <w:r>
              <w:t>59</w:t>
            </w:r>
          </w:p>
        </w:tc>
        <w:tc>
          <w:tcPr>
            <w:tcW w:w="17480" w:type="dxa"/>
          </w:tcPr>
          <w:p w14:paraId="4F362DD0" w14:textId="709D5206" w:rsidR="007E0E70" w:rsidRPr="000C0B6C" w:rsidRDefault="007E0E70" w:rsidP="00A71694">
            <w:r>
              <w:t xml:space="preserve">The indicator “Social assessment for Governance and Equity” (SAGE) is an incorrect formulation of the acronym SAGE.  As per my comments on the monitoring framework the indicator should read: </w:t>
            </w:r>
            <w:r w:rsidRPr="00300168">
              <w:rPr>
                <w:b/>
                <w:bCs/>
              </w:rPr>
              <w:t xml:space="preserve">Number of PAs/CAs that have completed </w:t>
            </w:r>
            <w:r>
              <w:rPr>
                <w:b/>
                <w:bCs/>
              </w:rPr>
              <w:t xml:space="preserve">a site-level assessment of </w:t>
            </w:r>
            <w:r w:rsidRPr="00300168">
              <w:rPr>
                <w:b/>
                <w:bCs/>
              </w:rPr>
              <w:t>governance and equity</w:t>
            </w:r>
            <w:r>
              <w:rPr>
                <w:b/>
                <w:bCs/>
              </w:rPr>
              <w:t xml:space="preserve"> (SAGE)</w:t>
            </w:r>
            <w:r w:rsidR="00E01221">
              <w:rPr>
                <w:b/>
                <w:bCs/>
              </w:rPr>
              <w:t xml:space="preserve">. </w:t>
            </w:r>
            <w:r w:rsidR="00E01221">
              <w:t>See table 2 above for the correct information for the other data fields</w:t>
            </w:r>
          </w:p>
        </w:tc>
      </w:tr>
      <w:tr w:rsidR="007100B5" w:rsidRPr="000C0B6C" w14:paraId="1519BD58" w14:textId="77777777" w:rsidTr="00911866">
        <w:trPr>
          <w:trHeight w:val="134"/>
        </w:trPr>
        <w:tc>
          <w:tcPr>
            <w:tcW w:w="2643" w:type="dxa"/>
          </w:tcPr>
          <w:p w14:paraId="763D6EB1" w14:textId="6317BF01" w:rsidR="007100B5" w:rsidRDefault="007100B5" w:rsidP="00A71694">
            <w:r>
              <w:t>59</w:t>
            </w:r>
          </w:p>
        </w:tc>
        <w:tc>
          <w:tcPr>
            <w:tcW w:w="17480" w:type="dxa"/>
          </w:tcPr>
          <w:p w14:paraId="2DCC63B4" w14:textId="4655C540" w:rsidR="007100B5" w:rsidRDefault="007100B5" w:rsidP="00A71694">
            <w:r>
              <w:t xml:space="preserve">The indicator % of PA/CA and OECMs implementing effective measures to …………………. was proposed by me at the </w:t>
            </w:r>
            <w:proofErr w:type="spellStart"/>
            <w:r>
              <w:t>Vilm</w:t>
            </w:r>
            <w:proofErr w:type="spellEnd"/>
            <w:r>
              <w:t xml:space="preserve"> workshop</w:t>
            </w:r>
            <w:r w:rsidR="00FA7529">
              <w:t xml:space="preserve"> BUT there is no way to assess this other than country self-reporting which is subjective not objectively verifiable.  </w:t>
            </w:r>
            <w:proofErr w:type="gramStart"/>
            <w:r w:rsidR="00FA7529">
              <w:t>Therefore</w:t>
            </w:r>
            <w:proofErr w:type="gramEnd"/>
            <w:r w:rsidR="00FA7529">
              <w:t xml:space="preserve"> until such time as there is a tool to assess this is it not a good indicator.  For example a PA authority could review the annual reports of each of its PAs to determine which report on implementation of </w:t>
            </w:r>
            <w:proofErr w:type="spellStart"/>
            <w:r w:rsidR="00FA7529">
              <w:t>actinos</w:t>
            </w:r>
            <w:proofErr w:type="spellEnd"/>
            <w:r w:rsidR="00FA7529">
              <w:t xml:space="preserve"> that are likely to contribute to respect for IPLC knowledge and rights, but this is not realistic at present and subjective reporting in the meantime will give a misleading picture which will be challenged by civil society groups and simply disc</w:t>
            </w:r>
            <w:r w:rsidR="002F3206">
              <w:t>r</w:t>
            </w:r>
            <w:r w:rsidR="00FA7529">
              <w:t xml:space="preserve">edit reporting to CBD.  </w:t>
            </w:r>
          </w:p>
        </w:tc>
      </w:tr>
      <w:tr w:rsidR="007100B5" w:rsidRPr="000C0B6C" w14:paraId="1A51DD25" w14:textId="77777777" w:rsidTr="00911866">
        <w:trPr>
          <w:trHeight w:val="134"/>
        </w:trPr>
        <w:tc>
          <w:tcPr>
            <w:tcW w:w="2643" w:type="dxa"/>
          </w:tcPr>
          <w:p w14:paraId="045913AF" w14:textId="1E7AB552" w:rsidR="007100B5" w:rsidRDefault="002F3206" w:rsidP="00A71694">
            <w:r>
              <w:t>105-106</w:t>
            </w:r>
          </w:p>
        </w:tc>
        <w:tc>
          <w:tcPr>
            <w:tcW w:w="17480" w:type="dxa"/>
          </w:tcPr>
          <w:p w14:paraId="3C445925" w14:textId="101F6C32" w:rsidR="007100B5" w:rsidRDefault="002F3206" w:rsidP="00A71694">
            <w:r>
              <w:t>See my comments on the GBF monitoring framework</w:t>
            </w:r>
            <w:r w:rsidR="00341FD6">
              <w:t xml:space="preserve"> where I raise </w:t>
            </w:r>
            <w:r w:rsidR="00341FD6" w:rsidRPr="00341FD6">
              <w:rPr>
                <w:b/>
                <w:bCs/>
              </w:rPr>
              <w:t>impor</w:t>
            </w:r>
            <w:r w:rsidR="00A946C2">
              <w:rPr>
                <w:b/>
                <w:bCs/>
              </w:rPr>
              <w:t>tan</w:t>
            </w:r>
            <w:r w:rsidR="00341FD6" w:rsidRPr="00341FD6">
              <w:rPr>
                <w:b/>
                <w:bCs/>
              </w:rPr>
              <w:t>t</w:t>
            </w:r>
            <w:r w:rsidR="00341FD6">
              <w:t xml:space="preserve"> issues with the current indicators and suggest alternatives which include:</w:t>
            </w:r>
          </w:p>
          <w:p w14:paraId="17968258" w14:textId="616DF79B" w:rsidR="00341FD6" w:rsidRDefault="00A946C2" w:rsidP="00A71694">
            <w:pPr>
              <w:rPr>
                <w:b/>
                <w:bCs/>
              </w:rPr>
            </w:pPr>
            <w:r w:rsidRPr="00B75E6B">
              <w:rPr>
                <w:b/>
                <w:bCs/>
              </w:rPr>
              <w:t>Proportion of</w:t>
            </w:r>
            <w:r>
              <w:t xml:space="preserve"> </w:t>
            </w:r>
            <w:r w:rsidRPr="00B75E6B">
              <w:rPr>
                <w:b/>
                <w:bCs/>
              </w:rPr>
              <w:t xml:space="preserve">IPLCs </w:t>
            </w:r>
            <w:r>
              <w:rPr>
                <w:b/>
                <w:bCs/>
              </w:rPr>
              <w:t>rightsholder</w:t>
            </w:r>
            <w:r w:rsidR="00171B52">
              <w:rPr>
                <w:b/>
                <w:bCs/>
              </w:rPr>
              <w:t>s</w:t>
            </w:r>
            <w:r>
              <w:rPr>
                <w:b/>
                <w:bCs/>
              </w:rPr>
              <w:t xml:space="preserve"> and stakeholders who believe decision-making is inclusive and responsive by………</w:t>
            </w:r>
          </w:p>
          <w:p w14:paraId="3710E191" w14:textId="3B78260D" w:rsidR="00A946C2" w:rsidRDefault="00A946C2" w:rsidP="00A946C2">
            <w:pPr>
              <w:rPr>
                <w:b/>
                <w:bCs/>
              </w:rPr>
            </w:pPr>
            <w:r w:rsidRPr="00B75E6B">
              <w:rPr>
                <w:b/>
                <w:bCs/>
              </w:rPr>
              <w:t>Proportion of</w:t>
            </w:r>
            <w:r>
              <w:t xml:space="preserve"> women</w:t>
            </w:r>
            <w:r w:rsidRPr="00B75E6B">
              <w:rPr>
                <w:b/>
                <w:bCs/>
              </w:rPr>
              <w:t xml:space="preserve"> </w:t>
            </w:r>
            <w:r>
              <w:rPr>
                <w:b/>
                <w:bCs/>
              </w:rPr>
              <w:t>rightsholder</w:t>
            </w:r>
            <w:r w:rsidR="00171B52">
              <w:rPr>
                <w:b/>
                <w:bCs/>
              </w:rPr>
              <w:t>s</w:t>
            </w:r>
            <w:r>
              <w:rPr>
                <w:b/>
                <w:bCs/>
              </w:rPr>
              <w:t xml:space="preserve"> and stakeholders who believe decision-making is inclusive and responsive by………</w:t>
            </w:r>
          </w:p>
          <w:p w14:paraId="612E57FC" w14:textId="004DB166" w:rsidR="00225DB0" w:rsidRDefault="00225DB0" w:rsidP="00225DB0">
            <w:pPr>
              <w:rPr>
                <w:b/>
                <w:bCs/>
              </w:rPr>
            </w:pPr>
            <w:r w:rsidRPr="00B75E6B">
              <w:rPr>
                <w:b/>
                <w:bCs/>
              </w:rPr>
              <w:t>Proportion of</w:t>
            </w:r>
            <w:r>
              <w:t xml:space="preserve"> youth</w:t>
            </w:r>
            <w:r w:rsidRPr="00B75E6B">
              <w:rPr>
                <w:b/>
                <w:bCs/>
              </w:rPr>
              <w:t xml:space="preserve"> </w:t>
            </w:r>
            <w:r>
              <w:rPr>
                <w:b/>
                <w:bCs/>
              </w:rPr>
              <w:t>rightsholders and stakeholders who believe decision-making is inclusive and responsive by………</w:t>
            </w:r>
          </w:p>
          <w:p w14:paraId="6854DA91" w14:textId="663E8B4B" w:rsidR="00901E50" w:rsidRDefault="00171B52" w:rsidP="00A71694">
            <w:r>
              <w:t xml:space="preserve">I take responsive to mean that the inputs of IPLCs/women do </w:t>
            </w:r>
            <w:proofErr w:type="gramStart"/>
            <w:r>
              <w:t>actually have</w:t>
            </w:r>
            <w:proofErr w:type="gramEnd"/>
            <w:r>
              <w:t xml:space="preserve"> an influence of at least some decisions.  This is a strong interpretation on the notion of participation which goes beyond the notion of inclusion which is simply about being involved in some way but not necessarily having influence.  A governance assessment tool such as IIEDs SAGE tool is needed to generate this information on responsiveness.    Since uptake of such tools is very low  at present </w:t>
            </w:r>
            <w:r w:rsidR="00901E50">
              <w:t xml:space="preserve">and is never likely to cover all sites in a country, the only way to report on this indictor would be by providing data for a small sample of sites in a given country, </w:t>
            </w:r>
            <w:r w:rsidR="00056FD6">
              <w:t>o</w:t>
            </w:r>
            <w:r w:rsidR="00901E50">
              <w:t xml:space="preserve">r maybe even just one site at this point in time.  </w:t>
            </w:r>
            <w:proofErr w:type="spellStart"/>
            <w:r w:rsidR="00901E50">
              <w:t>Ie</w:t>
            </w:r>
            <w:proofErr w:type="spellEnd"/>
            <w:r w:rsidR="00901E50">
              <w:t xml:space="preserve"> CBD reporting asks for evidence from at least one site in a country. </w:t>
            </w:r>
          </w:p>
        </w:tc>
      </w:tr>
    </w:tbl>
    <w:p w14:paraId="6E95A3EB" w14:textId="77777777" w:rsidR="007861DC" w:rsidRPr="00C20290" w:rsidRDefault="007861DC" w:rsidP="00911866">
      <w:pPr>
        <w:tabs>
          <w:tab w:val="left" w:pos="2943"/>
          <w:tab w:val="left" w:pos="6912"/>
          <w:tab w:val="left" w:pos="10314"/>
        </w:tabs>
        <w:rPr>
          <w:rFonts w:ascii="Arial" w:eastAsia="Arial" w:hAnsi="Arial" w:cs="Arial"/>
          <w:b/>
          <w:bCs/>
          <w:sz w:val="2"/>
          <w:szCs w:val="2"/>
        </w:rPr>
      </w:pPr>
    </w:p>
    <w:sectPr w:rsidR="007861DC" w:rsidRPr="00C20290"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85E04" w14:textId="77777777" w:rsidR="007C0EDF" w:rsidRDefault="007C0EDF" w:rsidP="00371075">
      <w:pPr>
        <w:spacing w:after="0" w:line="240" w:lineRule="auto"/>
      </w:pPr>
      <w:r>
        <w:separator/>
      </w:r>
    </w:p>
  </w:endnote>
  <w:endnote w:type="continuationSeparator" w:id="0">
    <w:p w14:paraId="1BC99C91" w14:textId="77777777" w:rsidR="007C0EDF" w:rsidRDefault="007C0EDF" w:rsidP="00371075">
      <w:pPr>
        <w:spacing w:after="0" w:line="240" w:lineRule="auto"/>
      </w:pPr>
      <w:r>
        <w:continuationSeparator/>
      </w:r>
    </w:p>
  </w:endnote>
  <w:endnote w:type="continuationNotice" w:id="1">
    <w:p w14:paraId="2099A4C2" w14:textId="77777777" w:rsidR="007C0EDF" w:rsidRDefault="007C0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E616" w14:textId="77777777" w:rsidR="007C0EDF" w:rsidRDefault="007C0EDF" w:rsidP="00371075">
      <w:pPr>
        <w:spacing w:after="0" w:line="240" w:lineRule="auto"/>
      </w:pPr>
      <w:r>
        <w:separator/>
      </w:r>
    </w:p>
  </w:footnote>
  <w:footnote w:type="continuationSeparator" w:id="0">
    <w:p w14:paraId="26726BE3" w14:textId="77777777" w:rsidR="007C0EDF" w:rsidRDefault="007C0EDF" w:rsidP="00371075">
      <w:pPr>
        <w:spacing w:after="0" w:line="240" w:lineRule="auto"/>
      </w:pPr>
      <w:r>
        <w:continuationSeparator/>
      </w:r>
    </w:p>
  </w:footnote>
  <w:footnote w:type="continuationNotice" w:id="1">
    <w:p w14:paraId="6895A84E" w14:textId="77777777" w:rsidR="007C0EDF" w:rsidRDefault="007C0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3279"/>
    <w:rsid w:val="00054F30"/>
    <w:rsid w:val="00056FD6"/>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E76B7"/>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1B52"/>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2FED"/>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5DB0"/>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206"/>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0C5D"/>
    <w:rsid w:val="003315B7"/>
    <w:rsid w:val="00332CB1"/>
    <w:rsid w:val="0033306E"/>
    <w:rsid w:val="003333C4"/>
    <w:rsid w:val="00335235"/>
    <w:rsid w:val="003362FC"/>
    <w:rsid w:val="00340DCB"/>
    <w:rsid w:val="00341439"/>
    <w:rsid w:val="00341C9B"/>
    <w:rsid w:val="00341FD6"/>
    <w:rsid w:val="003424B9"/>
    <w:rsid w:val="003434A1"/>
    <w:rsid w:val="00346AC8"/>
    <w:rsid w:val="003478AE"/>
    <w:rsid w:val="003478B4"/>
    <w:rsid w:val="003505A1"/>
    <w:rsid w:val="00350614"/>
    <w:rsid w:val="0035581E"/>
    <w:rsid w:val="00356270"/>
    <w:rsid w:val="00356500"/>
    <w:rsid w:val="0036095E"/>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4AA6"/>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17B5"/>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376A"/>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0B5"/>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0EDF"/>
    <w:rsid w:val="007C197C"/>
    <w:rsid w:val="007C49F8"/>
    <w:rsid w:val="007C4F98"/>
    <w:rsid w:val="007C560B"/>
    <w:rsid w:val="007D259B"/>
    <w:rsid w:val="007D346B"/>
    <w:rsid w:val="007D4993"/>
    <w:rsid w:val="007D5034"/>
    <w:rsid w:val="007D5CC7"/>
    <w:rsid w:val="007D6F80"/>
    <w:rsid w:val="007E0E7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3FB1"/>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A78AF"/>
    <w:rsid w:val="008B086D"/>
    <w:rsid w:val="008B1055"/>
    <w:rsid w:val="008B1580"/>
    <w:rsid w:val="008B1665"/>
    <w:rsid w:val="008B60B4"/>
    <w:rsid w:val="008C371E"/>
    <w:rsid w:val="008C3918"/>
    <w:rsid w:val="008D0E13"/>
    <w:rsid w:val="008D1D84"/>
    <w:rsid w:val="008D20C9"/>
    <w:rsid w:val="008D25C5"/>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1E50"/>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6C2"/>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004"/>
    <w:rsid w:val="00BF25DC"/>
    <w:rsid w:val="00BF2975"/>
    <w:rsid w:val="00BF4EBF"/>
    <w:rsid w:val="00BF731C"/>
    <w:rsid w:val="00C007D0"/>
    <w:rsid w:val="00C00FA4"/>
    <w:rsid w:val="00C02F5F"/>
    <w:rsid w:val="00C10B40"/>
    <w:rsid w:val="00C11BC0"/>
    <w:rsid w:val="00C129B7"/>
    <w:rsid w:val="00C14193"/>
    <w:rsid w:val="00C14AA8"/>
    <w:rsid w:val="00C152CB"/>
    <w:rsid w:val="00C16386"/>
    <w:rsid w:val="00C20174"/>
    <w:rsid w:val="00C20290"/>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221"/>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29"/>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5D0"/>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C7B5F-C4F3-498C-91D9-DAFBAABC40E8}">
  <ds:schemaRefs>
    <ds:schemaRef ds:uri="http://schemas.openxmlformats.org/officeDocument/2006/bibliography"/>
  </ds:schemaRefs>
</ds:datastoreItem>
</file>

<file path=customXml/itemProps2.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E9E21-E937-45D3-9B36-AB22728A7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Phil Franks</cp:lastModifiedBy>
  <cp:revision>2</cp:revision>
  <dcterms:created xsi:type="dcterms:W3CDTF">2020-08-16T12:32:00Z</dcterms:created>
  <dcterms:modified xsi:type="dcterms:W3CDTF">2020-08-16T12:32:00Z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