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500" w:rsidRPr="00787976" w:rsidRDefault="00080500" w:rsidP="006E5397">
      <w:pPr>
        <w:jc w:val="both"/>
        <w:rPr>
          <w:rFonts w:cs="Helvetica"/>
          <w:b/>
          <w:sz w:val="24"/>
          <w:szCs w:val="24"/>
        </w:rPr>
      </w:pPr>
      <w:bookmarkStart w:id="0" w:name="_GoBack"/>
      <w:r w:rsidRPr="00787976">
        <w:rPr>
          <w:rFonts w:cs="Helvetica"/>
          <w:b/>
          <w:sz w:val="24"/>
          <w:szCs w:val="24"/>
        </w:rPr>
        <w:t xml:space="preserve">Notification SCBD/BS/MPM/DA/84222 (2015-002) Submission of information requested in decision on unintentional </w:t>
      </w:r>
      <w:proofErr w:type="spellStart"/>
      <w:r w:rsidRPr="00787976">
        <w:rPr>
          <w:rFonts w:cs="Helvetica"/>
          <w:b/>
          <w:sz w:val="24"/>
          <w:szCs w:val="24"/>
        </w:rPr>
        <w:t>transboundary</w:t>
      </w:r>
      <w:proofErr w:type="spellEnd"/>
      <w:r w:rsidRPr="00787976">
        <w:rPr>
          <w:rFonts w:cs="Helvetica"/>
          <w:b/>
          <w:sz w:val="24"/>
          <w:szCs w:val="24"/>
        </w:rPr>
        <w:t xml:space="preserve"> movements and emergency measures</w:t>
      </w:r>
    </w:p>
    <w:p w:rsidR="00EB0FC9" w:rsidRPr="00787976" w:rsidRDefault="00080500" w:rsidP="006E5397">
      <w:pPr>
        <w:jc w:val="both"/>
        <w:rPr>
          <w:rFonts w:cs="Helvetica"/>
          <w:b/>
          <w:sz w:val="24"/>
          <w:szCs w:val="24"/>
        </w:rPr>
      </w:pPr>
      <w:r w:rsidRPr="00787976">
        <w:rPr>
          <w:rFonts w:cs="Helvetica"/>
          <w:b/>
          <w:sz w:val="24"/>
          <w:szCs w:val="24"/>
        </w:rPr>
        <w:t xml:space="preserve">Par. (a) </w:t>
      </w:r>
      <w:r w:rsidR="004A6889" w:rsidRPr="00787976">
        <w:rPr>
          <w:rFonts w:cs="Helvetica"/>
          <w:b/>
          <w:sz w:val="24"/>
          <w:szCs w:val="24"/>
        </w:rPr>
        <w:t xml:space="preserve">Submission of information from the EU and its Member States on actual cases of unintentional </w:t>
      </w:r>
      <w:proofErr w:type="spellStart"/>
      <w:r w:rsidR="004A6889" w:rsidRPr="00787976">
        <w:rPr>
          <w:rFonts w:cs="Helvetica"/>
          <w:b/>
          <w:sz w:val="24"/>
          <w:szCs w:val="24"/>
        </w:rPr>
        <w:t>transboundary</w:t>
      </w:r>
      <w:proofErr w:type="spellEnd"/>
      <w:r w:rsidR="004A6889" w:rsidRPr="00787976">
        <w:rPr>
          <w:rFonts w:cs="Helvetica"/>
          <w:b/>
          <w:sz w:val="24"/>
          <w:szCs w:val="24"/>
        </w:rPr>
        <w:t xml:space="preserve"> movement and case studies related to their existing mechanisms for emergency measures in case of unintentional </w:t>
      </w:r>
      <w:proofErr w:type="spellStart"/>
      <w:r w:rsidR="004A6889" w:rsidRPr="00787976">
        <w:rPr>
          <w:rFonts w:cs="Helvetica"/>
          <w:b/>
          <w:sz w:val="24"/>
          <w:szCs w:val="24"/>
        </w:rPr>
        <w:t>transboundary</w:t>
      </w:r>
      <w:proofErr w:type="spellEnd"/>
      <w:r w:rsidR="004A6889" w:rsidRPr="00787976">
        <w:rPr>
          <w:rFonts w:cs="Helvetica"/>
          <w:b/>
          <w:sz w:val="24"/>
          <w:szCs w:val="24"/>
        </w:rPr>
        <w:t xml:space="preserve"> movements of living modified organisms that are likely to have significant adverse effects on the conservation and sustainable use of biological diversity, taking also into account risks to human health, including information on existing rapid alert mechanisms and monitoring systems</w:t>
      </w:r>
      <w:r w:rsidR="00EB0FC9" w:rsidRPr="00787976">
        <w:rPr>
          <w:rFonts w:cs="Helvetica"/>
          <w:b/>
          <w:sz w:val="24"/>
          <w:szCs w:val="24"/>
        </w:rPr>
        <w:t xml:space="preserve"> </w:t>
      </w:r>
      <w:r w:rsidR="00E7514D" w:rsidRPr="00787976">
        <w:rPr>
          <w:rFonts w:cs="Helvetica"/>
          <w:b/>
          <w:sz w:val="24"/>
          <w:szCs w:val="24"/>
        </w:rPr>
        <w:pict>
          <v:rect id="_x0000_i1025" style="width:0;height:1.5pt" o:hralign="center" o:hrstd="t" o:hr="t" fillcolor="#a0a0a0" stroked="f"/>
        </w:pict>
      </w:r>
    </w:p>
    <w:p w:rsidR="003819A8" w:rsidRPr="00787976" w:rsidRDefault="003819A8" w:rsidP="00AD735F">
      <w:pPr>
        <w:pStyle w:val="ListParagraph"/>
        <w:numPr>
          <w:ilvl w:val="0"/>
          <w:numId w:val="10"/>
        </w:numPr>
        <w:spacing w:before="100" w:beforeAutospacing="1"/>
        <w:jc w:val="both"/>
        <w:rPr>
          <w:rFonts w:cs="Helvetica"/>
        </w:rPr>
      </w:pPr>
      <w:r w:rsidRPr="00787976">
        <w:rPr>
          <w:rFonts w:cs="Helvetica"/>
        </w:rPr>
        <w:t xml:space="preserve">When </w:t>
      </w:r>
      <w:r w:rsidR="00AE2413" w:rsidRPr="00787976">
        <w:rPr>
          <w:rFonts w:cs="Helvetica"/>
        </w:rPr>
        <w:t>non-</w:t>
      </w:r>
      <w:r w:rsidRPr="00787976">
        <w:rPr>
          <w:rFonts w:cs="Helvetica"/>
        </w:rPr>
        <w:t>authorised GMOs, which may constitute a risk to human or animal health, are found in food or feed on the EU market, a notification is submitted through the Rapid Alert System for Food and Feed (</w:t>
      </w:r>
      <w:hyperlink r:id="rId9" w:tgtFrame="_blank" w:history="1">
        <w:r w:rsidRPr="00787976">
          <w:rPr>
            <w:rFonts w:cs="Helvetica"/>
          </w:rPr>
          <w:t>RASFF</w:t>
        </w:r>
      </w:hyperlink>
      <w:r w:rsidRPr="00787976">
        <w:rPr>
          <w:rFonts w:cs="Helvetica"/>
        </w:rPr>
        <w:t>) in order to share relevant information between its members and respond collectively and efficiently to possible risks. Emergency measures are also implemented and their severity depends on the gravity of the situation.</w:t>
      </w:r>
    </w:p>
    <w:p w:rsidR="008C49E5" w:rsidRPr="00787976" w:rsidRDefault="008C49E5" w:rsidP="008C49E5">
      <w:pPr>
        <w:pStyle w:val="ListParagraph"/>
        <w:spacing w:before="100" w:beforeAutospacing="1"/>
        <w:ind w:left="360"/>
        <w:jc w:val="both"/>
        <w:rPr>
          <w:rFonts w:cs="Helvetica"/>
        </w:rPr>
      </w:pPr>
    </w:p>
    <w:p w:rsidR="00791B8C" w:rsidRPr="00787976" w:rsidRDefault="00516D46" w:rsidP="00AD735F">
      <w:pPr>
        <w:pStyle w:val="ListParagraph"/>
        <w:numPr>
          <w:ilvl w:val="0"/>
          <w:numId w:val="10"/>
        </w:numPr>
        <w:spacing w:before="100" w:beforeAutospacing="1"/>
        <w:jc w:val="both"/>
        <w:rPr>
          <w:rFonts w:cs="Helvetica"/>
        </w:rPr>
      </w:pPr>
      <w:r w:rsidRPr="00787976">
        <w:rPr>
          <w:rFonts w:cs="Helvetica"/>
        </w:rPr>
        <w:t xml:space="preserve">Emergency measures currently in place </w:t>
      </w:r>
      <w:r w:rsidR="00791B8C" w:rsidRPr="00787976">
        <w:rPr>
          <w:rFonts w:cs="Helvetica"/>
        </w:rPr>
        <w:t xml:space="preserve">in the EU </w:t>
      </w:r>
      <w:r w:rsidRPr="00787976">
        <w:rPr>
          <w:rFonts w:cs="Helvetica"/>
        </w:rPr>
        <w:t xml:space="preserve">are those adopted by </w:t>
      </w:r>
      <w:hyperlink r:id="rId10" w:history="1">
        <w:r w:rsidRPr="00787976">
          <w:rPr>
            <w:rFonts w:cs="Helvetica"/>
          </w:rPr>
          <w:t>Commission Decision 2011/884/EU</w:t>
        </w:r>
      </w:hyperlink>
      <w:r w:rsidRPr="00787976">
        <w:rPr>
          <w:rFonts w:cs="Helvetica"/>
        </w:rPr>
        <w:t xml:space="preserve"> on emergency measures regarding unauthorised genetically modified rice in products originating from China, amended by </w:t>
      </w:r>
      <w:hyperlink r:id="rId11" w:tgtFrame="_blank" w:history="1">
        <w:r w:rsidRPr="00787976">
          <w:rPr>
            <w:rFonts w:cs="Helvetica"/>
          </w:rPr>
          <w:t>Commission Decision 2013/287/EU</w:t>
        </w:r>
      </w:hyperlink>
      <w:r w:rsidRPr="00787976">
        <w:rPr>
          <w:rFonts w:cs="Helvetica"/>
        </w:rPr>
        <w:t xml:space="preserve">. </w:t>
      </w:r>
    </w:p>
    <w:p w:rsidR="00F64BC7" w:rsidRPr="00787976" w:rsidRDefault="008168FB" w:rsidP="00AD735F">
      <w:pPr>
        <w:ind w:left="357"/>
        <w:jc w:val="both"/>
      </w:pPr>
      <w:r w:rsidRPr="00787976">
        <w:t xml:space="preserve">The first findings of </w:t>
      </w:r>
      <w:r w:rsidR="008C49E5" w:rsidRPr="00787976">
        <w:t>rice products</w:t>
      </w:r>
      <w:r w:rsidR="00563F93" w:rsidRPr="00787976">
        <w:t>,</w:t>
      </w:r>
      <w:r w:rsidR="008C49E5" w:rsidRPr="00787976">
        <w:t xml:space="preserve"> originating from China</w:t>
      </w:r>
      <w:r w:rsidR="00563F93" w:rsidRPr="00787976">
        <w:t>,</w:t>
      </w:r>
      <w:r w:rsidR="008C49E5" w:rsidRPr="00787976">
        <w:t xml:space="preserve"> contaminated with </w:t>
      </w:r>
      <w:r w:rsidRPr="00787976">
        <w:t>unauthorised Bt63 rice occurred in 2006.</w:t>
      </w:r>
      <w:r w:rsidR="008C49E5" w:rsidRPr="00787976">
        <w:t xml:space="preserve"> </w:t>
      </w:r>
      <w:r w:rsidR="00F64BC7" w:rsidRPr="00787976">
        <w:t xml:space="preserve">In 2005, the Hubei Agriculture Department in China </w:t>
      </w:r>
      <w:r w:rsidR="003967A0" w:rsidRPr="00787976">
        <w:t>found Bt63</w:t>
      </w:r>
      <w:r w:rsidR="00F64BC7" w:rsidRPr="00787976">
        <w:t xml:space="preserve"> rice seeds in the market. The inquiry tracked the seeds to 3 seed companies, which had been entrusted by </w:t>
      </w:r>
      <w:proofErr w:type="spellStart"/>
      <w:r w:rsidR="00F64BC7" w:rsidRPr="00787976">
        <w:t>Huazhong</w:t>
      </w:r>
      <w:proofErr w:type="spellEnd"/>
      <w:r w:rsidR="00F64BC7" w:rsidRPr="00787976">
        <w:t xml:space="preserve"> Agricultural University with seed multiplication in</w:t>
      </w:r>
      <w:r w:rsidR="003967A0" w:rsidRPr="00787976">
        <w:t xml:space="preserve"> a production trial of GM rice Bt63</w:t>
      </w:r>
      <w:r w:rsidR="00F64BC7" w:rsidRPr="00787976">
        <w:t xml:space="preserve">. These companies illegally commercialized </w:t>
      </w:r>
      <w:r w:rsidR="003967A0" w:rsidRPr="00787976">
        <w:t xml:space="preserve">Bt63 </w:t>
      </w:r>
      <w:r w:rsidR="00F64BC7" w:rsidRPr="00787976">
        <w:t>seed and 200 hectares of illegally cultivated Bt63 were identified by Hubei Agriculture Department (source: FVO final report of a mission carried out in China from 27 November to 3 December 2008 in order to evaluate  official control systems for Commission Decision 2008/289/EC on emergency measures regarding the unauthorised GMO "</w:t>
      </w:r>
      <w:proofErr w:type="spellStart"/>
      <w:r w:rsidR="00F64BC7" w:rsidRPr="00787976">
        <w:t>Bt</w:t>
      </w:r>
      <w:proofErr w:type="spellEnd"/>
      <w:r w:rsidR="00F64BC7" w:rsidRPr="00787976">
        <w:t xml:space="preserve"> 63" in rice products, </w:t>
      </w:r>
      <w:hyperlink r:id="rId12" w:history="1">
        <w:r w:rsidR="0039237F" w:rsidRPr="00787976">
          <w:rPr>
            <w:rStyle w:val="Hyperlink"/>
            <w:color w:val="auto"/>
          </w:rPr>
          <w:t>http://ec.europa.eu/food/fvo/audit_reports/details.cfm?rep_id=2145</w:t>
        </w:r>
      </w:hyperlink>
      <w:r w:rsidR="00F64BC7" w:rsidRPr="00787976">
        <w:t>).</w:t>
      </w:r>
      <w:r w:rsidR="0039237F" w:rsidRPr="00787976">
        <w:rPr>
          <w:rStyle w:val="FootnoteReference"/>
        </w:rPr>
        <w:footnoteReference w:id="1"/>
      </w:r>
    </w:p>
    <w:p w:rsidR="00791B8C" w:rsidRPr="00787976" w:rsidRDefault="00791B8C" w:rsidP="00AD735F">
      <w:pPr>
        <w:ind w:left="360"/>
        <w:jc w:val="both"/>
        <w:rPr>
          <w:lang w:eastAsia="en-GB"/>
        </w:rPr>
      </w:pPr>
      <w:r w:rsidRPr="00787976">
        <w:rPr>
          <w:lang w:eastAsia="en-GB"/>
        </w:rPr>
        <w:t xml:space="preserve">Considering the numerous alerts on Bt63 rice findings </w:t>
      </w:r>
      <w:r w:rsidR="00EB0FC9" w:rsidRPr="00787976">
        <w:rPr>
          <w:lang w:eastAsia="en-GB"/>
        </w:rPr>
        <w:t>in rice products imported into the EU from China</w:t>
      </w:r>
      <w:r w:rsidRPr="00787976">
        <w:rPr>
          <w:lang w:eastAsia="en-GB"/>
        </w:rPr>
        <w:t>,</w:t>
      </w:r>
      <w:r w:rsidRPr="00787976" w:rsidDel="008C4D76">
        <w:rPr>
          <w:lang w:eastAsia="en-GB"/>
        </w:rPr>
        <w:t xml:space="preserve"> </w:t>
      </w:r>
      <w:r w:rsidRPr="00787976">
        <w:rPr>
          <w:lang w:eastAsia="en-GB"/>
        </w:rPr>
        <w:t xml:space="preserve">the Commission adopted in 2008 an emergency measure on Bt63 rice (Commission Decision 2008/289/EC). This measure required that consignments of rice products originating from China be accompanied by a certificate demonstrating the absence of Bt63 rice and that EU Member States carry out random sampling and analysis. The Decision </w:t>
      </w:r>
      <w:r w:rsidR="008168FB" w:rsidRPr="00787976">
        <w:rPr>
          <w:lang w:eastAsia="en-GB"/>
        </w:rPr>
        <w:t>also defined</w:t>
      </w:r>
      <w:r w:rsidRPr="00787976">
        <w:rPr>
          <w:lang w:eastAsia="en-GB"/>
        </w:rPr>
        <w:t xml:space="preserve"> the method </w:t>
      </w:r>
      <w:r w:rsidR="00EF5D5F" w:rsidRPr="00787976">
        <w:rPr>
          <w:lang w:eastAsia="en-GB"/>
        </w:rPr>
        <w:t xml:space="preserve">of detection specific for Bt63 rice </w:t>
      </w:r>
      <w:r w:rsidRPr="00787976">
        <w:rPr>
          <w:lang w:eastAsia="en-GB"/>
        </w:rPr>
        <w:t xml:space="preserve">to be adopted. </w:t>
      </w:r>
    </w:p>
    <w:p w:rsidR="00791B8C" w:rsidRPr="00787976" w:rsidRDefault="00791B8C" w:rsidP="00AD735F">
      <w:pPr>
        <w:ind w:left="360"/>
        <w:jc w:val="both"/>
        <w:rPr>
          <w:lang w:eastAsia="en-GB"/>
        </w:rPr>
      </w:pPr>
      <w:r w:rsidRPr="00787976">
        <w:rPr>
          <w:lang w:eastAsia="en-GB"/>
        </w:rPr>
        <w:t>In 2010 the number of RASFF notifications increased and further unauthorised GM rice events in addition to Bt63 were reported.</w:t>
      </w:r>
    </w:p>
    <w:p w:rsidR="00791B8C" w:rsidRPr="00787976" w:rsidRDefault="00791B8C" w:rsidP="00AD735F">
      <w:pPr>
        <w:ind w:left="360"/>
        <w:jc w:val="both"/>
        <w:rPr>
          <w:lang w:eastAsia="en-GB"/>
        </w:rPr>
      </w:pPr>
      <w:r w:rsidRPr="00787976">
        <w:rPr>
          <w:lang w:eastAsia="en-GB"/>
        </w:rPr>
        <w:lastRenderedPageBreak/>
        <w:t>In 2011 a new Commission Decision (2011/884/EU) was adopted, repealing Commission Decision 2008/289/EC, in order to:</w:t>
      </w:r>
    </w:p>
    <w:p w:rsidR="00791B8C" w:rsidRPr="00787976" w:rsidRDefault="00791B8C" w:rsidP="00AD735F">
      <w:pPr>
        <w:numPr>
          <w:ilvl w:val="0"/>
          <w:numId w:val="8"/>
        </w:numPr>
        <w:jc w:val="both"/>
        <w:rPr>
          <w:lang w:eastAsia="en-GB"/>
        </w:rPr>
      </w:pPr>
      <w:r w:rsidRPr="00787976">
        <w:rPr>
          <w:lang w:eastAsia="en-GB"/>
        </w:rPr>
        <w:t>Update the list of products falling under the scope of the emergency measures;</w:t>
      </w:r>
    </w:p>
    <w:p w:rsidR="00791B8C" w:rsidRPr="00787976" w:rsidRDefault="00791B8C" w:rsidP="00AD735F">
      <w:pPr>
        <w:numPr>
          <w:ilvl w:val="0"/>
          <w:numId w:val="8"/>
        </w:numPr>
        <w:jc w:val="both"/>
        <w:rPr>
          <w:lang w:eastAsia="en-GB"/>
        </w:rPr>
      </w:pPr>
      <w:r w:rsidRPr="00787976">
        <w:rPr>
          <w:lang w:eastAsia="en-GB"/>
        </w:rPr>
        <w:t>Set the frequency of sampling and analysis by Member States at 100% of all consignments;</w:t>
      </w:r>
    </w:p>
    <w:p w:rsidR="00791B8C" w:rsidRPr="00787976" w:rsidRDefault="00791B8C" w:rsidP="00AD735F">
      <w:pPr>
        <w:numPr>
          <w:ilvl w:val="0"/>
          <w:numId w:val="8"/>
        </w:numPr>
        <w:jc w:val="both"/>
        <w:rPr>
          <w:lang w:eastAsia="en-GB"/>
        </w:rPr>
      </w:pPr>
      <w:r w:rsidRPr="00787976">
        <w:rPr>
          <w:lang w:eastAsia="en-GB"/>
        </w:rPr>
        <w:t>Provide harmonised methods of sampling and a testing approach capable to detect a number of potentially GM rice events in addition to Bt63. The European Union Reference Laboratory verified the suitability of the testing approach and provided guidance for its implementation.</w:t>
      </w:r>
    </w:p>
    <w:p w:rsidR="00791B8C" w:rsidRPr="00787976" w:rsidRDefault="00791B8C" w:rsidP="00AD735F">
      <w:pPr>
        <w:ind w:left="360"/>
        <w:jc w:val="both"/>
        <w:rPr>
          <w:lang w:eastAsia="en-GB"/>
        </w:rPr>
      </w:pPr>
      <w:r w:rsidRPr="00787976">
        <w:rPr>
          <w:lang w:eastAsia="en-GB"/>
        </w:rPr>
        <w:t>In 2013, a revised Commission Decision (2013/287/EU) was adopted, amending Decision 2011/884/EU with respect to:</w:t>
      </w:r>
    </w:p>
    <w:p w:rsidR="00791B8C" w:rsidRPr="00787976" w:rsidRDefault="00791B8C" w:rsidP="00AD735F">
      <w:pPr>
        <w:numPr>
          <w:ilvl w:val="0"/>
          <w:numId w:val="8"/>
        </w:numPr>
        <w:jc w:val="both"/>
        <w:rPr>
          <w:lang w:eastAsia="en-GB"/>
        </w:rPr>
      </w:pPr>
      <w:r w:rsidRPr="00787976">
        <w:rPr>
          <w:lang w:eastAsia="en-GB"/>
        </w:rPr>
        <w:t>The list of products falling under the scope of the emergency measures;</w:t>
      </w:r>
    </w:p>
    <w:p w:rsidR="00791B8C" w:rsidRPr="00787976" w:rsidRDefault="00791B8C" w:rsidP="00AD735F">
      <w:pPr>
        <w:numPr>
          <w:ilvl w:val="0"/>
          <w:numId w:val="8"/>
        </w:numPr>
        <w:jc w:val="both"/>
        <w:rPr>
          <w:lang w:eastAsia="en-GB"/>
        </w:rPr>
      </w:pPr>
      <w:r w:rsidRPr="00787976">
        <w:rPr>
          <w:lang w:eastAsia="en-GB"/>
        </w:rPr>
        <w:t>Prior notifications of consignments;</w:t>
      </w:r>
    </w:p>
    <w:p w:rsidR="00791B8C" w:rsidRPr="00787976" w:rsidRDefault="00791B8C" w:rsidP="00AD735F">
      <w:pPr>
        <w:numPr>
          <w:ilvl w:val="0"/>
          <w:numId w:val="8"/>
        </w:numPr>
        <w:jc w:val="both"/>
        <w:rPr>
          <w:lang w:eastAsia="en-GB"/>
        </w:rPr>
      </w:pPr>
      <w:r w:rsidRPr="00787976">
        <w:rPr>
          <w:lang w:eastAsia="en-GB"/>
        </w:rPr>
        <w:t>Sampling methodologies for processed products.</w:t>
      </w:r>
    </w:p>
    <w:p w:rsidR="0004011E" w:rsidRPr="00787976" w:rsidRDefault="003769A2" w:rsidP="0004011E">
      <w:pPr>
        <w:ind w:left="357"/>
        <w:jc w:val="both"/>
      </w:pPr>
      <w:r w:rsidRPr="00787976">
        <w:rPr>
          <w:lang w:eastAsia="en-GB"/>
        </w:rPr>
        <w:t>This Decision is still in place.</w:t>
      </w:r>
      <w:r w:rsidR="0004011E" w:rsidRPr="00787976">
        <w:t xml:space="preserve"> </w:t>
      </w:r>
    </w:p>
    <w:p w:rsidR="0004011E" w:rsidRPr="00787976" w:rsidRDefault="0004011E" w:rsidP="0004011E">
      <w:pPr>
        <w:ind w:left="357"/>
        <w:jc w:val="both"/>
      </w:pPr>
      <w:r w:rsidRPr="00787976">
        <w:t xml:space="preserve">It is worth noting that </w:t>
      </w:r>
      <w:r w:rsidR="006829E4" w:rsidRPr="00787976">
        <w:t xml:space="preserve">Bt63-contaminated </w:t>
      </w:r>
      <w:r w:rsidRPr="00787976">
        <w:t xml:space="preserve">products </w:t>
      </w:r>
      <w:r w:rsidR="006829E4" w:rsidRPr="00787976">
        <w:t xml:space="preserve">found on the EU market </w:t>
      </w:r>
      <w:r w:rsidRPr="00787976">
        <w:t xml:space="preserve">were produced from a GMO and did not consist </w:t>
      </w:r>
      <w:r w:rsidR="00905DED" w:rsidRPr="00787976">
        <w:t xml:space="preserve">of, </w:t>
      </w:r>
      <w:r w:rsidRPr="00787976">
        <w:t>or contain</w:t>
      </w:r>
      <w:r w:rsidR="00905DED" w:rsidRPr="00787976">
        <w:t>,</w:t>
      </w:r>
      <w:r w:rsidRPr="00787976">
        <w:t xml:space="preserve"> any living organism, i.e. an LMO in the sense of the Cartagena Protocol. However, as explained above, the presence of Bt63 rice in rice products originated from the illegal cultivation and marketing of Bt63 seeds (i.e. LMOs) in China: this may be considered </w:t>
      </w:r>
      <w:r w:rsidR="00170D17" w:rsidRPr="00787976">
        <w:t xml:space="preserve">as </w:t>
      </w:r>
      <w:r w:rsidRPr="00787976">
        <w:t>an occurrence</w:t>
      </w:r>
      <w:r w:rsidR="00FD1C11" w:rsidRPr="00787976">
        <w:t xml:space="preserve"> </w:t>
      </w:r>
      <w:r w:rsidR="00170D17" w:rsidRPr="00787976">
        <w:t>falling under the scope of Article 17.</w:t>
      </w:r>
      <w:r w:rsidRPr="00787976">
        <w:t xml:space="preserve"> </w:t>
      </w:r>
      <w:r w:rsidR="00170D17" w:rsidRPr="00787976">
        <w:t>Furthermore</w:t>
      </w:r>
      <w:r w:rsidRPr="00787976">
        <w:t xml:space="preserve">, the measures developed for this specific case </w:t>
      </w:r>
      <w:r w:rsidR="00170D17" w:rsidRPr="00787976">
        <w:t xml:space="preserve">and described above </w:t>
      </w:r>
      <w:r w:rsidRPr="00787976">
        <w:t>can be used for other cases involving LMOs.</w:t>
      </w:r>
    </w:p>
    <w:p w:rsidR="00516D46" w:rsidRPr="00787976" w:rsidRDefault="00516D46" w:rsidP="00AD735F">
      <w:pPr>
        <w:pStyle w:val="ListParagraph"/>
        <w:numPr>
          <w:ilvl w:val="0"/>
          <w:numId w:val="10"/>
        </w:numPr>
        <w:spacing w:before="100" w:beforeAutospacing="1"/>
        <w:jc w:val="both"/>
        <w:rPr>
          <w:rFonts w:cs="Helvetica"/>
        </w:rPr>
      </w:pPr>
      <w:r w:rsidRPr="00787976">
        <w:rPr>
          <w:rFonts w:cs="Helvetica"/>
        </w:rPr>
        <w:t>Other measures that have been adop</w:t>
      </w:r>
      <w:r w:rsidR="00AE2413" w:rsidRPr="00787976">
        <w:rPr>
          <w:rFonts w:cs="Helvetica"/>
        </w:rPr>
        <w:t>ted in the past are those for non-</w:t>
      </w:r>
      <w:r w:rsidRPr="00787976">
        <w:rPr>
          <w:rFonts w:cs="Helvetica"/>
        </w:rPr>
        <w:t>authorised Bt10 maize (Commission Decision 2005/317/EC repealed by Commission Decision 2007/157/EC) and LL rice 601 (Commission Decision 2006/601/EC repealed by Commission Decision 2010/315/EU), both originating from the USA.</w:t>
      </w:r>
    </w:p>
    <w:bookmarkEnd w:id="0"/>
    <w:p w:rsidR="00516D46" w:rsidRPr="00787976" w:rsidRDefault="00516D46" w:rsidP="00AD735F">
      <w:pPr>
        <w:jc w:val="both"/>
        <w:rPr>
          <w:rFonts w:cs="Helvetica"/>
          <w:b/>
          <w:lang w:val="en"/>
        </w:rPr>
      </w:pPr>
    </w:p>
    <w:sectPr w:rsidR="00516D46" w:rsidRPr="007879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14D" w:rsidRDefault="00E7514D" w:rsidP="003819A8">
      <w:pPr>
        <w:spacing w:after="0" w:line="240" w:lineRule="auto"/>
      </w:pPr>
      <w:r>
        <w:separator/>
      </w:r>
    </w:p>
  </w:endnote>
  <w:endnote w:type="continuationSeparator" w:id="0">
    <w:p w:rsidR="00E7514D" w:rsidRDefault="00E7514D" w:rsidP="0038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14D" w:rsidRDefault="00E7514D" w:rsidP="003819A8">
      <w:pPr>
        <w:spacing w:after="0" w:line="240" w:lineRule="auto"/>
      </w:pPr>
      <w:r>
        <w:separator/>
      </w:r>
    </w:p>
  </w:footnote>
  <w:footnote w:type="continuationSeparator" w:id="0">
    <w:p w:rsidR="00E7514D" w:rsidRDefault="00E7514D" w:rsidP="003819A8">
      <w:pPr>
        <w:spacing w:after="0" w:line="240" w:lineRule="auto"/>
      </w:pPr>
      <w:r>
        <w:continuationSeparator/>
      </w:r>
    </w:p>
  </w:footnote>
  <w:footnote w:id="1">
    <w:p w:rsidR="0039237F" w:rsidRDefault="0039237F">
      <w:pPr>
        <w:pStyle w:val="FootnoteText"/>
      </w:pPr>
      <w:r>
        <w:rPr>
          <w:rStyle w:val="FootnoteReference"/>
        </w:rPr>
        <w:footnoteRef/>
      </w:r>
      <w:r>
        <w:t xml:space="preserve"> This occurrence may be considered a release of an LMO in China, falling under the scope of Article 17 and to be notified accordingly.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0C59"/>
    <w:multiLevelType w:val="hybridMultilevel"/>
    <w:tmpl w:val="B466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383B0F"/>
    <w:multiLevelType w:val="multilevel"/>
    <w:tmpl w:val="CE22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361D9"/>
    <w:multiLevelType w:val="hybridMultilevel"/>
    <w:tmpl w:val="0414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4A6007"/>
    <w:multiLevelType w:val="hybridMultilevel"/>
    <w:tmpl w:val="875C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3442A"/>
    <w:multiLevelType w:val="hybridMultilevel"/>
    <w:tmpl w:val="75F4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5162AE"/>
    <w:multiLevelType w:val="hybridMultilevel"/>
    <w:tmpl w:val="FDC89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8806ED"/>
    <w:multiLevelType w:val="hybridMultilevel"/>
    <w:tmpl w:val="B59C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206F29"/>
    <w:multiLevelType w:val="hybridMultilevel"/>
    <w:tmpl w:val="ADA0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520A8D"/>
    <w:multiLevelType w:val="hybridMultilevel"/>
    <w:tmpl w:val="1EC012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42593A"/>
    <w:multiLevelType w:val="hybridMultilevel"/>
    <w:tmpl w:val="096A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9404AC"/>
    <w:multiLevelType w:val="hybridMultilevel"/>
    <w:tmpl w:val="64A800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4025CD4"/>
    <w:multiLevelType w:val="hybridMultilevel"/>
    <w:tmpl w:val="08B8F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457843"/>
    <w:multiLevelType w:val="hybridMultilevel"/>
    <w:tmpl w:val="CCB49D1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0EC6A1E"/>
    <w:multiLevelType w:val="hybridMultilevel"/>
    <w:tmpl w:val="8B0C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F510C5"/>
    <w:multiLevelType w:val="hybridMultilevel"/>
    <w:tmpl w:val="2700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2F20A3"/>
    <w:multiLevelType w:val="hybridMultilevel"/>
    <w:tmpl w:val="8230E0B2"/>
    <w:lvl w:ilvl="0" w:tplc="F7F8B00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1"/>
  </w:num>
  <w:num w:numId="3">
    <w:abstractNumId w:val="5"/>
  </w:num>
  <w:num w:numId="4">
    <w:abstractNumId w:val="14"/>
  </w:num>
  <w:num w:numId="5">
    <w:abstractNumId w:val="1"/>
  </w:num>
  <w:num w:numId="6">
    <w:abstractNumId w:val="0"/>
  </w:num>
  <w:num w:numId="7">
    <w:abstractNumId w:val="7"/>
  </w:num>
  <w:num w:numId="8">
    <w:abstractNumId w:val="8"/>
  </w:num>
  <w:num w:numId="9">
    <w:abstractNumId w:val="15"/>
  </w:num>
  <w:num w:numId="10">
    <w:abstractNumId w:val="12"/>
  </w:num>
  <w:num w:numId="11">
    <w:abstractNumId w:val="4"/>
  </w:num>
  <w:num w:numId="12">
    <w:abstractNumId w:val="2"/>
  </w:num>
  <w:num w:numId="13">
    <w:abstractNumId w:val="3"/>
  </w:num>
  <w:num w:numId="14">
    <w:abstractNumId w:val="9"/>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A6889"/>
    <w:rsid w:val="00020583"/>
    <w:rsid w:val="0004011E"/>
    <w:rsid w:val="00080500"/>
    <w:rsid w:val="00090F3F"/>
    <w:rsid w:val="000A3212"/>
    <w:rsid w:val="000C2D0A"/>
    <w:rsid w:val="000D0421"/>
    <w:rsid w:val="000F36C4"/>
    <w:rsid w:val="000F4F62"/>
    <w:rsid w:val="001016AD"/>
    <w:rsid w:val="00104C94"/>
    <w:rsid w:val="00114425"/>
    <w:rsid w:val="0013296E"/>
    <w:rsid w:val="00162EEB"/>
    <w:rsid w:val="00170C0A"/>
    <w:rsid w:val="00170D17"/>
    <w:rsid w:val="001B2F69"/>
    <w:rsid w:val="001C146D"/>
    <w:rsid w:val="001E2F8B"/>
    <w:rsid w:val="001E4733"/>
    <w:rsid w:val="001E77E6"/>
    <w:rsid w:val="001F394A"/>
    <w:rsid w:val="002503B4"/>
    <w:rsid w:val="00271CD8"/>
    <w:rsid w:val="00277935"/>
    <w:rsid w:val="00290926"/>
    <w:rsid w:val="00296E1C"/>
    <w:rsid w:val="002A0361"/>
    <w:rsid w:val="002A6864"/>
    <w:rsid w:val="002B2DFE"/>
    <w:rsid w:val="002C1382"/>
    <w:rsid w:val="002E3E7C"/>
    <w:rsid w:val="003134FB"/>
    <w:rsid w:val="003228EC"/>
    <w:rsid w:val="00325E00"/>
    <w:rsid w:val="00345A95"/>
    <w:rsid w:val="00366101"/>
    <w:rsid w:val="003769A2"/>
    <w:rsid w:val="003819A8"/>
    <w:rsid w:val="0039237F"/>
    <w:rsid w:val="003967A0"/>
    <w:rsid w:val="003A00B5"/>
    <w:rsid w:val="003B04D4"/>
    <w:rsid w:val="003B61EC"/>
    <w:rsid w:val="003D2189"/>
    <w:rsid w:val="003E3207"/>
    <w:rsid w:val="003F6F1B"/>
    <w:rsid w:val="00470841"/>
    <w:rsid w:val="00476EE9"/>
    <w:rsid w:val="00496282"/>
    <w:rsid w:val="004A58FC"/>
    <w:rsid w:val="004A6889"/>
    <w:rsid w:val="004C290C"/>
    <w:rsid w:val="004E338D"/>
    <w:rsid w:val="004F4FEA"/>
    <w:rsid w:val="004F79AC"/>
    <w:rsid w:val="005151F0"/>
    <w:rsid w:val="00516D46"/>
    <w:rsid w:val="00523400"/>
    <w:rsid w:val="00526774"/>
    <w:rsid w:val="00537F6C"/>
    <w:rsid w:val="005430F9"/>
    <w:rsid w:val="00563F93"/>
    <w:rsid w:val="00595CAC"/>
    <w:rsid w:val="005B0EB9"/>
    <w:rsid w:val="00633AFB"/>
    <w:rsid w:val="00642A67"/>
    <w:rsid w:val="0067176C"/>
    <w:rsid w:val="0067423C"/>
    <w:rsid w:val="006760E4"/>
    <w:rsid w:val="006803D3"/>
    <w:rsid w:val="006829E4"/>
    <w:rsid w:val="006C7CDF"/>
    <w:rsid w:val="006D20E5"/>
    <w:rsid w:val="006E5397"/>
    <w:rsid w:val="00710E31"/>
    <w:rsid w:val="00712329"/>
    <w:rsid w:val="0077652E"/>
    <w:rsid w:val="00787976"/>
    <w:rsid w:val="00791B8C"/>
    <w:rsid w:val="0079516C"/>
    <w:rsid w:val="007A2846"/>
    <w:rsid w:val="007A318F"/>
    <w:rsid w:val="007D0212"/>
    <w:rsid w:val="007E6D2B"/>
    <w:rsid w:val="007F6604"/>
    <w:rsid w:val="00814ED0"/>
    <w:rsid w:val="008168FB"/>
    <w:rsid w:val="0086671A"/>
    <w:rsid w:val="008770D6"/>
    <w:rsid w:val="00884A46"/>
    <w:rsid w:val="008868C2"/>
    <w:rsid w:val="0089541C"/>
    <w:rsid w:val="008A4676"/>
    <w:rsid w:val="008C49E5"/>
    <w:rsid w:val="00905DED"/>
    <w:rsid w:val="00912DE6"/>
    <w:rsid w:val="00920111"/>
    <w:rsid w:val="009326BE"/>
    <w:rsid w:val="00960060"/>
    <w:rsid w:val="00964029"/>
    <w:rsid w:val="009C425B"/>
    <w:rsid w:val="009D1C42"/>
    <w:rsid w:val="00A35AFD"/>
    <w:rsid w:val="00A90349"/>
    <w:rsid w:val="00AA2CC0"/>
    <w:rsid w:val="00AB103C"/>
    <w:rsid w:val="00AB3237"/>
    <w:rsid w:val="00AC5BBC"/>
    <w:rsid w:val="00AD735F"/>
    <w:rsid w:val="00AE160A"/>
    <w:rsid w:val="00AE2413"/>
    <w:rsid w:val="00AE5B23"/>
    <w:rsid w:val="00AF4006"/>
    <w:rsid w:val="00B07360"/>
    <w:rsid w:val="00B332FC"/>
    <w:rsid w:val="00B40720"/>
    <w:rsid w:val="00B500AE"/>
    <w:rsid w:val="00B71CEF"/>
    <w:rsid w:val="00B8036A"/>
    <w:rsid w:val="00BA482A"/>
    <w:rsid w:val="00BA4C6B"/>
    <w:rsid w:val="00BC6F0C"/>
    <w:rsid w:val="00C039E8"/>
    <w:rsid w:val="00C5008E"/>
    <w:rsid w:val="00CA09D3"/>
    <w:rsid w:val="00CA0C2A"/>
    <w:rsid w:val="00CA75D3"/>
    <w:rsid w:val="00CF1336"/>
    <w:rsid w:val="00CF528A"/>
    <w:rsid w:val="00D06453"/>
    <w:rsid w:val="00D11362"/>
    <w:rsid w:val="00D23CBF"/>
    <w:rsid w:val="00D41ECC"/>
    <w:rsid w:val="00D56E32"/>
    <w:rsid w:val="00D76AE9"/>
    <w:rsid w:val="00D91CDC"/>
    <w:rsid w:val="00DB23D0"/>
    <w:rsid w:val="00DB4914"/>
    <w:rsid w:val="00E10194"/>
    <w:rsid w:val="00E1280A"/>
    <w:rsid w:val="00E44255"/>
    <w:rsid w:val="00E51527"/>
    <w:rsid w:val="00E6061F"/>
    <w:rsid w:val="00E7514D"/>
    <w:rsid w:val="00E83430"/>
    <w:rsid w:val="00EB0FC9"/>
    <w:rsid w:val="00EB1005"/>
    <w:rsid w:val="00EF5D5F"/>
    <w:rsid w:val="00F36E44"/>
    <w:rsid w:val="00F64BC7"/>
    <w:rsid w:val="00F678F3"/>
    <w:rsid w:val="00FC53F7"/>
    <w:rsid w:val="00FD1C11"/>
    <w:rsid w:val="00FD2FD4"/>
    <w:rsid w:val="00FE7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8EC"/>
    <w:pPr>
      <w:ind w:left="720"/>
      <w:contextualSpacing/>
    </w:pPr>
  </w:style>
  <w:style w:type="table" w:styleId="TableGrid">
    <w:name w:val="Table Grid"/>
    <w:basedOn w:val="TableNormal"/>
    <w:uiPriority w:val="59"/>
    <w:rsid w:val="00BA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16D46"/>
    <w:rPr>
      <w:b/>
      <w:bCs/>
    </w:rPr>
  </w:style>
  <w:style w:type="paragraph" w:styleId="FootnoteText">
    <w:name w:val="footnote text"/>
    <w:basedOn w:val="Normal"/>
    <w:link w:val="FootnoteTextChar"/>
    <w:semiHidden/>
    <w:rsid w:val="003819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819A8"/>
    <w:rPr>
      <w:rFonts w:ascii="Times New Roman" w:eastAsia="Times New Roman" w:hAnsi="Times New Roman" w:cs="Times New Roman"/>
      <w:sz w:val="20"/>
      <w:szCs w:val="20"/>
    </w:rPr>
  </w:style>
  <w:style w:type="character" w:styleId="FootnoteReference">
    <w:name w:val="footnote reference"/>
    <w:rsid w:val="003819A8"/>
    <w:rPr>
      <w:vertAlign w:val="superscript"/>
    </w:rPr>
  </w:style>
  <w:style w:type="character" w:styleId="CommentReference">
    <w:name w:val="annotation reference"/>
    <w:basedOn w:val="DefaultParagraphFont"/>
    <w:uiPriority w:val="99"/>
    <w:semiHidden/>
    <w:unhideWhenUsed/>
    <w:rsid w:val="00E10194"/>
    <w:rPr>
      <w:sz w:val="16"/>
      <w:szCs w:val="16"/>
    </w:rPr>
  </w:style>
  <w:style w:type="paragraph" w:styleId="CommentText">
    <w:name w:val="annotation text"/>
    <w:basedOn w:val="Normal"/>
    <w:link w:val="CommentTextChar"/>
    <w:uiPriority w:val="99"/>
    <w:unhideWhenUsed/>
    <w:rsid w:val="00E10194"/>
    <w:pPr>
      <w:spacing w:line="240" w:lineRule="auto"/>
    </w:pPr>
    <w:rPr>
      <w:sz w:val="20"/>
      <w:szCs w:val="20"/>
    </w:rPr>
  </w:style>
  <w:style w:type="character" w:customStyle="1" w:styleId="CommentTextChar">
    <w:name w:val="Comment Text Char"/>
    <w:basedOn w:val="DefaultParagraphFont"/>
    <w:link w:val="CommentText"/>
    <w:uiPriority w:val="99"/>
    <w:rsid w:val="00E10194"/>
    <w:rPr>
      <w:sz w:val="20"/>
      <w:szCs w:val="20"/>
    </w:rPr>
  </w:style>
  <w:style w:type="paragraph" w:styleId="CommentSubject">
    <w:name w:val="annotation subject"/>
    <w:basedOn w:val="CommentText"/>
    <w:next w:val="CommentText"/>
    <w:link w:val="CommentSubjectChar"/>
    <w:uiPriority w:val="99"/>
    <w:semiHidden/>
    <w:unhideWhenUsed/>
    <w:rsid w:val="00E10194"/>
    <w:rPr>
      <w:b/>
      <w:bCs/>
    </w:rPr>
  </w:style>
  <w:style w:type="character" w:customStyle="1" w:styleId="CommentSubjectChar">
    <w:name w:val="Comment Subject Char"/>
    <w:basedOn w:val="CommentTextChar"/>
    <w:link w:val="CommentSubject"/>
    <w:uiPriority w:val="99"/>
    <w:semiHidden/>
    <w:rsid w:val="00E10194"/>
    <w:rPr>
      <w:b/>
      <w:bCs/>
      <w:sz w:val="20"/>
      <w:szCs w:val="20"/>
    </w:rPr>
  </w:style>
  <w:style w:type="paragraph" w:styleId="BalloonText">
    <w:name w:val="Balloon Text"/>
    <w:basedOn w:val="Normal"/>
    <w:link w:val="BalloonTextChar"/>
    <w:uiPriority w:val="99"/>
    <w:semiHidden/>
    <w:unhideWhenUsed/>
    <w:rsid w:val="00E10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194"/>
    <w:rPr>
      <w:rFonts w:ascii="Tahoma" w:hAnsi="Tahoma" w:cs="Tahoma"/>
      <w:sz w:val="16"/>
      <w:szCs w:val="16"/>
    </w:rPr>
  </w:style>
  <w:style w:type="paragraph" w:styleId="Revision">
    <w:name w:val="Revision"/>
    <w:hidden/>
    <w:uiPriority w:val="99"/>
    <w:semiHidden/>
    <w:rsid w:val="00884A46"/>
    <w:pPr>
      <w:spacing w:after="0" w:line="240" w:lineRule="auto"/>
    </w:pPr>
  </w:style>
  <w:style w:type="character" w:styleId="Hyperlink">
    <w:name w:val="Hyperlink"/>
    <w:basedOn w:val="DefaultParagraphFont"/>
    <w:uiPriority w:val="99"/>
    <w:unhideWhenUsed/>
    <w:rsid w:val="0039237F"/>
    <w:rPr>
      <w:color w:val="0000FF" w:themeColor="hyperlink"/>
      <w:u w:val="single"/>
    </w:rPr>
  </w:style>
  <w:style w:type="character" w:customStyle="1" w:styleId="cmsbold1">
    <w:name w:val="cmsbold1"/>
    <w:basedOn w:val="DefaultParagraphFont"/>
    <w:rsid w:val="00EB0FC9"/>
    <w:rPr>
      <w:rFonts w:ascii="Verdana" w:hAnsi="Verdana" w:hint="default"/>
      <w:b/>
      <w:b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8EC"/>
    <w:pPr>
      <w:ind w:left="720"/>
      <w:contextualSpacing/>
    </w:pPr>
  </w:style>
  <w:style w:type="table" w:styleId="TableGrid">
    <w:name w:val="Table Grid"/>
    <w:basedOn w:val="TableNormal"/>
    <w:uiPriority w:val="59"/>
    <w:rsid w:val="00BA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16D46"/>
    <w:rPr>
      <w:b/>
      <w:bCs/>
    </w:rPr>
  </w:style>
  <w:style w:type="paragraph" w:styleId="FootnoteText">
    <w:name w:val="footnote text"/>
    <w:basedOn w:val="Normal"/>
    <w:link w:val="FootnoteTextChar"/>
    <w:semiHidden/>
    <w:rsid w:val="003819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819A8"/>
    <w:rPr>
      <w:rFonts w:ascii="Times New Roman" w:eastAsia="Times New Roman" w:hAnsi="Times New Roman" w:cs="Times New Roman"/>
      <w:sz w:val="20"/>
      <w:szCs w:val="20"/>
    </w:rPr>
  </w:style>
  <w:style w:type="character" w:styleId="FootnoteReference">
    <w:name w:val="footnote reference"/>
    <w:rsid w:val="003819A8"/>
    <w:rPr>
      <w:vertAlign w:val="superscript"/>
    </w:rPr>
  </w:style>
  <w:style w:type="character" w:styleId="CommentReference">
    <w:name w:val="annotation reference"/>
    <w:basedOn w:val="DefaultParagraphFont"/>
    <w:uiPriority w:val="99"/>
    <w:semiHidden/>
    <w:unhideWhenUsed/>
    <w:rsid w:val="00E10194"/>
    <w:rPr>
      <w:sz w:val="16"/>
      <w:szCs w:val="16"/>
    </w:rPr>
  </w:style>
  <w:style w:type="paragraph" w:styleId="CommentText">
    <w:name w:val="annotation text"/>
    <w:basedOn w:val="Normal"/>
    <w:link w:val="CommentTextChar"/>
    <w:uiPriority w:val="99"/>
    <w:unhideWhenUsed/>
    <w:rsid w:val="00E10194"/>
    <w:pPr>
      <w:spacing w:line="240" w:lineRule="auto"/>
    </w:pPr>
    <w:rPr>
      <w:sz w:val="20"/>
      <w:szCs w:val="20"/>
    </w:rPr>
  </w:style>
  <w:style w:type="character" w:customStyle="1" w:styleId="CommentTextChar">
    <w:name w:val="Comment Text Char"/>
    <w:basedOn w:val="DefaultParagraphFont"/>
    <w:link w:val="CommentText"/>
    <w:uiPriority w:val="99"/>
    <w:rsid w:val="00E10194"/>
    <w:rPr>
      <w:sz w:val="20"/>
      <w:szCs w:val="20"/>
    </w:rPr>
  </w:style>
  <w:style w:type="paragraph" w:styleId="CommentSubject">
    <w:name w:val="annotation subject"/>
    <w:basedOn w:val="CommentText"/>
    <w:next w:val="CommentText"/>
    <w:link w:val="CommentSubjectChar"/>
    <w:uiPriority w:val="99"/>
    <w:semiHidden/>
    <w:unhideWhenUsed/>
    <w:rsid w:val="00E10194"/>
    <w:rPr>
      <w:b/>
      <w:bCs/>
    </w:rPr>
  </w:style>
  <w:style w:type="character" w:customStyle="1" w:styleId="CommentSubjectChar">
    <w:name w:val="Comment Subject Char"/>
    <w:basedOn w:val="CommentTextChar"/>
    <w:link w:val="CommentSubject"/>
    <w:uiPriority w:val="99"/>
    <w:semiHidden/>
    <w:rsid w:val="00E10194"/>
    <w:rPr>
      <w:b/>
      <w:bCs/>
      <w:sz w:val="20"/>
      <w:szCs w:val="20"/>
    </w:rPr>
  </w:style>
  <w:style w:type="paragraph" w:styleId="BalloonText">
    <w:name w:val="Balloon Text"/>
    <w:basedOn w:val="Normal"/>
    <w:link w:val="BalloonTextChar"/>
    <w:uiPriority w:val="99"/>
    <w:semiHidden/>
    <w:unhideWhenUsed/>
    <w:rsid w:val="00E10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194"/>
    <w:rPr>
      <w:rFonts w:ascii="Tahoma" w:hAnsi="Tahoma" w:cs="Tahoma"/>
      <w:sz w:val="16"/>
      <w:szCs w:val="16"/>
    </w:rPr>
  </w:style>
  <w:style w:type="paragraph" w:styleId="Revision">
    <w:name w:val="Revision"/>
    <w:hidden/>
    <w:uiPriority w:val="99"/>
    <w:semiHidden/>
    <w:rsid w:val="00884A46"/>
    <w:pPr>
      <w:spacing w:after="0" w:line="240" w:lineRule="auto"/>
    </w:pPr>
  </w:style>
  <w:style w:type="character" w:styleId="Hyperlink">
    <w:name w:val="Hyperlink"/>
    <w:basedOn w:val="DefaultParagraphFont"/>
    <w:uiPriority w:val="99"/>
    <w:unhideWhenUsed/>
    <w:rsid w:val="0039237F"/>
    <w:rPr>
      <w:color w:val="0000FF" w:themeColor="hyperlink"/>
      <w:u w:val="single"/>
    </w:rPr>
  </w:style>
  <w:style w:type="character" w:customStyle="1" w:styleId="cmsbold1">
    <w:name w:val="cmsbold1"/>
    <w:basedOn w:val="DefaultParagraphFont"/>
    <w:rsid w:val="00EB0FC9"/>
    <w:rPr>
      <w:rFonts w:ascii="Verdana" w:hAnsi="Verdana" w:hint="default"/>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83284">
      <w:bodyDiv w:val="1"/>
      <w:marLeft w:val="0"/>
      <w:marRight w:val="0"/>
      <w:marTop w:val="0"/>
      <w:marBottom w:val="0"/>
      <w:divBdr>
        <w:top w:val="none" w:sz="0" w:space="0" w:color="auto"/>
        <w:left w:val="none" w:sz="0" w:space="0" w:color="auto"/>
        <w:bottom w:val="none" w:sz="0" w:space="0" w:color="auto"/>
        <w:right w:val="none" w:sz="0" w:space="0" w:color="auto"/>
      </w:divBdr>
      <w:divsChild>
        <w:div w:id="1626690163">
          <w:marLeft w:val="0"/>
          <w:marRight w:val="0"/>
          <w:marTop w:val="0"/>
          <w:marBottom w:val="0"/>
          <w:divBdr>
            <w:top w:val="single" w:sz="2" w:space="0" w:color="FFFFFF"/>
            <w:left w:val="single" w:sz="2" w:space="0" w:color="FFFFFF"/>
            <w:bottom w:val="single" w:sz="2" w:space="0" w:color="FFFFFF"/>
            <w:right w:val="single" w:sz="2" w:space="0" w:color="FFFFFF"/>
          </w:divBdr>
          <w:divsChild>
            <w:div w:id="967778045">
              <w:marLeft w:val="0"/>
              <w:marRight w:val="0"/>
              <w:marTop w:val="0"/>
              <w:marBottom w:val="0"/>
              <w:divBdr>
                <w:top w:val="single" w:sz="6" w:space="0" w:color="FFFFFF"/>
                <w:left w:val="none" w:sz="0" w:space="0" w:color="auto"/>
                <w:bottom w:val="none" w:sz="0" w:space="0" w:color="auto"/>
                <w:right w:val="none" w:sz="0" w:space="0" w:color="auto"/>
              </w:divBdr>
              <w:divsChild>
                <w:div w:id="2093579784">
                  <w:marLeft w:val="0"/>
                  <w:marRight w:val="0"/>
                  <w:marTop w:val="0"/>
                  <w:marBottom w:val="0"/>
                  <w:divBdr>
                    <w:top w:val="none" w:sz="0" w:space="0" w:color="auto"/>
                    <w:left w:val="none" w:sz="0" w:space="0" w:color="auto"/>
                    <w:bottom w:val="none" w:sz="0" w:space="0" w:color="auto"/>
                    <w:right w:val="none" w:sz="0" w:space="0" w:color="auto"/>
                  </w:divBdr>
                  <w:divsChild>
                    <w:div w:id="1641183727">
                      <w:marLeft w:val="0"/>
                      <w:marRight w:val="0"/>
                      <w:marTop w:val="0"/>
                      <w:marBottom w:val="0"/>
                      <w:divBdr>
                        <w:top w:val="none" w:sz="0" w:space="0" w:color="auto"/>
                        <w:left w:val="none" w:sz="0" w:space="0" w:color="auto"/>
                        <w:bottom w:val="none" w:sz="0" w:space="0" w:color="auto"/>
                        <w:right w:val="none" w:sz="0" w:space="0" w:color="auto"/>
                      </w:divBdr>
                      <w:divsChild>
                        <w:div w:id="1604847852">
                          <w:marLeft w:val="0"/>
                          <w:marRight w:val="0"/>
                          <w:marTop w:val="0"/>
                          <w:marBottom w:val="0"/>
                          <w:divBdr>
                            <w:top w:val="none" w:sz="0" w:space="0" w:color="auto"/>
                            <w:left w:val="none" w:sz="0" w:space="0" w:color="auto"/>
                            <w:bottom w:val="none" w:sz="0" w:space="0" w:color="auto"/>
                            <w:right w:val="none" w:sz="0" w:space="0" w:color="auto"/>
                          </w:divBdr>
                          <w:divsChild>
                            <w:div w:id="851799657">
                              <w:marLeft w:val="0"/>
                              <w:marRight w:val="0"/>
                              <w:marTop w:val="0"/>
                              <w:marBottom w:val="0"/>
                              <w:divBdr>
                                <w:top w:val="none" w:sz="0" w:space="0" w:color="auto"/>
                                <w:left w:val="none" w:sz="0" w:space="0" w:color="auto"/>
                                <w:bottom w:val="none" w:sz="0" w:space="0" w:color="auto"/>
                                <w:right w:val="none" w:sz="0" w:space="0" w:color="auto"/>
                              </w:divBdr>
                              <w:divsChild>
                                <w:div w:id="57829908">
                                  <w:marLeft w:val="0"/>
                                  <w:marRight w:val="0"/>
                                  <w:marTop w:val="0"/>
                                  <w:marBottom w:val="0"/>
                                  <w:divBdr>
                                    <w:top w:val="none" w:sz="0" w:space="0" w:color="auto"/>
                                    <w:left w:val="none" w:sz="0" w:space="0" w:color="auto"/>
                                    <w:bottom w:val="none" w:sz="0" w:space="0" w:color="auto"/>
                                    <w:right w:val="none" w:sz="0" w:space="0" w:color="auto"/>
                                  </w:divBdr>
                                  <w:divsChild>
                                    <w:div w:id="4467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555836">
      <w:bodyDiv w:val="1"/>
      <w:marLeft w:val="0"/>
      <w:marRight w:val="0"/>
      <w:marTop w:val="0"/>
      <w:marBottom w:val="0"/>
      <w:divBdr>
        <w:top w:val="none" w:sz="0" w:space="0" w:color="auto"/>
        <w:left w:val="none" w:sz="0" w:space="0" w:color="auto"/>
        <w:bottom w:val="none" w:sz="0" w:space="0" w:color="auto"/>
        <w:right w:val="none" w:sz="0" w:space="0" w:color="auto"/>
      </w:divBdr>
      <w:divsChild>
        <w:div w:id="1549879295">
          <w:marLeft w:val="0"/>
          <w:marRight w:val="0"/>
          <w:marTop w:val="0"/>
          <w:marBottom w:val="0"/>
          <w:divBdr>
            <w:top w:val="none" w:sz="0" w:space="0" w:color="auto"/>
            <w:left w:val="none" w:sz="0" w:space="0" w:color="auto"/>
            <w:bottom w:val="none" w:sz="0" w:space="0" w:color="auto"/>
            <w:right w:val="none" w:sz="0" w:space="0" w:color="auto"/>
          </w:divBdr>
          <w:divsChild>
            <w:div w:id="1966346243">
              <w:marLeft w:val="0"/>
              <w:marRight w:val="0"/>
              <w:marTop w:val="0"/>
              <w:marBottom w:val="0"/>
              <w:divBdr>
                <w:top w:val="none" w:sz="0" w:space="0" w:color="auto"/>
                <w:left w:val="none" w:sz="0" w:space="0" w:color="auto"/>
                <w:bottom w:val="none" w:sz="0" w:space="0" w:color="auto"/>
                <w:right w:val="none" w:sz="0" w:space="0" w:color="auto"/>
              </w:divBdr>
              <w:divsChild>
                <w:div w:id="533923637">
                  <w:marLeft w:val="0"/>
                  <w:marRight w:val="0"/>
                  <w:marTop w:val="0"/>
                  <w:marBottom w:val="0"/>
                  <w:divBdr>
                    <w:top w:val="none" w:sz="0" w:space="0" w:color="auto"/>
                    <w:left w:val="none" w:sz="0" w:space="0" w:color="auto"/>
                    <w:bottom w:val="none" w:sz="0" w:space="0" w:color="auto"/>
                    <w:right w:val="none" w:sz="0" w:space="0" w:color="auto"/>
                  </w:divBdr>
                  <w:divsChild>
                    <w:div w:id="902985417">
                      <w:marLeft w:val="0"/>
                      <w:marRight w:val="0"/>
                      <w:marTop w:val="0"/>
                      <w:marBottom w:val="0"/>
                      <w:divBdr>
                        <w:top w:val="none" w:sz="0" w:space="0" w:color="auto"/>
                        <w:left w:val="none" w:sz="0" w:space="0" w:color="auto"/>
                        <w:bottom w:val="none" w:sz="0" w:space="0" w:color="auto"/>
                        <w:right w:val="none" w:sz="0" w:space="0" w:color="auto"/>
                      </w:divBdr>
                    </w:div>
                    <w:div w:id="7978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food/fvo/audit_reports/details.cfm?rep_id=21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N/ALL/?uri=CELEX:32013D0287" TargetMode="External"/><Relationship Id="rId5" Type="http://schemas.openxmlformats.org/officeDocument/2006/relationships/settings" Target="settings.xml"/><Relationship Id="rId10" Type="http://schemas.openxmlformats.org/officeDocument/2006/relationships/hyperlink" Target="http://eur-lex.europa.eu/legal-content/EN/ALL/?uri=CELEX:32011D0884" TargetMode="External"/><Relationship Id="rId4" Type="http://schemas.microsoft.com/office/2007/relationships/stylesWithEffects" Target="stylesWithEffects.xml"/><Relationship Id="rId9" Type="http://schemas.openxmlformats.org/officeDocument/2006/relationships/hyperlink" Target="http://ec.europa.eu/food/safety/rasff/index_en.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F5476-3E7F-4FB7-800B-9B97D466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CIABATTI Ilaria (SANCO)</dc:creator>
  <cp:lastModifiedBy>SOLTYK Robert (SANCO)</cp:lastModifiedBy>
  <cp:revision>2</cp:revision>
  <dcterms:created xsi:type="dcterms:W3CDTF">2015-08-31T14:11:00Z</dcterms:created>
  <dcterms:modified xsi:type="dcterms:W3CDTF">2015-08-31T14:11:00Z</dcterms:modified>
</cp:coreProperties>
</file>