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00" w:rsidRDefault="00080500" w:rsidP="006E5397">
      <w:pPr>
        <w:jc w:val="both"/>
        <w:rPr>
          <w:rFonts w:cs="Helvetica"/>
          <w:b/>
          <w:color w:val="333333"/>
          <w:sz w:val="24"/>
          <w:szCs w:val="24"/>
        </w:rPr>
      </w:pPr>
      <w:r>
        <w:rPr>
          <w:rFonts w:cs="Helvetica"/>
          <w:b/>
          <w:color w:val="333333"/>
          <w:sz w:val="24"/>
          <w:szCs w:val="24"/>
        </w:rPr>
        <w:t xml:space="preserve">Notification </w:t>
      </w:r>
      <w:r w:rsidRPr="00EB0FC9">
        <w:rPr>
          <w:rFonts w:cs="Helvetica"/>
          <w:b/>
          <w:color w:val="333333"/>
          <w:sz w:val="24"/>
          <w:szCs w:val="24"/>
        </w:rPr>
        <w:t>SCBD/BS/MPM/DA/84222 (2015-002)</w:t>
      </w:r>
      <w:r>
        <w:rPr>
          <w:rFonts w:cs="Helvetica"/>
          <w:b/>
          <w:color w:val="333333"/>
          <w:sz w:val="24"/>
          <w:szCs w:val="24"/>
        </w:rPr>
        <w:t xml:space="preserve"> </w:t>
      </w:r>
      <w:r w:rsidRPr="00EB0FC9">
        <w:rPr>
          <w:rFonts w:cs="Helvetica"/>
          <w:b/>
          <w:color w:val="333333"/>
          <w:sz w:val="24"/>
          <w:szCs w:val="24"/>
        </w:rPr>
        <w:t xml:space="preserve">Submission of information requested in decision on unintentional </w:t>
      </w:r>
      <w:proofErr w:type="spellStart"/>
      <w:r w:rsidRPr="00EB0FC9">
        <w:rPr>
          <w:rFonts w:cs="Helvetica"/>
          <w:b/>
          <w:color w:val="333333"/>
          <w:sz w:val="24"/>
          <w:szCs w:val="24"/>
        </w:rPr>
        <w:t>transboundary</w:t>
      </w:r>
      <w:proofErr w:type="spellEnd"/>
      <w:r w:rsidRPr="00EB0FC9">
        <w:rPr>
          <w:rFonts w:cs="Helvetica"/>
          <w:b/>
          <w:color w:val="333333"/>
          <w:sz w:val="24"/>
          <w:szCs w:val="24"/>
        </w:rPr>
        <w:t xml:space="preserve"> movements an</w:t>
      </w:r>
      <w:r>
        <w:rPr>
          <w:rFonts w:cs="Helvetica"/>
          <w:b/>
          <w:color w:val="333333"/>
          <w:sz w:val="24"/>
          <w:szCs w:val="24"/>
        </w:rPr>
        <w:t>d emergency measures</w:t>
      </w:r>
    </w:p>
    <w:p w:rsidR="004A6889" w:rsidRPr="003228EC" w:rsidRDefault="00080500" w:rsidP="006E5397">
      <w:pPr>
        <w:jc w:val="both"/>
        <w:rPr>
          <w:rFonts w:cs="Helvetica"/>
          <w:b/>
          <w:color w:val="333333"/>
          <w:sz w:val="24"/>
          <w:szCs w:val="24"/>
        </w:rPr>
      </w:pPr>
      <w:r>
        <w:rPr>
          <w:rFonts w:cs="Helvetica"/>
          <w:b/>
          <w:color w:val="333333"/>
          <w:sz w:val="24"/>
          <w:szCs w:val="24"/>
        </w:rPr>
        <w:t xml:space="preserve">Par. (b) </w:t>
      </w:r>
      <w:r w:rsidR="004A6889" w:rsidRPr="003228EC">
        <w:rPr>
          <w:rFonts w:cs="Helvetica"/>
          <w:b/>
          <w:color w:val="333333"/>
          <w:sz w:val="24"/>
          <w:szCs w:val="24"/>
        </w:rPr>
        <w:t xml:space="preserve">Submission of views from the EU and its Member States on what constitutes unintentional </w:t>
      </w:r>
      <w:proofErr w:type="spellStart"/>
      <w:r w:rsidR="004A6889" w:rsidRPr="003228EC">
        <w:rPr>
          <w:rFonts w:cs="Helvetica"/>
          <w:b/>
          <w:color w:val="333333"/>
          <w:sz w:val="24"/>
          <w:szCs w:val="24"/>
        </w:rPr>
        <w:t>transboundary</w:t>
      </w:r>
      <w:proofErr w:type="spellEnd"/>
      <w:r w:rsidR="004A6889" w:rsidRPr="003228EC">
        <w:rPr>
          <w:rFonts w:cs="Helvetica"/>
          <w:b/>
          <w:color w:val="333333"/>
          <w:sz w:val="24"/>
          <w:szCs w:val="24"/>
        </w:rPr>
        <w:t xml:space="preserve"> movements in contrast with illegal </w:t>
      </w:r>
      <w:proofErr w:type="spellStart"/>
      <w:r w:rsidR="004A6889" w:rsidRPr="003228EC">
        <w:rPr>
          <w:rFonts w:cs="Helvetica"/>
          <w:b/>
          <w:color w:val="333333"/>
          <w:sz w:val="24"/>
          <w:szCs w:val="24"/>
        </w:rPr>
        <w:t>transboundary</w:t>
      </w:r>
      <w:proofErr w:type="spellEnd"/>
      <w:r w:rsidR="004A6889" w:rsidRPr="003228EC">
        <w:rPr>
          <w:rFonts w:cs="Helvetica"/>
          <w:b/>
          <w:color w:val="333333"/>
          <w:sz w:val="24"/>
          <w:szCs w:val="24"/>
        </w:rPr>
        <w:t xml:space="preserve"> movements and what type of information should be exchanged through the Biosafety Clearing-House</w:t>
      </w:r>
      <w:r w:rsidR="00906EF5">
        <w:rPr>
          <w:rFonts w:cs="Helvetica"/>
          <w:b/>
          <w:color w:val="333333"/>
          <w:sz w:val="24"/>
          <w:szCs w:val="24"/>
        </w:rPr>
        <w:pict>
          <v:rect id="_x0000_i1025" style="width:0;height:1.5pt" o:hralign="center" o:hrstd="t" o:hr="t" fillcolor="#a0a0a0" stroked="f"/>
        </w:pict>
      </w:r>
    </w:p>
    <w:p w:rsidR="004A6889" w:rsidRPr="003228EC" w:rsidRDefault="003228EC" w:rsidP="00AD735F">
      <w:pPr>
        <w:pStyle w:val="ListParagraph"/>
        <w:numPr>
          <w:ilvl w:val="0"/>
          <w:numId w:val="1"/>
        </w:numPr>
        <w:jc w:val="both"/>
        <w:rPr>
          <w:rFonts w:cs="Helvetica"/>
          <w:b/>
          <w:color w:val="333333"/>
        </w:rPr>
      </w:pPr>
      <w:r w:rsidRPr="003228EC">
        <w:rPr>
          <w:rFonts w:cs="Helvetica"/>
          <w:b/>
          <w:color w:val="333333"/>
        </w:rPr>
        <w:t xml:space="preserve">Relevant sections </w:t>
      </w:r>
      <w:r w:rsidR="000F36C4">
        <w:rPr>
          <w:rFonts w:cs="Helvetica"/>
          <w:b/>
          <w:color w:val="333333"/>
        </w:rPr>
        <w:t xml:space="preserve">on unintentional </w:t>
      </w:r>
      <w:proofErr w:type="spellStart"/>
      <w:r w:rsidR="000F36C4">
        <w:rPr>
          <w:rFonts w:cs="Helvetica"/>
          <w:b/>
          <w:color w:val="333333"/>
        </w:rPr>
        <w:t>transboundary</w:t>
      </w:r>
      <w:proofErr w:type="spellEnd"/>
      <w:r w:rsidR="000F36C4">
        <w:rPr>
          <w:rFonts w:cs="Helvetica"/>
          <w:b/>
          <w:color w:val="333333"/>
        </w:rPr>
        <w:t xml:space="preserve"> movements (UTM) </w:t>
      </w:r>
      <w:r w:rsidR="0077652E">
        <w:rPr>
          <w:rFonts w:cs="Helvetica"/>
          <w:b/>
          <w:color w:val="333333"/>
        </w:rPr>
        <w:t>in the Cartagena Protocol</w:t>
      </w:r>
    </w:p>
    <w:p w:rsidR="004A6889" w:rsidRPr="00642A67" w:rsidRDefault="003228EC" w:rsidP="00642A67">
      <w:pPr>
        <w:pStyle w:val="ListParagraph"/>
        <w:numPr>
          <w:ilvl w:val="0"/>
          <w:numId w:val="16"/>
        </w:numPr>
        <w:jc w:val="both"/>
        <w:rPr>
          <w:rFonts w:cs="Helvetica"/>
          <w:color w:val="333333"/>
        </w:rPr>
      </w:pPr>
      <w:r w:rsidRPr="00642A67">
        <w:rPr>
          <w:rFonts w:cs="Helvetica"/>
          <w:color w:val="333333"/>
        </w:rPr>
        <w:t xml:space="preserve">Article 16 - Risk management, par. 3: </w:t>
      </w:r>
      <w:r w:rsidR="00523400" w:rsidRPr="00642A67">
        <w:rPr>
          <w:rFonts w:cs="Helvetica"/>
          <w:color w:val="333333"/>
        </w:rPr>
        <w:t>dealing with</w:t>
      </w:r>
      <w:r w:rsidRPr="00642A67">
        <w:rPr>
          <w:rFonts w:cs="Helvetica"/>
          <w:color w:val="333333"/>
        </w:rPr>
        <w:t xml:space="preserve"> </w:t>
      </w:r>
      <w:r w:rsidRPr="00642A67">
        <w:rPr>
          <w:rFonts w:cs="Helvetica"/>
          <w:color w:val="333333"/>
          <w:u w:val="single"/>
        </w:rPr>
        <w:t>measures</w:t>
      </w:r>
      <w:r w:rsidRPr="00642A67">
        <w:rPr>
          <w:rFonts w:cs="Helvetica"/>
          <w:color w:val="333333"/>
        </w:rPr>
        <w:t xml:space="preserve"> </w:t>
      </w:r>
      <w:r w:rsidR="00523400" w:rsidRPr="00642A67">
        <w:rPr>
          <w:rFonts w:cs="Helvetica"/>
          <w:color w:val="333333"/>
        </w:rPr>
        <w:t xml:space="preserve">to be adopted by Parties </w:t>
      </w:r>
      <w:r w:rsidRPr="00642A67">
        <w:rPr>
          <w:rFonts w:cs="Helvetica"/>
          <w:color w:val="333333"/>
        </w:rPr>
        <w:t xml:space="preserve">to </w:t>
      </w:r>
      <w:r w:rsidRPr="00642A67">
        <w:rPr>
          <w:rFonts w:cs="Helvetica"/>
          <w:color w:val="333333"/>
          <w:u w:val="single"/>
        </w:rPr>
        <w:t xml:space="preserve">prevent </w:t>
      </w:r>
      <w:r w:rsidR="00523400" w:rsidRPr="00642A67">
        <w:rPr>
          <w:rFonts w:cs="Helvetica"/>
          <w:color w:val="333333"/>
          <w:u w:val="single"/>
        </w:rPr>
        <w:t>UTMs</w:t>
      </w:r>
      <w:r w:rsidRPr="00642A67">
        <w:rPr>
          <w:rFonts w:cs="Helvetica"/>
          <w:color w:val="333333"/>
        </w:rPr>
        <w:t xml:space="preserve"> of </w:t>
      </w:r>
      <w:r w:rsidR="00523400" w:rsidRPr="00642A67">
        <w:rPr>
          <w:rFonts w:cs="Helvetica"/>
          <w:color w:val="333333"/>
        </w:rPr>
        <w:t>LMOs</w:t>
      </w:r>
      <w:r w:rsidRPr="00642A67">
        <w:rPr>
          <w:rFonts w:cs="Helvetica"/>
          <w:color w:val="333333"/>
        </w:rPr>
        <w:t xml:space="preserve">, including such measures as requiring a risk assessment to be carried out prior to the first release of a </w:t>
      </w:r>
      <w:r w:rsidR="00523400" w:rsidRPr="00642A67">
        <w:rPr>
          <w:rFonts w:cs="Helvetica"/>
          <w:color w:val="333333"/>
        </w:rPr>
        <w:t>LMO</w:t>
      </w:r>
      <w:r w:rsidRPr="00642A67">
        <w:rPr>
          <w:rFonts w:cs="Helvetica"/>
          <w:color w:val="333333"/>
        </w:rPr>
        <w:t>.</w:t>
      </w:r>
    </w:p>
    <w:p w:rsidR="00D23CBF" w:rsidRPr="00642A67" w:rsidRDefault="00D23CBF" w:rsidP="00642A67">
      <w:pPr>
        <w:pStyle w:val="ListParagraph"/>
        <w:numPr>
          <w:ilvl w:val="0"/>
          <w:numId w:val="16"/>
        </w:numPr>
        <w:jc w:val="both"/>
        <w:rPr>
          <w:rFonts w:cs="Helvetica"/>
          <w:color w:val="333333"/>
        </w:rPr>
      </w:pPr>
      <w:r w:rsidRPr="00642A67">
        <w:rPr>
          <w:rFonts w:cs="Helvetica"/>
          <w:color w:val="333333"/>
        </w:rPr>
        <w:t xml:space="preserve">Article 17 - Unintentional </w:t>
      </w:r>
      <w:proofErr w:type="spellStart"/>
      <w:r w:rsidRPr="00642A67">
        <w:rPr>
          <w:rFonts w:cs="Helvetica"/>
          <w:color w:val="333333"/>
        </w:rPr>
        <w:t>transboundary</w:t>
      </w:r>
      <w:proofErr w:type="spellEnd"/>
      <w:r w:rsidRPr="00642A67">
        <w:rPr>
          <w:rFonts w:cs="Helvetica"/>
          <w:color w:val="333333"/>
        </w:rPr>
        <w:t xml:space="preserve"> movements and emergency measures: dealing with the obligation of Parties to take appropriate measures to </w:t>
      </w:r>
      <w:r w:rsidRPr="00642A67">
        <w:rPr>
          <w:rFonts w:cs="Helvetica"/>
          <w:color w:val="333333"/>
          <w:u w:val="single"/>
        </w:rPr>
        <w:t>notify</w:t>
      </w:r>
      <w:r w:rsidRPr="00642A67">
        <w:rPr>
          <w:rFonts w:cs="Helvetica"/>
          <w:color w:val="333333"/>
        </w:rPr>
        <w:t xml:space="preserve">, when they know of an occurrence under their jurisdiction resulting in a </w:t>
      </w:r>
      <w:r w:rsidRPr="00642A67">
        <w:rPr>
          <w:rFonts w:cs="Helvetica"/>
          <w:color w:val="333333"/>
          <w:u w:val="single"/>
        </w:rPr>
        <w:t>release</w:t>
      </w:r>
      <w:r w:rsidRPr="00642A67">
        <w:rPr>
          <w:rFonts w:cs="Helvetica"/>
          <w:color w:val="333333"/>
        </w:rPr>
        <w:t xml:space="preserve"> that leads, or may lead, to an </w:t>
      </w:r>
      <w:r w:rsidR="00884A46" w:rsidRPr="00642A67">
        <w:rPr>
          <w:rFonts w:cs="Helvetica"/>
          <w:color w:val="333333"/>
        </w:rPr>
        <w:t>UTM</w:t>
      </w:r>
      <w:r w:rsidRPr="00642A67">
        <w:rPr>
          <w:rFonts w:cs="Helvetica"/>
          <w:color w:val="333333"/>
        </w:rPr>
        <w:t xml:space="preserve"> of a </w:t>
      </w:r>
      <w:r w:rsidR="00884A46" w:rsidRPr="00642A67">
        <w:rPr>
          <w:rFonts w:cs="Helvetica"/>
          <w:color w:val="333333"/>
        </w:rPr>
        <w:t xml:space="preserve">LMO </w:t>
      </w:r>
      <w:r w:rsidRPr="00642A67">
        <w:rPr>
          <w:rFonts w:cs="Helvetica"/>
          <w:color w:val="333333"/>
        </w:rPr>
        <w:t>that is likely to have significant adverse effects on the conservation and sustainable use of biological diversity, taking also into account risks to human health.</w:t>
      </w:r>
    </w:p>
    <w:p w:rsidR="000F36C4" w:rsidRPr="000F36C4" w:rsidRDefault="000F36C4" w:rsidP="00AD735F">
      <w:pPr>
        <w:autoSpaceDE w:val="0"/>
        <w:autoSpaceDN w:val="0"/>
        <w:adjustRightInd w:val="0"/>
        <w:spacing w:after="0" w:line="240" w:lineRule="auto"/>
        <w:jc w:val="both"/>
        <w:rPr>
          <w:rFonts w:cs="Helvetica"/>
          <w:color w:val="333333"/>
        </w:rPr>
      </w:pPr>
    </w:p>
    <w:p w:rsidR="000F36C4" w:rsidRPr="003228EC" w:rsidRDefault="000F36C4" w:rsidP="00AD735F">
      <w:pPr>
        <w:pStyle w:val="ListParagraph"/>
        <w:numPr>
          <w:ilvl w:val="0"/>
          <w:numId w:val="1"/>
        </w:numPr>
        <w:jc w:val="both"/>
        <w:rPr>
          <w:rFonts w:cs="Helvetica"/>
          <w:b/>
          <w:color w:val="333333"/>
        </w:rPr>
      </w:pPr>
      <w:r w:rsidRPr="003228EC">
        <w:rPr>
          <w:rFonts w:cs="Helvetica"/>
          <w:b/>
          <w:color w:val="333333"/>
        </w:rPr>
        <w:t xml:space="preserve">Relevant sections </w:t>
      </w:r>
      <w:r>
        <w:rPr>
          <w:rFonts w:cs="Helvetica"/>
          <w:b/>
          <w:color w:val="333333"/>
        </w:rPr>
        <w:t xml:space="preserve">on illegal </w:t>
      </w:r>
      <w:proofErr w:type="spellStart"/>
      <w:r>
        <w:rPr>
          <w:rFonts w:cs="Helvetica"/>
          <w:b/>
          <w:color w:val="333333"/>
        </w:rPr>
        <w:t>transboundary</w:t>
      </w:r>
      <w:proofErr w:type="spellEnd"/>
      <w:r>
        <w:rPr>
          <w:rFonts w:cs="Helvetica"/>
          <w:b/>
          <w:color w:val="333333"/>
        </w:rPr>
        <w:t xml:space="preserve"> movements (ITM) </w:t>
      </w:r>
      <w:r w:rsidRPr="003228EC">
        <w:rPr>
          <w:rFonts w:cs="Helvetica"/>
          <w:b/>
          <w:color w:val="333333"/>
        </w:rPr>
        <w:t>in the Cartagena Protocol</w:t>
      </w:r>
    </w:p>
    <w:p w:rsidR="000F36C4" w:rsidRPr="000F36C4" w:rsidRDefault="000F36C4" w:rsidP="00642A67">
      <w:pPr>
        <w:pStyle w:val="ListParagraph"/>
        <w:numPr>
          <w:ilvl w:val="0"/>
          <w:numId w:val="16"/>
        </w:numPr>
        <w:jc w:val="both"/>
        <w:rPr>
          <w:rFonts w:cs="Helvetica"/>
          <w:color w:val="333333"/>
        </w:rPr>
      </w:pPr>
      <w:r w:rsidRPr="000F36C4">
        <w:rPr>
          <w:rFonts w:cs="Helvetica"/>
          <w:color w:val="333333"/>
        </w:rPr>
        <w:t xml:space="preserve">Article 25 </w:t>
      </w:r>
      <w:r>
        <w:rPr>
          <w:rFonts w:cs="Helvetica"/>
          <w:color w:val="333333"/>
        </w:rPr>
        <w:t>–</w:t>
      </w:r>
      <w:r w:rsidRPr="000F36C4">
        <w:rPr>
          <w:rFonts w:cs="Helvetica"/>
          <w:color w:val="333333"/>
        </w:rPr>
        <w:t xml:space="preserve"> </w:t>
      </w:r>
      <w:r>
        <w:rPr>
          <w:rFonts w:cs="Helvetica"/>
          <w:color w:val="333333"/>
        </w:rPr>
        <w:t xml:space="preserve">Illegal </w:t>
      </w:r>
      <w:proofErr w:type="spellStart"/>
      <w:r>
        <w:rPr>
          <w:rFonts w:cs="Helvetica"/>
          <w:color w:val="333333"/>
        </w:rPr>
        <w:t>transboundary</w:t>
      </w:r>
      <w:proofErr w:type="spellEnd"/>
      <w:r>
        <w:rPr>
          <w:rFonts w:cs="Helvetica"/>
          <w:color w:val="333333"/>
        </w:rPr>
        <w:t xml:space="preserve"> movements: dealing with the obligation of Parties </w:t>
      </w:r>
      <w:r w:rsidR="006D20E5">
        <w:rPr>
          <w:rFonts w:cs="Helvetica"/>
          <w:color w:val="333333"/>
        </w:rPr>
        <w:t xml:space="preserve">to </w:t>
      </w:r>
      <w:r w:rsidRPr="000F36C4">
        <w:rPr>
          <w:rFonts w:cs="Helvetica"/>
          <w:color w:val="333333"/>
        </w:rPr>
        <w:t xml:space="preserve">adopt appropriate </w:t>
      </w:r>
      <w:r w:rsidRPr="00642A67">
        <w:rPr>
          <w:rFonts w:cs="Helvetica"/>
          <w:color w:val="333333"/>
          <w:u w:val="single"/>
        </w:rPr>
        <w:t>measures</w:t>
      </w:r>
      <w:r w:rsidRPr="000F36C4">
        <w:rPr>
          <w:rFonts w:cs="Helvetica"/>
          <w:color w:val="333333"/>
        </w:rPr>
        <w:t xml:space="preserve"> aimed at </w:t>
      </w:r>
      <w:r w:rsidRPr="00642A67">
        <w:rPr>
          <w:rFonts w:cs="Helvetica"/>
          <w:color w:val="333333"/>
          <w:u w:val="single"/>
        </w:rPr>
        <w:t>preventing</w:t>
      </w:r>
      <w:r w:rsidR="00C039E8">
        <w:rPr>
          <w:rFonts w:cs="Helvetica"/>
          <w:color w:val="333333"/>
        </w:rPr>
        <w:t xml:space="preserve">, </w:t>
      </w:r>
      <w:r w:rsidR="00C039E8" w:rsidRPr="00642A67">
        <w:rPr>
          <w:rFonts w:cs="Helvetica"/>
          <w:color w:val="333333"/>
          <w:u w:val="single"/>
        </w:rPr>
        <w:t>notifying</w:t>
      </w:r>
      <w:r w:rsidR="00C039E8">
        <w:rPr>
          <w:rFonts w:cs="Helvetica"/>
          <w:color w:val="333333"/>
        </w:rPr>
        <w:t xml:space="preserve"> </w:t>
      </w:r>
      <w:r w:rsidRPr="000F36C4">
        <w:rPr>
          <w:rFonts w:cs="Helvetica"/>
          <w:color w:val="333333"/>
        </w:rPr>
        <w:t xml:space="preserve">and, if appropriate, </w:t>
      </w:r>
      <w:r w:rsidRPr="00642A67">
        <w:rPr>
          <w:rFonts w:cs="Helvetica"/>
          <w:color w:val="333333"/>
          <w:u w:val="single"/>
        </w:rPr>
        <w:t>penalizing</w:t>
      </w:r>
      <w:r w:rsidRPr="000F36C4">
        <w:rPr>
          <w:rFonts w:cs="Helvetica"/>
          <w:color w:val="333333"/>
        </w:rPr>
        <w:t xml:space="preserve"> </w:t>
      </w:r>
      <w:proofErr w:type="spellStart"/>
      <w:r w:rsidRPr="000F36C4">
        <w:rPr>
          <w:rFonts w:cs="Helvetica"/>
          <w:color w:val="333333"/>
        </w:rPr>
        <w:t>transboundary</w:t>
      </w:r>
      <w:proofErr w:type="spellEnd"/>
      <w:r w:rsidRPr="000F36C4">
        <w:rPr>
          <w:rFonts w:cs="Helvetica"/>
          <w:color w:val="333333"/>
        </w:rPr>
        <w:t xml:space="preserve"> movements of </w:t>
      </w:r>
      <w:r w:rsidR="00884A46">
        <w:rPr>
          <w:rFonts w:cs="Helvetica"/>
          <w:color w:val="333333"/>
        </w:rPr>
        <w:t>LMO</w:t>
      </w:r>
      <w:r w:rsidRPr="000F36C4">
        <w:rPr>
          <w:rFonts w:cs="Helvetica"/>
          <w:color w:val="333333"/>
        </w:rPr>
        <w:t xml:space="preserve"> carried out </w:t>
      </w:r>
      <w:r w:rsidRPr="0077652E">
        <w:rPr>
          <w:rFonts w:cs="Helvetica"/>
          <w:color w:val="333333"/>
        </w:rPr>
        <w:t xml:space="preserve">in contravention of </w:t>
      </w:r>
      <w:r w:rsidR="006D20E5" w:rsidRPr="0077652E">
        <w:rPr>
          <w:rFonts w:cs="Helvetica"/>
          <w:color w:val="333333"/>
        </w:rPr>
        <w:t>their</w:t>
      </w:r>
      <w:r w:rsidRPr="0077652E">
        <w:rPr>
          <w:rFonts w:cs="Helvetica"/>
          <w:color w:val="333333"/>
        </w:rPr>
        <w:t xml:space="preserve"> domestic measures to implement </w:t>
      </w:r>
      <w:r w:rsidR="006D20E5" w:rsidRPr="0077652E">
        <w:rPr>
          <w:rFonts w:cs="Helvetica"/>
          <w:color w:val="333333"/>
        </w:rPr>
        <w:t>this Protocol</w:t>
      </w:r>
      <w:r w:rsidR="006D20E5">
        <w:rPr>
          <w:rFonts w:cs="Helvetica"/>
          <w:color w:val="333333"/>
        </w:rPr>
        <w:t>.</w:t>
      </w:r>
    </w:p>
    <w:p w:rsidR="004A6889" w:rsidRDefault="004A6889" w:rsidP="00AD735F">
      <w:pPr>
        <w:jc w:val="both"/>
        <w:rPr>
          <w:rFonts w:cs="Helvetica"/>
          <w:b/>
          <w:color w:val="333333"/>
        </w:rPr>
      </w:pPr>
    </w:p>
    <w:p w:rsidR="00E44255" w:rsidRPr="00EB1005" w:rsidRDefault="00EB1005" w:rsidP="00EB1005">
      <w:pPr>
        <w:pStyle w:val="ListParagraph"/>
        <w:numPr>
          <w:ilvl w:val="0"/>
          <w:numId w:val="1"/>
        </w:numPr>
        <w:rPr>
          <w:rFonts w:cs="Helvetica"/>
          <w:b/>
          <w:color w:val="333333"/>
        </w:rPr>
      </w:pPr>
      <w:r w:rsidRPr="00EB1005">
        <w:rPr>
          <w:rFonts w:cs="Helvetica"/>
          <w:b/>
          <w:color w:val="333333"/>
        </w:rPr>
        <w:t>Views on what constitutes</w:t>
      </w:r>
      <w:r w:rsidR="00E44255" w:rsidRPr="00EB1005">
        <w:rPr>
          <w:rFonts w:cs="Helvetica"/>
          <w:b/>
          <w:color w:val="333333"/>
        </w:rPr>
        <w:t xml:space="preserve"> Unintentional </w:t>
      </w:r>
      <w:proofErr w:type="spellStart"/>
      <w:r w:rsidR="00E44255" w:rsidRPr="00EB1005">
        <w:rPr>
          <w:rFonts w:cs="Helvetica"/>
          <w:b/>
          <w:color w:val="333333"/>
        </w:rPr>
        <w:t>Transboundary</w:t>
      </w:r>
      <w:proofErr w:type="spellEnd"/>
      <w:r w:rsidR="00E44255" w:rsidRPr="00EB1005">
        <w:rPr>
          <w:rFonts w:cs="Helvetica"/>
          <w:b/>
          <w:color w:val="333333"/>
        </w:rPr>
        <w:t xml:space="preserve"> Movement</w:t>
      </w:r>
      <w:r>
        <w:rPr>
          <w:rFonts w:cs="Helvetica"/>
          <w:b/>
          <w:color w:val="333333"/>
        </w:rPr>
        <w:t>s</w:t>
      </w:r>
    </w:p>
    <w:p w:rsidR="006C7CDF" w:rsidRPr="006C7CDF" w:rsidRDefault="006C7CDF" w:rsidP="006C7CDF">
      <w:pPr>
        <w:jc w:val="both"/>
        <w:rPr>
          <w:rFonts w:cs="Helvetica"/>
          <w:color w:val="333333"/>
        </w:rPr>
      </w:pPr>
      <w:r w:rsidRPr="006C7CDF">
        <w:rPr>
          <w:rFonts w:cs="Helvetica"/>
          <w:color w:val="333333"/>
        </w:rPr>
        <w:t xml:space="preserve">No definition </w:t>
      </w:r>
      <w:r w:rsidR="00EB1005">
        <w:rPr>
          <w:rFonts w:cs="Helvetica"/>
          <w:color w:val="333333"/>
        </w:rPr>
        <w:t>of</w:t>
      </w:r>
      <w:r w:rsidR="00EB1005" w:rsidRPr="006C7CDF">
        <w:rPr>
          <w:rFonts w:cs="Helvetica"/>
          <w:color w:val="333333"/>
        </w:rPr>
        <w:t xml:space="preserve"> UTMs </w:t>
      </w:r>
      <w:r w:rsidRPr="006C7CDF">
        <w:rPr>
          <w:rFonts w:cs="Helvetica"/>
          <w:color w:val="333333"/>
        </w:rPr>
        <w:t xml:space="preserve">is given in the Cartagena Protocol, whereas ITMs are defined as </w:t>
      </w:r>
      <w:proofErr w:type="spellStart"/>
      <w:r w:rsidRPr="006C7CDF">
        <w:rPr>
          <w:rFonts w:cs="Helvetica"/>
          <w:color w:val="333333"/>
        </w:rPr>
        <w:t>transboundary</w:t>
      </w:r>
      <w:proofErr w:type="spellEnd"/>
      <w:r w:rsidRPr="006C7CDF">
        <w:rPr>
          <w:rFonts w:cs="Helvetica"/>
          <w:color w:val="333333"/>
        </w:rPr>
        <w:t xml:space="preserve"> movements of living modified organisms carried out in contravention of domestic measures of Parties to implement the Protocol.</w:t>
      </w:r>
    </w:p>
    <w:p w:rsidR="001E77E6" w:rsidRDefault="001E77E6" w:rsidP="00AF4006">
      <w:pPr>
        <w:jc w:val="both"/>
      </w:pPr>
      <w:r>
        <w:t>Article 16, par. 3 is setting the obligations for Parties to put in place preventive measures to limit the possibility that UTMs occur</w:t>
      </w:r>
      <w:r w:rsidR="000D0421">
        <w:t xml:space="preserve"> (e.g. by adopting and enforcing legal provisions on the authorisation, the traceability and the labelling of LMOs, as in the EU). </w:t>
      </w:r>
      <w:r w:rsidR="007A318F">
        <w:t>T</w:t>
      </w:r>
      <w:r w:rsidR="00496282">
        <w:t xml:space="preserve">he focus of this paragraph is on the measures adopted by Parties to avoid </w:t>
      </w:r>
      <w:r w:rsidR="009F68AA">
        <w:t>the accidental occurrence of</w:t>
      </w:r>
      <w:r w:rsidR="00496282">
        <w:t xml:space="preserve"> </w:t>
      </w:r>
      <w:proofErr w:type="spellStart"/>
      <w:r w:rsidR="00496282">
        <w:t>transboundary</w:t>
      </w:r>
      <w:proofErr w:type="spellEnd"/>
      <w:r w:rsidR="00496282">
        <w:t xml:space="preserve"> movements rather than on the UTMs themselves.</w:t>
      </w:r>
    </w:p>
    <w:p w:rsidR="004F79AC" w:rsidRPr="00960060" w:rsidRDefault="002A0361" w:rsidP="00A00DE5">
      <w:pPr>
        <w:jc w:val="both"/>
      </w:pPr>
      <w:r w:rsidRPr="00960060">
        <w:t xml:space="preserve">Article 17 </w:t>
      </w:r>
      <w:r w:rsidR="009F68AA">
        <w:t>deals with issues related to cross-bou</w:t>
      </w:r>
      <w:r w:rsidR="002B5C76">
        <w:t>n</w:t>
      </w:r>
      <w:r w:rsidR="009F68AA">
        <w:t>dary co</w:t>
      </w:r>
      <w:r w:rsidR="002B5C76">
        <w:t>-</w:t>
      </w:r>
      <w:r w:rsidR="009F68AA">
        <w:t xml:space="preserve">operation in the event of </w:t>
      </w:r>
      <w:r w:rsidR="006414CC">
        <w:t>a release that lead</w:t>
      </w:r>
      <w:r w:rsidR="00A829EA">
        <w:t>s</w:t>
      </w:r>
      <w:r w:rsidR="006414CC">
        <w:t xml:space="preserve"> or may lead to </w:t>
      </w:r>
      <w:r w:rsidR="009F68AA">
        <w:t xml:space="preserve">an UTM. It contains a series of obligations primarily addressing </w:t>
      </w:r>
      <w:r w:rsidR="00C75ED7">
        <w:t>the requirement</w:t>
      </w:r>
      <w:r w:rsidR="009F68AA">
        <w:t xml:space="preserve"> to notify</w:t>
      </w:r>
      <w:r w:rsidRPr="00960060">
        <w:t xml:space="preserve"> </w:t>
      </w:r>
      <w:r w:rsidR="00585B7D">
        <w:t>an</w:t>
      </w:r>
      <w:r w:rsidR="00585B7D" w:rsidRPr="00960060">
        <w:t xml:space="preserve"> </w:t>
      </w:r>
      <w:r w:rsidRPr="00960060">
        <w:t xml:space="preserve">occurrence </w:t>
      </w:r>
      <w:r w:rsidR="00585B7D">
        <w:t>resulting in</w:t>
      </w:r>
      <w:r w:rsidR="00585B7D" w:rsidRPr="00960060">
        <w:t xml:space="preserve"> </w:t>
      </w:r>
      <w:r w:rsidRPr="00960060">
        <w:t>a release</w:t>
      </w:r>
      <w:r w:rsidR="00DB4914" w:rsidRPr="00DB4914">
        <w:t xml:space="preserve"> when:</w:t>
      </w:r>
      <w:r w:rsidR="006803D3">
        <w:t xml:space="preserve"> 1) </w:t>
      </w:r>
      <w:r w:rsidR="009F68AA">
        <w:rPr>
          <w:rFonts w:cs="Helvetica"/>
          <w:color w:val="333333"/>
        </w:rPr>
        <w:t xml:space="preserve">the </w:t>
      </w:r>
      <w:r w:rsidR="00DB4914">
        <w:rPr>
          <w:rFonts w:cs="Helvetica"/>
          <w:color w:val="333333"/>
        </w:rPr>
        <w:t>release leads or may lead to an UTM of an LMO, and</w:t>
      </w:r>
      <w:r w:rsidR="006803D3">
        <w:rPr>
          <w:rFonts w:cs="Helvetica"/>
          <w:color w:val="333333"/>
        </w:rPr>
        <w:t xml:space="preserve"> 2) </w:t>
      </w:r>
      <w:r w:rsidR="00C75ED7">
        <w:rPr>
          <w:rFonts w:cs="Helvetica"/>
          <w:color w:val="333333"/>
        </w:rPr>
        <w:t>t</w:t>
      </w:r>
      <w:r w:rsidR="00DB4914">
        <w:rPr>
          <w:rFonts w:cs="Helvetica"/>
          <w:color w:val="333333"/>
        </w:rPr>
        <w:t xml:space="preserve">he LMO is likely </w:t>
      </w:r>
      <w:r w:rsidR="00DB4914" w:rsidRPr="00CF528A">
        <w:rPr>
          <w:rFonts w:cs="Helvetica"/>
          <w:color w:val="333333"/>
        </w:rPr>
        <w:t>to have significant adverse effects on the conservation and sustainable use of biological diversity, taking also into account risks to human health</w:t>
      </w:r>
      <w:r w:rsidR="00585B7D">
        <w:rPr>
          <w:rFonts w:cs="Helvetica"/>
          <w:color w:val="333333"/>
        </w:rPr>
        <w:t>, in the affected or potentially affected States</w:t>
      </w:r>
      <w:r w:rsidR="00DB4914">
        <w:rPr>
          <w:rFonts w:cs="Helvetica"/>
          <w:color w:val="333333"/>
        </w:rPr>
        <w:t>.</w:t>
      </w:r>
      <w:r w:rsidR="006803D3">
        <w:rPr>
          <w:rFonts w:cs="Helvetica"/>
          <w:color w:val="333333"/>
        </w:rPr>
        <w:t xml:space="preserve"> </w:t>
      </w:r>
      <w:r w:rsidR="006803D3">
        <w:t>I</w:t>
      </w:r>
      <w:r w:rsidRPr="00960060">
        <w:t xml:space="preserve">n this case, the focus is on the release </w:t>
      </w:r>
      <w:r w:rsidR="00F15C31">
        <w:t>in the originating Party</w:t>
      </w:r>
      <w:r w:rsidR="00F15C31" w:rsidRPr="00960060">
        <w:t xml:space="preserve"> </w:t>
      </w:r>
      <w:r w:rsidRPr="00960060">
        <w:t xml:space="preserve">rather </w:t>
      </w:r>
      <w:r w:rsidRPr="00960060">
        <w:lastRenderedPageBreak/>
        <w:t xml:space="preserve">than on the UTM; the obligation </w:t>
      </w:r>
      <w:r w:rsidR="009F68AA">
        <w:t xml:space="preserve">is </w:t>
      </w:r>
      <w:r w:rsidRPr="00960060">
        <w:t>to notify a release not only when an UTM is ascertained</w:t>
      </w:r>
      <w:r w:rsidR="00A00DE5">
        <w:t xml:space="preserve"> </w:t>
      </w:r>
      <w:r w:rsidRPr="00960060">
        <w:t>("lead"), but even when an UTM is possible ("may lead")</w:t>
      </w:r>
      <w:r w:rsidR="00A00DE5">
        <w:t xml:space="preserve"> </w:t>
      </w:r>
      <w:r w:rsidRPr="00960060">
        <w:t>as a result of that release.</w:t>
      </w:r>
    </w:p>
    <w:p w:rsidR="007A2846" w:rsidRPr="007A2846" w:rsidRDefault="007A2846" w:rsidP="00AF4006">
      <w:pPr>
        <w:jc w:val="both"/>
        <w:rPr>
          <w:rFonts w:cs="Helvetica"/>
          <w:color w:val="333333"/>
        </w:rPr>
      </w:pPr>
      <w:r>
        <w:rPr>
          <w:rFonts w:cs="Helvetica"/>
          <w:color w:val="333333"/>
        </w:rPr>
        <w:t xml:space="preserve">We therefore consider that </w:t>
      </w:r>
      <w:r w:rsidR="00AD735F">
        <w:rPr>
          <w:rFonts w:cs="Helvetica"/>
          <w:color w:val="333333"/>
        </w:rPr>
        <w:t xml:space="preserve">the </w:t>
      </w:r>
      <w:r w:rsidR="008770D6">
        <w:rPr>
          <w:rFonts w:cs="Helvetica"/>
          <w:color w:val="333333"/>
        </w:rPr>
        <w:t>term</w:t>
      </w:r>
      <w:r w:rsidR="00AD735F">
        <w:rPr>
          <w:rFonts w:cs="Helvetica"/>
          <w:color w:val="333333"/>
        </w:rPr>
        <w:t xml:space="preserve"> "unintentional" </w:t>
      </w:r>
      <w:r w:rsidR="008770D6">
        <w:rPr>
          <w:rFonts w:cs="Helvetica"/>
          <w:color w:val="333333"/>
        </w:rPr>
        <w:t xml:space="preserve">has a conceptual relevance, but not an operational relevance: </w:t>
      </w:r>
      <w:r w:rsidR="00E83430">
        <w:rPr>
          <w:rFonts w:cs="Helvetica"/>
          <w:color w:val="333333"/>
        </w:rPr>
        <w:t>P</w:t>
      </w:r>
      <w:r w:rsidR="008770D6">
        <w:rPr>
          <w:rFonts w:cs="Helvetica"/>
          <w:color w:val="333333"/>
        </w:rPr>
        <w:t xml:space="preserve">arties </w:t>
      </w:r>
      <w:r w:rsidR="00E51527">
        <w:rPr>
          <w:rFonts w:cs="Helvetica"/>
          <w:color w:val="333333"/>
        </w:rPr>
        <w:t>do not need</w:t>
      </w:r>
      <w:r>
        <w:rPr>
          <w:rFonts w:cs="Helvetica"/>
          <w:color w:val="333333"/>
        </w:rPr>
        <w:t xml:space="preserve">, within the scope of Article 16, par. 3, and Article 17, to assess whether a </w:t>
      </w:r>
      <w:proofErr w:type="spellStart"/>
      <w:r>
        <w:rPr>
          <w:rFonts w:cs="Helvetica"/>
          <w:color w:val="333333"/>
        </w:rPr>
        <w:t>transboundary</w:t>
      </w:r>
      <w:proofErr w:type="spellEnd"/>
      <w:r>
        <w:rPr>
          <w:rFonts w:cs="Helvetica"/>
          <w:color w:val="333333"/>
        </w:rPr>
        <w:t xml:space="preserve"> movement is unintentional or not. </w:t>
      </w:r>
    </w:p>
    <w:p w:rsidR="00D76AE9" w:rsidRDefault="00D76AE9" w:rsidP="00AD735F">
      <w:pPr>
        <w:jc w:val="both"/>
        <w:rPr>
          <w:rFonts w:cs="Helvetica"/>
          <w:color w:val="333333"/>
        </w:rPr>
      </w:pPr>
      <w:r w:rsidRPr="00E51527">
        <w:rPr>
          <w:rFonts w:cs="Helvetica"/>
          <w:color w:val="333333"/>
        </w:rPr>
        <w:t xml:space="preserve">"Unintentional </w:t>
      </w:r>
      <w:proofErr w:type="spellStart"/>
      <w:r w:rsidRPr="00E51527">
        <w:rPr>
          <w:rFonts w:cs="Helvetica"/>
          <w:color w:val="333333"/>
        </w:rPr>
        <w:t>transboundary</w:t>
      </w:r>
      <w:proofErr w:type="spellEnd"/>
      <w:r w:rsidRPr="00E51527">
        <w:rPr>
          <w:rFonts w:cs="Helvetica"/>
          <w:color w:val="333333"/>
        </w:rPr>
        <w:t xml:space="preserve"> movements" should then</w:t>
      </w:r>
      <w:r w:rsidR="00FE7092" w:rsidRPr="00E51527">
        <w:rPr>
          <w:rFonts w:cs="Helvetica"/>
          <w:color w:val="333333"/>
        </w:rPr>
        <w:t xml:space="preserve"> simply </w:t>
      </w:r>
      <w:r w:rsidRPr="00E51527">
        <w:rPr>
          <w:rFonts w:cs="Helvetica"/>
          <w:color w:val="333333"/>
        </w:rPr>
        <w:t xml:space="preserve">be interpreted as "accidental </w:t>
      </w:r>
      <w:proofErr w:type="spellStart"/>
      <w:r w:rsidRPr="00E51527">
        <w:rPr>
          <w:rFonts w:cs="Helvetica"/>
          <w:color w:val="333333"/>
        </w:rPr>
        <w:t>transboundary</w:t>
      </w:r>
      <w:proofErr w:type="spellEnd"/>
      <w:r w:rsidRPr="00E51527">
        <w:rPr>
          <w:rFonts w:cs="Helvetica"/>
          <w:color w:val="333333"/>
        </w:rPr>
        <w:t xml:space="preserve"> movements"</w:t>
      </w:r>
      <w:proofErr w:type="gramStart"/>
      <w:r w:rsidRPr="00E51527">
        <w:rPr>
          <w:rFonts w:cs="Helvetica"/>
          <w:color w:val="333333"/>
        </w:rPr>
        <w:t>,</w:t>
      </w:r>
      <w:proofErr w:type="spellStart"/>
      <w:r w:rsidR="009F68AA">
        <w:rPr>
          <w:rFonts w:cs="Helvetica"/>
          <w:color w:val="333333"/>
        </w:rPr>
        <w:t>i.e</w:t>
      </w:r>
      <w:proofErr w:type="spellEnd"/>
      <w:proofErr w:type="gramEnd"/>
      <w:r w:rsidR="009F68AA">
        <w:rPr>
          <w:rFonts w:cs="Helvetica"/>
          <w:color w:val="333333"/>
        </w:rPr>
        <w:t>. one that w</w:t>
      </w:r>
      <w:r w:rsidR="006414CC">
        <w:rPr>
          <w:rFonts w:cs="Helvetica"/>
          <w:color w:val="333333"/>
        </w:rPr>
        <w:t>a</w:t>
      </w:r>
      <w:r w:rsidR="009F68AA">
        <w:rPr>
          <w:rFonts w:cs="Helvetica"/>
          <w:color w:val="333333"/>
        </w:rPr>
        <w:t>s not made on purpose as</w:t>
      </w:r>
      <w:r w:rsidRPr="00E51527">
        <w:rPr>
          <w:rFonts w:cs="Helvetica"/>
          <w:color w:val="333333"/>
        </w:rPr>
        <w:t xml:space="preserve"> in contrast with "intentional </w:t>
      </w:r>
      <w:proofErr w:type="spellStart"/>
      <w:r w:rsidRPr="00E51527">
        <w:rPr>
          <w:rFonts w:cs="Helvetica"/>
          <w:color w:val="333333"/>
        </w:rPr>
        <w:t>transboundary</w:t>
      </w:r>
      <w:proofErr w:type="spellEnd"/>
      <w:r w:rsidRPr="00E51527">
        <w:rPr>
          <w:rFonts w:cs="Helvetica"/>
          <w:color w:val="333333"/>
        </w:rPr>
        <w:t xml:space="preserve"> movemen</w:t>
      </w:r>
      <w:r w:rsidR="00FE7092" w:rsidRPr="00E51527">
        <w:rPr>
          <w:rFonts w:cs="Helvetica"/>
          <w:color w:val="333333"/>
        </w:rPr>
        <w:t>ts" which are the object of</w:t>
      </w:r>
      <w:r w:rsidRPr="00E51527">
        <w:rPr>
          <w:rFonts w:cs="Helvetica"/>
          <w:color w:val="333333"/>
        </w:rPr>
        <w:t xml:space="preserve"> </w:t>
      </w:r>
      <w:r w:rsidR="00E83430" w:rsidRPr="00E51527">
        <w:rPr>
          <w:rFonts w:cs="Helvetica"/>
          <w:color w:val="333333"/>
        </w:rPr>
        <w:t xml:space="preserve">other Articles of </w:t>
      </w:r>
      <w:r w:rsidRPr="00E51527">
        <w:rPr>
          <w:rFonts w:cs="Helvetica"/>
          <w:color w:val="333333"/>
        </w:rPr>
        <w:t>the Cartagena Protocol.</w:t>
      </w:r>
      <w:r w:rsidR="001016AD" w:rsidRPr="00E51527">
        <w:rPr>
          <w:rFonts w:cs="Helvetica"/>
          <w:color w:val="333333"/>
        </w:rPr>
        <w:t xml:space="preserve"> </w:t>
      </w:r>
      <w:r w:rsidR="00C75ED7" w:rsidRPr="00E51527">
        <w:rPr>
          <w:rFonts w:cs="Helvetica"/>
          <w:color w:val="333333"/>
        </w:rPr>
        <w:t xml:space="preserve">The key element here is whether the </w:t>
      </w:r>
      <w:proofErr w:type="spellStart"/>
      <w:r w:rsidR="00C75ED7" w:rsidRPr="00E51527">
        <w:rPr>
          <w:rFonts w:cs="Helvetica"/>
          <w:color w:val="333333"/>
        </w:rPr>
        <w:t>transboundary</w:t>
      </w:r>
      <w:proofErr w:type="spellEnd"/>
      <w:r w:rsidR="00C75ED7" w:rsidRPr="00E51527">
        <w:rPr>
          <w:rFonts w:cs="Helvetica"/>
          <w:color w:val="333333"/>
        </w:rPr>
        <w:t xml:space="preserve"> movement is a deliberate one or not.</w:t>
      </w:r>
      <w:r w:rsidR="00C75ED7">
        <w:rPr>
          <w:rFonts w:cs="Helvetica"/>
          <w:color w:val="333333"/>
        </w:rPr>
        <w:t xml:space="preserve"> </w:t>
      </w:r>
      <w:r>
        <w:rPr>
          <w:rFonts w:cs="Helvetica"/>
          <w:color w:val="333333"/>
        </w:rPr>
        <w:t xml:space="preserve">The term "unintentional" may refer to either the </w:t>
      </w:r>
      <w:proofErr w:type="spellStart"/>
      <w:r>
        <w:rPr>
          <w:rFonts w:cs="Helvetica"/>
          <w:color w:val="333333"/>
        </w:rPr>
        <w:t>transboundary</w:t>
      </w:r>
      <w:proofErr w:type="spellEnd"/>
      <w:r>
        <w:rPr>
          <w:rFonts w:cs="Helvetica"/>
          <w:color w:val="333333"/>
        </w:rPr>
        <w:t xml:space="preserve"> movement (e.g. as a result of a release of an LMO which occurs in the proximity of an international border) or the LMO (e.g. in case of a contamination of a shipment with an LMO) or both.</w:t>
      </w:r>
      <w:r w:rsidR="009F68AA">
        <w:rPr>
          <w:rFonts w:cs="Helvetica"/>
          <w:color w:val="333333"/>
        </w:rPr>
        <w:t xml:space="preserve"> </w:t>
      </w:r>
    </w:p>
    <w:p w:rsidR="00E83430" w:rsidRDefault="00E83430" w:rsidP="00AD735F">
      <w:pPr>
        <w:jc w:val="both"/>
        <w:rPr>
          <w:rFonts w:cs="Helvetica"/>
          <w:color w:val="333333"/>
        </w:rPr>
      </w:pPr>
      <w:r>
        <w:rPr>
          <w:rFonts w:cs="Helvetica"/>
          <w:color w:val="333333"/>
        </w:rPr>
        <w:t xml:space="preserve">The </w:t>
      </w:r>
      <w:r w:rsidR="009F68AA">
        <w:rPr>
          <w:rFonts w:cs="Helvetica"/>
          <w:color w:val="333333"/>
        </w:rPr>
        <w:t xml:space="preserve">original </w:t>
      </w:r>
      <w:r>
        <w:rPr>
          <w:rFonts w:cs="Helvetica"/>
          <w:color w:val="333333"/>
        </w:rPr>
        <w:t xml:space="preserve">release may </w:t>
      </w:r>
      <w:r w:rsidR="009F68AA">
        <w:rPr>
          <w:rFonts w:cs="Helvetica"/>
          <w:color w:val="333333"/>
        </w:rPr>
        <w:t xml:space="preserve">have </w:t>
      </w:r>
      <w:r>
        <w:rPr>
          <w:rFonts w:cs="Helvetica"/>
          <w:color w:val="333333"/>
        </w:rPr>
        <w:t>be</w:t>
      </w:r>
      <w:r w:rsidR="009F68AA">
        <w:rPr>
          <w:rFonts w:cs="Helvetica"/>
          <w:color w:val="333333"/>
        </w:rPr>
        <w:t>en</w:t>
      </w:r>
      <w:r>
        <w:rPr>
          <w:rFonts w:cs="Helvetica"/>
          <w:color w:val="333333"/>
        </w:rPr>
        <w:t xml:space="preserve"> intentional or unintentional.</w:t>
      </w:r>
    </w:p>
    <w:p w:rsidR="00476EE9" w:rsidRDefault="00476EE9" w:rsidP="00AD735F">
      <w:pPr>
        <w:jc w:val="both"/>
        <w:rPr>
          <w:rFonts w:cs="Helvetica"/>
          <w:color w:val="333333"/>
        </w:rPr>
      </w:pPr>
    </w:p>
    <w:p w:rsidR="00BA482A" w:rsidRDefault="00BA482A" w:rsidP="00AD735F">
      <w:pPr>
        <w:pStyle w:val="ListParagraph"/>
        <w:numPr>
          <w:ilvl w:val="0"/>
          <w:numId w:val="1"/>
        </w:numPr>
        <w:jc w:val="both"/>
        <w:rPr>
          <w:rFonts w:cs="Helvetica"/>
          <w:b/>
          <w:color w:val="333333"/>
        </w:rPr>
      </w:pPr>
      <w:r w:rsidRPr="00BA482A">
        <w:rPr>
          <w:rFonts w:cs="Helvetica"/>
          <w:b/>
          <w:color w:val="333333"/>
        </w:rPr>
        <w:t xml:space="preserve">Conditions triggering obligation of notification of </w:t>
      </w:r>
      <w:r w:rsidR="000A3212">
        <w:rPr>
          <w:rFonts w:cs="Helvetica"/>
          <w:b/>
          <w:color w:val="333333"/>
        </w:rPr>
        <w:t xml:space="preserve">a release under </w:t>
      </w:r>
      <w:r w:rsidR="001F394A">
        <w:rPr>
          <w:rFonts w:cs="Helvetica"/>
          <w:b/>
          <w:color w:val="333333"/>
        </w:rPr>
        <w:t xml:space="preserve">Article 17 and </w:t>
      </w:r>
      <w:r w:rsidR="000A3212">
        <w:rPr>
          <w:rFonts w:cs="Helvetica"/>
          <w:b/>
          <w:color w:val="333333"/>
        </w:rPr>
        <w:t xml:space="preserve">of </w:t>
      </w:r>
      <w:r w:rsidRPr="00BA482A">
        <w:rPr>
          <w:rFonts w:cs="Helvetica"/>
          <w:b/>
          <w:color w:val="333333"/>
        </w:rPr>
        <w:t>ITM</w:t>
      </w:r>
      <w:r w:rsidR="001F394A">
        <w:rPr>
          <w:rFonts w:cs="Helvetica"/>
          <w:b/>
          <w:color w:val="333333"/>
        </w:rPr>
        <w:t xml:space="preserve"> </w:t>
      </w:r>
      <w:r w:rsidR="000A3212">
        <w:rPr>
          <w:rFonts w:cs="Helvetica"/>
          <w:b/>
          <w:color w:val="333333"/>
        </w:rPr>
        <w:t xml:space="preserve">under </w:t>
      </w:r>
      <w:r w:rsidR="001F394A">
        <w:rPr>
          <w:rFonts w:cs="Helvetica"/>
          <w:b/>
          <w:color w:val="333333"/>
        </w:rPr>
        <w:t>Article 25</w:t>
      </w:r>
    </w:p>
    <w:p w:rsidR="001F394A" w:rsidRDefault="009326BE" w:rsidP="00AD735F">
      <w:pPr>
        <w:jc w:val="both"/>
        <w:rPr>
          <w:rFonts w:cs="Helvetica"/>
          <w:color w:val="333333"/>
        </w:rPr>
      </w:pPr>
      <w:r>
        <w:rPr>
          <w:rFonts w:cs="Helvetica"/>
          <w:color w:val="333333"/>
        </w:rPr>
        <w:t xml:space="preserve">To support Parties in </w:t>
      </w:r>
      <w:r w:rsidR="00277935">
        <w:rPr>
          <w:rFonts w:cs="Helvetica"/>
          <w:color w:val="333333"/>
        </w:rPr>
        <w:t xml:space="preserve">managing </w:t>
      </w:r>
      <w:r>
        <w:rPr>
          <w:rFonts w:cs="Helvetica"/>
          <w:color w:val="333333"/>
        </w:rPr>
        <w:t>their obligations to notify under Article 17 and Article 25</w:t>
      </w:r>
      <w:r w:rsidR="00271CD8">
        <w:rPr>
          <w:rFonts w:cs="Helvetica"/>
          <w:color w:val="333333"/>
        </w:rPr>
        <w:t xml:space="preserve">, conditions which </w:t>
      </w:r>
      <w:r w:rsidR="002503B4">
        <w:rPr>
          <w:rFonts w:cs="Helvetica"/>
          <w:color w:val="333333"/>
        </w:rPr>
        <w:t xml:space="preserve">trigger the obligation to </w:t>
      </w:r>
      <w:r w:rsidR="00271CD8">
        <w:rPr>
          <w:rFonts w:cs="Helvetica"/>
          <w:color w:val="333333"/>
        </w:rPr>
        <w:t>notif</w:t>
      </w:r>
      <w:r w:rsidR="002503B4">
        <w:rPr>
          <w:rFonts w:cs="Helvetica"/>
          <w:color w:val="333333"/>
        </w:rPr>
        <w:t>y</w:t>
      </w:r>
      <w:r w:rsidR="00271CD8">
        <w:rPr>
          <w:rFonts w:cs="Helvetica"/>
          <w:color w:val="333333"/>
        </w:rPr>
        <w:t xml:space="preserve"> </w:t>
      </w:r>
      <w:r w:rsidR="008A4676">
        <w:rPr>
          <w:rFonts w:cs="Helvetica"/>
          <w:color w:val="333333"/>
        </w:rPr>
        <w:t>a release</w:t>
      </w:r>
      <w:r w:rsidR="00271CD8">
        <w:rPr>
          <w:rFonts w:cs="Helvetica"/>
          <w:color w:val="333333"/>
        </w:rPr>
        <w:t xml:space="preserve"> according to Article 17 are </w:t>
      </w:r>
      <w:r w:rsidR="002E3E7C">
        <w:rPr>
          <w:rFonts w:cs="Helvetica"/>
          <w:color w:val="333333"/>
        </w:rPr>
        <w:t>summarised</w:t>
      </w:r>
      <w:r w:rsidR="00271CD8">
        <w:rPr>
          <w:rFonts w:cs="Helvetica"/>
          <w:color w:val="333333"/>
        </w:rPr>
        <w:t xml:space="preserve"> below in comparison with those </w:t>
      </w:r>
      <w:r w:rsidR="002503B4">
        <w:rPr>
          <w:rFonts w:cs="Helvetica"/>
          <w:color w:val="333333"/>
        </w:rPr>
        <w:t xml:space="preserve">triggering the obligation to </w:t>
      </w:r>
      <w:r w:rsidR="00271CD8">
        <w:rPr>
          <w:rFonts w:cs="Helvetica"/>
          <w:color w:val="333333"/>
        </w:rPr>
        <w:t>notif</w:t>
      </w:r>
      <w:r w:rsidR="002503B4">
        <w:rPr>
          <w:rFonts w:cs="Helvetica"/>
          <w:color w:val="333333"/>
        </w:rPr>
        <w:t>y</w:t>
      </w:r>
      <w:r w:rsidR="00271CD8">
        <w:rPr>
          <w:rFonts w:cs="Helvetica"/>
          <w:color w:val="333333"/>
        </w:rPr>
        <w:t xml:space="preserve"> an ITM</w:t>
      </w:r>
      <w:r w:rsidR="00CF1336">
        <w:rPr>
          <w:rFonts w:cs="Helvetica"/>
          <w:color w:val="333333"/>
        </w:rPr>
        <w:t xml:space="preserve"> as set out in Article 25</w:t>
      </w:r>
      <w:r w:rsidR="003B61EC">
        <w:rPr>
          <w:rFonts w:cs="Helvetica"/>
          <w:color w:val="333333"/>
        </w:rPr>
        <w:t>, par. 3</w:t>
      </w:r>
      <w:r w:rsidR="00B500AE">
        <w:rPr>
          <w:rFonts w:cs="Helvetica"/>
          <w:color w:val="333333"/>
        </w:rPr>
        <w:t xml:space="preserve"> (the obligation </w:t>
      </w:r>
      <w:r w:rsidR="002503B4">
        <w:rPr>
          <w:rFonts w:cs="Helvetica"/>
          <w:color w:val="333333"/>
        </w:rPr>
        <w:t>of notification is triggered when all the conditions below occur)</w:t>
      </w:r>
      <w:r w:rsidR="00D91CDC">
        <w:rPr>
          <w:rFonts w:cs="Helvetica"/>
          <w:color w:val="333333"/>
        </w:rPr>
        <w:t>:</w:t>
      </w:r>
    </w:p>
    <w:tbl>
      <w:tblPr>
        <w:tblStyle w:val="TableGrid"/>
        <w:tblW w:w="0" w:type="auto"/>
        <w:tblLook w:val="04A0" w:firstRow="1" w:lastRow="0" w:firstColumn="1" w:lastColumn="0" w:noHBand="0" w:noVBand="1"/>
      </w:tblPr>
      <w:tblGrid>
        <w:gridCol w:w="4644"/>
        <w:gridCol w:w="4536"/>
      </w:tblGrid>
      <w:tr w:rsidR="002E3E7C" w:rsidTr="002E3E7C">
        <w:tc>
          <w:tcPr>
            <w:tcW w:w="4644" w:type="dxa"/>
          </w:tcPr>
          <w:p w:rsidR="002E3E7C" w:rsidRPr="003B61EC" w:rsidRDefault="002E3E7C" w:rsidP="00AD735F">
            <w:pPr>
              <w:jc w:val="both"/>
              <w:rPr>
                <w:rFonts w:cs="Helvetica"/>
                <w:b/>
                <w:color w:val="333333"/>
              </w:rPr>
            </w:pPr>
            <w:r w:rsidRPr="003B61EC">
              <w:rPr>
                <w:rFonts w:cs="Helvetica"/>
                <w:b/>
                <w:color w:val="333333"/>
              </w:rPr>
              <w:t xml:space="preserve">Conditions </w:t>
            </w:r>
            <w:r>
              <w:rPr>
                <w:rFonts w:cs="Helvetica"/>
                <w:b/>
                <w:color w:val="333333"/>
              </w:rPr>
              <w:t>triggering the obligation to</w:t>
            </w:r>
            <w:r w:rsidRPr="003B61EC">
              <w:rPr>
                <w:rFonts w:cs="Helvetica"/>
                <w:b/>
                <w:color w:val="333333"/>
              </w:rPr>
              <w:t xml:space="preserve"> notif</w:t>
            </w:r>
            <w:r>
              <w:rPr>
                <w:rFonts w:cs="Helvetica"/>
                <w:b/>
                <w:color w:val="333333"/>
              </w:rPr>
              <w:t>y</w:t>
            </w:r>
            <w:r w:rsidRPr="003B61EC">
              <w:rPr>
                <w:rFonts w:cs="Helvetica"/>
                <w:b/>
                <w:color w:val="333333"/>
              </w:rPr>
              <w:t xml:space="preserve"> </w:t>
            </w:r>
            <w:r>
              <w:rPr>
                <w:rFonts w:cs="Helvetica"/>
                <w:b/>
                <w:color w:val="333333"/>
              </w:rPr>
              <w:t xml:space="preserve">a release </w:t>
            </w:r>
            <w:r w:rsidRPr="003B61EC">
              <w:rPr>
                <w:rFonts w:cs="Helvetica"/>
                <w:b/>
                <w:color w:val="333333"/>
              </w:rPr>
              <w:t>according to Article 17</w:t>
            </w:r>
          </w:p>
        </w:tc>
        <w:tc>
          <w:tcPr>
            <w:tcW w:w="4536" w:type="dxa"/>
          </w:tcPr>
          <w:p w:rsidR="002E3E7C" w:rsidRPr="001F394A" w:rsidRDefault="002E3E7C" w:rsidP="00D11362">
            <w:pPr>
              <w:jc w:val="both"/>
              <w:rPr>
                <w:rFonts w:cs="Helvetica"/>
                <w:b/>
                <w:color w:val="333333"/>
              </w:rPr>
            </w:pPr>
            <w:r w:rsidRPr="003B61EC">
              <w:rPr>
                <w:rFonts w:cs="Helvetica"/>
                <w:b/>
                <w:color w:val="333333"/>
              </w:rPr>
              <w:t xml:space="preserve">Conditions </w:t>
            </w:r>
            <w:r>
              <w:rPr>
                <w:rFonts w:cs="Helvetica"/>
                <w:b/>
                <w:color w:val="333333"/>
              </w:rPr>
              <w:t>triggering the obligation to</w:t>
            </w:r>
            <w:r w:rsidRPr="003B61EC">
              <w:rPr>
                <w:rFonts w:cs="Helvetica"/>
                <w:b/>
                <w:color w:val="333333"/>
              </w:rPr>
              <w:t xml:space="preserve"> notif</w:t>
            </w:r>
            <w:r>
              <w:rPr>
                <w:rFonts w:cs="Helvetica"/>
                <w:b/>
                <w:color w:val="333333"/>
              </w:rPr>
              <w:t xml:space="preserve">y </w:t>
            </w:r>
            <w:r w:rsidR="00D11362">
              <w:rPr>
                <w:rFonts w:cs="Helvetica"/>
                <w:b/>
                <w:color w:val="333333"/>
              </w:rPr>
              <w:t xml:space="preserve">a </w:t>
            </w:r>
            <w:r w:rsidRPr="003B61EC">
              <w:rPr>
                <w:rFonts w:cs="Helvetica"/>
                <w:b/>
                <w:color w:val="333333"/>
              </w:rPr>
              <w:t xml:space="preserve">TM </w:t>
            </w:r>
            <w:r w:rsidR="00D11362">
              <w:rPr>
                <w:rFonts w:cs="Helvetica"/>
                <w:b/>
                <w:color w:val="333333"/>
              </w:rPr>
              <w:t xml:space="preserve">as illegal </w:t>
            </w:r>
            <w:r>
              <w:rPr>
                <w:rFonts w:cs="Helvetica"/>
                <w:b/>
                <w:color w:val="333333"/>
              </w:rPr>
              <w:t>according to Article 25</w:t>
            </w:r>
          </w:p>
        </w:tc>
      </w:tr>
      <w:tr w:rsidR="002E3E7C" w:rsidTr="002E3E7C">
        <w:tc>
          <w:tcPr>
            <w:tcW w:w="4644" w:type="dxa"/>
          </w:tcPr>
          <w:p w:rsidR="002E3E7C" w:rsidRPr="002E3E7C" w:rsidRDefault="002E3E7C" w:rsidP="002E3E7C">
            <w:pPr>
              <w:pStyle w:val="ListParagraph"/>
              <w:numPr>
                <w:ilvl w:val="0"/>
                <w:numId w:val="14"/>
              </w:numPr>
              <w:ind w:left="284" w:hanging="284"/>
              <w:jc w:val="both"/>
              <w:rPr>
                <w:rFonts w:cs="Helvetica"/>
                <w:color w:val="333333"/>
              </w:rPr>
            </w:pPr>
            <w:r w:rsidRPr="002E3E7C">
              <w:rPr>
                <w:rFonts w:cs="Helvetica"/>
                <w:color w:val="333333"/>
              </w:rPr>
              <w:t>A release of an LMO occurs.</w:t>
            </w:r>
          </w:p>
          <w:p w:rsidR="002E3E7C" w:rsidRDefault="002E3E7C" w:rsidP="002E3E7C">
            <w:pPr>
              <w:pStyle w:val="ListParagraph"/>
              <w:numPr>
                <w:ilvl w:val="0"/>
                <w:numId w:val="14"/>
              </w:numPr>
              <w:ind w:left="284" w:hanging="284"/>
              <w:jc w:val="both"/>
              <w:rPr>
                <w:rFonts w:cs="Helvetica"/>
                <w:color w:val="333333"/>
              </w:rPr>
            </w:pPr>
            <w:r w:rsidRPr="002E3E7C">
              <w:rPr>
                <w:rFonts w:cs="Helvetica"/>
                <w:color w:val="333333"/>
              </w:rPr>
              <w:t xml:space="preserve">The release leads or may lead to an unintentional (accidental) </w:t>
            </w:r>
            <w:proofErr w:type="spellStart"/>
            <w:r w:rsidRPr="002E3E7C">
              <w:rPr>
                <w:rFonts w:cs="Helvetica"/>
                <w:color w:val="333333"/>
              </w:rPr>
              <w:t>transboundary</w:t>
            </w:r>
            <w:proofErr w:type="spellEnd"/>
            <w:r w:rsidRPr="002E3E7C">
              <w:rPr>
                <w:rFonts w:cs="Helvetica"/>
                <w:color w:val="333333"/>
              </w:rPr>
              <w:t xml:space="preserve"> movement of an LMO from one Party to another Party/non-Party.</w:t>
            </w:r>
          </w:p>
          <w:p w:rsidR="002E3E7C" w:rsidRPr="002E3E7C" w:rsidRDefault="002E3E7C" w:rsidP="00D74ADD">
            <w:pPr>
              <w:pStyle w:val="ListParagraph"/>
              <w:numPr>
                <w:ilvl w:val="0"/>
                <w:numId w:val="14"/>
              </w:numPr>
              <w:ind w:left="284" w:hanging="284"/>
              <w:jc w:val="both"/>
              <w:rPr>
                <w:rFonts w:cs="Helvetica"/>
                <w:color w:val="333333"/>
              </w:rPr>
            </w:pPr>
            <w:r>
              <w:rPr>
                <w:rFonts w:cs="Helvetica"/>
                <w:color w:val="333333"/>
              </w:rPr>
              <w:t xml:space="preserve">The LMO is likely </w:t>
            </w:r>
            <w:r w:rsidRPr="00CF528A">
              <w:rPr>
                <w:rFonts w:cs="Helvetica"/>
                <w:color w:val="333333"/>
              </w:rPr>
              <w:t>to have significant adverse effects on the conservation and sustainable use of biological diversity, taking also into account risks to human health</w:t>
            </w:r>
            <w:r>
              <w:rPr>
                <w:rFonts w:cs="Helvetica"/>
                <w:color w:val="333333"/>
              </w:rPr>
              <w:t>.</w:t>
            </w:r>
          </w:p>
        </w:tc>
        <w:tc>
          <w:tcPr>
            <w:tcW w:w="4536" w:type="dxa"/>
          </w:tcPr>
          <w:p w:rsidR="002E3E7C" w:rsidRDefault="002E3E7C" w:rsidP="002E3E7C">
            <w:pPr>
              <w:pStyle w:val="ListParagraph"/>
              <w:numPr>
                <w:ilvl w:val="0"/>
                <w:numId w:val="14"/>
              </w:numPr>
              <w:ind w:left="459" w:hanging="283"/>
              <w:jc w:val="both"/>
              <w:rPr>
                <w:rFonts w:cs="Helvetica"/>
                <w:color w:val="333333"/>
              </w:rPr>
            </w:pPr>
            <w:r w:rsidRPr="002E3E7C">
              <w:rPr>
                <w:rFonts w:cs="Helvetica"/>
                <w:color w:val="333333"/>
              </w:rPr>
              <w:t xml:space="preserve">A </w:t>
            </w:r>
            <w:proofErr w:type="spellStart"/>
            <w:r w:rsidRPr="002E3E7C">
              <w:rPr>
                <w:rFonts w:cs="Helvetica"/>
                <w:color w:val="333333"/>
              </w:rPr>
              <w:t>transboundary</w:t>
            </w:r>
            <w:proofErr w:type="spellEnd"/>
            <w:r w:rsidRPr="002E3E7C">
              <w:rPr>
                <w:rFonts w:cs="Helvetica"/>
                <w:color w:val="333333"/>
              </w:rPr>
              <w:t xml:space="preserve"> </w:t>
            </w:r>
            <w:r w:rsidR="00560679" w:rsidRPr="002E3E7C">
              <w:rPr>
                <w:rFonts w:cs="Helvetica"/>
                <w:color w:val="333333"/>
              </w:rPr>
              <w:t>movement</w:t>
            </w:r>
            <w:r w:rsidRPr="002E3E7C">
              <w:rPr>
                <w:rFonts w:cs="Helvetica"/>
                <w:color w:val="333333"/>
              </w:rPr>
              <w:t xml:space="preserve"> of </w:t>
            </w:r>
            <w:r w:rsidR="0021180F">
              <w:rPr>
                <w:rFonts w:cs="Helvetica"/>
                <w:color w:val="333333"/>
              </w:rPr>
              <w:t>an LMO</w:t>
            </w:r>
            <w:r w:rsidRPr="002E3E7C">
              <w:rPr>
                <w:rFonts w:cs="Helvetica"/>
                <w:color w:val="333333"/>
              </w:rPr>
              <w:t xml:space="preserve"> occurs.</w:t>
            </w:r>
            <w:r>
              <w:rPr>
                <w:rFonts w:cs="Helvetica"/>
                <w:color w:val="333333"/>
              </w:rPr>
              <w:t xml:space="preserve"> </w:t>
            </w:r>
          </w:p>
          <w:p w:rsidR="002E3E7C" w:rsidRPr="002E3E7C" w:rsidRDefault="002E3E7C" w:rsidP="002E3E7C">
            <w:pPr>
              <w:pStyle w:val="ListParagraph"/>
              <w:numPr>
                <w:ilvl w:val="0"/>
                <w:numId w:val="14"/>
              </w:numPr>
              <w:ind w:left="459" w:hanging="283"/>
              <w:jc w:val="both"/>
              <w:rPr>
                <w:rFonts w:cs="Helvetica"/>
                <w:color w:val="333333"/>
              </w:rPr>
            </w:pPr>
            <w:r>
              <w:rPr>
                <w:rFonts w:cs="Helvetica"/>
                <w:color w:val="333333"/>
              </w:rPr>
              <w:t xml:space="preserve">The </w:t>
            </w:r>
            <w:proofErr w:type="spellStart"/>
            <w:r>
              <w:rPr>
                <w:rFonts w:cs="Helvetica"/>
                <w:color w:val="333333"/>
              </w:rPr>
              <w:t>transboundary</w:t>
            </w:r>
            <w:proofErr w:type="spellEnd"/>
            <w:r>
              <w:rPr>
                <w:rFonts w:cs="Helvetica"/>
                <w:color w:val="333333"/>
              </w:rPr>
              <w:t xml:space="preserve"> movement contravenes</w:t>
            </w:r>
            <w:r w:rsidRPr="000F36C4">
              <w:rPr>
                <w:rFonts w:cs="Helvetica"/>
                <w:color w:val="333333"/>
              </w:rPr>
              <w:t xml:space="preserve"> domestic measures </w:t>
            </w:r>
            <w:r>
              <w:rPr>
                <w:rFonts w:cs="Helvetica"/>
                <w:color w:val="333333"/>
              </w:rPr>
              <w:t xml:space="preserve">of Parties </w:t>
            </w:r>
            <w:r w:rsidRPr="000F36C4">
              <w:rPr>
                <w:rFonts w:cs="Helvetica"/>
                <w:color w:val="333333"/>
              </w:rPr>
              <w:t xml:space="preserve">to implement </w:t>
            </w:r>
            <w:r>
              <w:rPr>
                <w:rFonts w:cs="Helvetica"/>
                <w:color w:val="333333"/>
              </w:rPr>
              <w:t>the Protocol</w:t>
            </w:r>
            <w:bookmarkStart w:id="0" w:name="_GoBack"/>
            <w:bookmarkEnd w:id="0"/>
          </w:p>
        </w:tc>
      </w:tr>
    </w:tbl>
    <w:p w:rsidR="002E3E7C" w:rsidRDefault="002E3E7C" w:rsidP="002E3E7C">
      <w:pPr>
        <w:jc w:val="both"/>
        <w:rPr>
          <w:rFonts w:cs="Helvetica"/>
          <w:color w:val="333333"/>
        </w:rPr>
      </w:pPr>
    </w:p>
    <w:p w:rsidR="002E3E7C" w:rsidRDefault="002E3E7C" w:rsidP="002E3E7C">
      <w:pPr>
        <w:jc w:val="both"/>
        <w:rPr>
          <w:rFonts w:cs="Helvetica"/>
          <w:color w:val="333333"/>
        </w:rPr>
      </w:pPr>
      <w:proofErr w:type="gramStart"/>
      <w:r>
        <w:rPr>
          <w:rFonts w:cs="Helvetica"/>
          <w:color w:val="333333"/>
        </w:rPr>
        <w:t>The condition for Art.</w:t>
      </w:r>
      <w:proofErr w:type="gramEnd"/>
      <w:r>
        <w:rPr>
          <w:rFonts w:cs="Helvetica"/>
          <w:color w:val="333333"/>
        </w:rPr>
        <w:t xml:space="preserve"> 17 </w:t>
      </w:r>
      <w:proofErr w:type="gramStart"/>
      <w:r>
        <w:rPr>
          <w:rFonts w:cs="Helvetica"/>
          <w:color w:val="333333"/>
        </w:rPr>
        <w:t>requires</w:t>
      </w:r>
      <w:proofErr w:type="gramEnd"/>
      <w:r>
        <w:rPr>
          <w:rFonts w:cs="Helvetica"/>
          <w:color w:val="333333"/>
        </w:rPr>
        <w:t xml:space="preserve"> that </w:t>
      </w:r>
      <w:r w:rsidR="008D4151">
        <w:rPr>
          <w:rFonts w:cs="Helvetica"/>
          <w:color w:val="333333"/>
        </w:rPr>
        <w:t xml:space="preserve">the released LMO is likely to have </w:t>
      </w:r>
      <w:r>
        <w:rPr>
          <w:rFonts w:cs="Helvetica"/>
          <w:color w:val="333333"/>
        </w:rPr>
        <w:t xml:space="preserve">significant adverse effects on biological diversity or risks to human health </w:t>
      </w:r>
      <w:r w:rsidR="008D4151">
        <w:rPr>
          <w:rFonts w:cs="Helvetica"/>
          <w:color w:val="333333"/>
        </w:rPr>
        <w:t>in the affected or potentially affected States</w:t>
      </w:r>
      <w:r>
        <w:rPr>
          <w:rFonts w:cs="Helvetica"/>
          <w:color w:val="333333"/>
        </w:rPr>
        <w:t>. The condition for ITM is not necessarily linked to risk or adverse effects, but is more generally based on the contravention of domestic measures to implement the Protocol (e.g. traceability and labelling requirements are also included, if set by domestic legislation).</w:t>
      </w:r>
    </w:p>
    <w:p w:rsidR="000C2D0A" w:rsidRDefault="000C2D0A">
      <w:pPr>
        <w:rPr>
          <w:rFonts w:cs="Helvetica"/>
          <w:color w:val="333333"/>
        </w:rPr>
      </w:pPr>
      <w:r>
        <w:rPr>
          <w:rFonts w:cs="Helvetica"/>
          <w:color w:val="333333"/>
        </w:rPr>
        <w:br w:type="page"/>
      </w:r>
    </w:p>
    <w:p w:rsidR="002E3E7C" w:rsidRDefault="002E3E7C" w:rsidP="002E3E7C">
      <w:pPr>
        <w:jc w:val="both"/>
        <w:rPr>
          <w:rFonts w:cs="Helvetica"/>
          <w:color w:val="333333"/>
        </w:rPr>
      </w:pPr>
      <w:r>
        <w:rPr>
          <w:rFonts w:cs="Helvetica"/>
          <w:color w:val="333333"/>
        </w:rPr>
        <w:lastRenderedPageBreak/>
        <w:t>With regard to the Party which has the obligation to notify:</w:t>
      </w:r>
    </w:p>
    <w:tbl>
      <w:tblPr>
        <w:tblStyle w:val="TableGrid"/>
        <w:tblW w:w="0" w:type="auto"/>
        <w:tblLook w:val="04A0" w:firstRow="1" w:lastRow="0" w:firstColumn="1" w:lastColumn="0" w:noHBand="0" w:noVBand="1"/>
      </w:tblPr>
      <w:tblGrid>
        <w:gridCol w:w="4644"/>
        <w:gridCol w:w="4644"/>
      </w:tblGrid>
      <w:tr w:rsidR="002E3E7C" w:rsidTr="002E3E7C">
        <w:tc>
          <w:tcPr>
            <w:tcW w:w="4644" w:type="dxa"/>
          </w:tcPr>
          <w:p w:rsidR="002E3E7C" w:rsidRPr="002E3E7C" w:rsidRDefault="002E3E7C" w:rsidP="002E3E7C">
            <w:pPr>
              <w:jc w:val="both"/>
              <w:rPr>
                <w:rFonts w:cs="Helvetica"/>
                <w:b/>
                <w:color w:val="333333"/>
              </w:rPr>
            </w:pPr>
            <w:r w:rsidRPr="002E3E7C">
              <w:rPr>
                <w:rFonts w:cs="Helvetica"/>
                <w:b/>
                <w:color w:val="333333"/>
              </w:rPr>
              <w:t>Party which should notify a release according to Article 17</w:t>
            </w:r>
          </w:p>
        </w:tc>
        <w:tc>
          <w:tcPr>
            <w:tcW w:w="4644" w:type="dxa"/>
          </w:tcPr>
          <w:p w:rsidR="002E3E7C" w:rsidRDefault="002E3E7C" w:rsidP="002E3E7C">
            <w:pPr>
              <w:jc w:val="both"/>
              <w:rPr>
                <w:rFonts w:cs="Helvetica"/>
                <w:color w:val="333333"/>
              </w:rPr>
            </w:pPr>
            <w:r w:rsidRPr="002E3E7C">
              <w:rPr>
                <w:rFonts w:cs="Helvetica"/>
                <w:b/>
                <w:color w:val="333333"/>
              </w:rPr>
              <w:t>Party which should notify a</w:t>
            </w:r>
            <w:r>
              <w:rPr>
                <w:rFonts w:cs="Helvetica"/>
                <w:b/>
                <w:color w:val="333333"/>
              </w:rPr>
              <w:t>n ITM</w:t>
            </w:r>
            <w:r w:rsidRPr="002E3E7C">
              <w:rPr>
                <w:rFonts w:cs="Helvetica"/>
                <w:b/>
                <w:color w:val="333333"/>
              </w:rPr>
              <w:t xml:space="preserve"> according to Article </w:t>
            </w:r>
            <w:r>
              <w:rPr>
                <w:rFonts w:cs="Helvetica"/>
                <w:b/>
                <w:color w:val="333333"/>
              </w:rPr>
              <w:t>25</w:t>
            </w:r>
          </w:p>
        </w:tc>
      </w:tr>
      <w:tr w:rsidR="002E3E7C" w:rsidTr="002E3E7C">
        <w:tc>
          <w:tcPr>
            <w:tcW w:w="4644" w:type="dxa"/>
          </w:tcPr>
          <w:p w:rsidR="002E3E7C" w:rsidRDefault="002E3E7C" w:rsidP="002E3E7C">
            <w:pPr>
              <w:jc w:val="both"/>
              <w:rPr>
                <w:rFonts w:cs="Helvetica"/>
                <w:color w:val="333333"/>
              </w:rPr>
            </w:pPr>
            <w:r>
              <w:rPr>
                <w:rFonts w:cs="Helvetica"/>
                <w:color w:val="333333"/>
              </w:rPr>
              <w:t>The Party of origin</w:t>
            </w:r>
            <w:r w:rsidR="00AF4006">
              <w:rPr>
                <w:rFonts w:cs="Helvetica"/>
                <w:color w:val="333333"/>
              </w:rPr>
              <w:t xml:space="preserve"> (of the release)</w:t>
            </w:r>
          </w:p>
        </w:tc>
        <w:tc>
          <w:tcPr>
            <w:tcW w:w="4644" w:type="dxa"/>
          </w:tcPr>
          <w:p w:rsidR="002E3E7C" w:rsidRDefault="002E3E7C" w:rsidP="000D5258">
            <w:pPr>
              <w:jc w:val="both"/>
              <w:rPr>
                <w:rFonts w:cs="Helvetica"/>
                <w:color w:val="333333"/>
              </w:rPr>
            </w:pPr>
            <w:r>
              <w:rPr>
                <w:rFonts w:cs="Helvetica"/>
                <w:color w:val="333333"/>
              </w:rPr>
              <w:t>The Party of import</w:t>
            </w:r>
            <w:r w:rsidR="000D5258">
              <w:rPr>
                <w:rFonts w:cs="Helvetica"/>
                <w:color w:val="333333"/>
              </w:rPr>
              <w:t>,</w:t>
            </w:r>
            <w:r>
              <w:rPr>
                <w:rFonts w:cs="Helvetica"/>
                <w:color w:val="333333"/>
              </w:rPr>
              <w:t xml:space="preserve"> the Party of origin</w:t>
            </w:r>
            <w:r w:rsidR="000D5258">
              <w:rPr>
                <w:rFonts w:cs="Helvetica"/>
                <w:color w:val="333333"/>
              </w:rPr>
              <w:t xml:space="preserve"> or any affected Party</w:t>
            </w:r>
          </w:p>
        </w:tc>
      </w:tr>
    </w:tbl>
    <w:p w:rsidR="002E3E7C" w:rsidRPr="00E44255" w:rsidRDefault="002E3E7C" w:rsidP="002E3E7C">
      <w:pPr>
        <w:jc w:val="both"/>
        <w:rPr>
          <w:rFonts w:cs="Helvetica"/>
          <w:color w:val="333333"/>
        </w:rPr>
      </w:pPr>
    </w:p>
    <w:p w:rsidR="00CA09D3" w:rsidRDefault="00CA09D3" w:rsidP="00AD735F">
      <w:pPr>
        <w:pStyle w:val="ListParagraph"/>
        <w:numPr>
          <w:ilvl w:val="0"/>
          <w:numId w:val="1"/>
        </w:numPr>
        <w:ind w:left="357" w:hanging="357"/>
        <w:jc w:val="both"/>
        <w:rPr>
          <w:rFonts w:cs="Helvetica"/>
          <w:b/>
          <w:color w:val="333333"/>
        </w:rPr>
      </w:pPr>
      <w:r>
        <w:rPr>
          <w:rFonts w:cs="Helvetica"/>
          <w:b/>
          <w:color w:val="333333"/>
        </w:rPr>
        <w:t>W</w:t>
      </w:r>
      <w:r w:rsidRPr="00CA09D3">
        <w:rPr>
          <w:rFonts w:cs="Helvetica"/>
          <w:b/>
          <w:color w:val="333333"/>
        </w:rPr>
        <w:t xml:space="preserve">hat type of information </w:t>
      </w:r>
      <w:r w:rsidR="00AB103C">
        <w:rPr>
          <w:rFonts w:cs="Helvetica"/>
          <w:b/>
          <w:color w:val="333333"/>
        </w:rPr>
        <w:t xml:space="preserve">related to Article 17 </w:t>
      </w:r>
      <w:r w:rsidRPr="00CA09D3">
        <w:rPr>
          <w:rFonts w:cs="Helvetica"/>
          <w:b/>
          <w:color w:val="333333"/>
        </w:rPr>
        <w:t>should be exchanged through the Biosafety Clearing-House</w:t>
      </w:r>
      <w:r w:rsidR="00104C94">
        <w:rPr>
          <w:rFonts w:cs="Helvetica"/>
          <w:b/>
          <w:color w:val="333333"/>
        </w:rPr>
        <w:t xml:space="preserve"> </w:t>
      </w:r>
    </w:p>
    <w:p w:rsidR="00CA09D3" w:rsidRPr="00CA09D3" w:rsidRDefault="00A35AFD" w:rsidP="00B40720">
      <w:pPr>
        <w:jc w:val="both"/>
        <w:rPr>
          <w:rFonts w:cs="Helvetica"/>
          <w:color w:val="333333"/>
        </w:rPr>
      </w:pPr>
      <w:r>
        <w:rPr>
          <w:rFonts w:cs="Helvetica"/>
          <w:color w:val="333333"/>
        </w:rPr>
        <w:t>T</w:t>
      </w:r>
      <w:r w:rsidR="00CA09D3">
        <w:rPr>
          <w:rFonts w:cs="Helvetica"/>
          <w:color w:val="333333"/>
        </w:rPr>
        <w:t xml:space="preserve">he notification </w:t>
      </w:r>
      <w:r w:rsidRPr="00CA09D3">
        <w:rPr>
          <w:rFonts w:cs="Helvetica"/>
          <w:color w:val="333333"/>
        </w:rPr>
        <w:t>under Article 17</w:t>
      </w:r>
      <w:r>
        <w:rPr>
          <w:rFonts w:cs="Helvetica"/>
          <w:color w:val="333333"/>
        </w:rPr>
        <w:t xml:space="preserve"> </w:t>
      </w:r>
      <w:r w:rsidR="00CA09D3">
        <w:rPr>
          <w:rFonts w:cs="Helvetica"/>
          <w:color w:val="333333"/>
        </w:rPr>
        <w:t xml:space="preserve">to </w:t>
      </w:r>
      <w:r w:rsidR="00CA09D3" w:rsidRPr="00CA09D3">
        <w:rPr>
          <w:rFonts w:cs="Helvetica"/>
          <w:color w:val="333333"/>
        </w:rPr>
        <w:t xml:space="preserve">affected or potentially affected States, the Biosafety Clearing-House and, where appropriate, relevant international </w:t>
      </w:r>
      <w:proofErr w:type="gramStart"/>
      <w:r w:rsidR="00CA09D3" w:rsidRPr="00CA09D3">
        <w:rPr>
          <w:rFonts w:cs="Helvetica"/>
          <w:color w:val="333333"/>
        </w:rPr>
        <w:t>organi</w:t>
      </w:r>
      <w:r w:rsidR="00AF4006">
        <w:rPr>
          <w:rFonts w:cs="Helvetica"/>
          <w:color w:val="333333"/>
        </w:rPr>
        <w:t>s</w:t>
      </w:r>
      <w:r w:rsidR="00CA09D3" w:rsidRPr="00CA09D3">
        <w:rPr>
          <w:rFonts w:cs="Helvetica"/>
          <w:color w:val="333333"/>
        </w:rPr>
        <w:t>ations</w:t>
      </w:r>
      <w:r w:rsidR="00CA09D3">
        <w:rPr>
          <w:rFonts w:cs="Helvetica"/>
          <w:color w:val="333333"/>
        </w:rPr>
        <w:t>,</w:t>
      </w:r>
      <w:proofErr w:type="gramEnd"/>
      <w:r w:rsidR="00CA09D3">
        <w:rPr>
          <w:rFonts w:cs="Helvetica"/>
          <w:color w:val="333333"/>
        </w:rPr>
        <w:t xml:space="preserve"> should include</w:t>
      </w:r>
      <w:r w:rsidR="00D11362">
        <w:rPr>
          <w:rFonts w:cs="Helvetica"/>
          <w:color w:val="333333"/>
        </w:rPr>
        <w:t>, in addition to the information specifically required under Article 17</w:t>
      </w:r>
      <w:r w:rsidR="00CA09D3">
        <w:rPr>
          <w:rFonts w:cs="Helvetica"/>
          <w:color w:val="333333"/>
        </w:rPr>
        <w:t>:</w:t>
      </w:r>
    </w:p>
    <w:p w:rsidR="0089541C" w:rsidRPr="00D11362" w:rsidRDefault="0089541C" w:rsidP="00B40720">
      <w:pPr>
        <w:pStyle w:val="ListParagraph"/>
        <w:numPr>
          <w:ilvl w:val="0"/>
          <w:numId w:val="15"/>
        </w:numPr>
        <w:jc w:val="both"/>
        <w:rPr>
          <w:rFonts w:cs="Helvetica"/>
          <w:color w:val="333333"/>
        </w:rPr>
      </w:pPr>
      <w:r w:rsidRPr="00D11362">
        <w:rPr>
          <w:rFonts w:cs="Helvetica"/>
          <w:color w:val="333333"/>
        </w:rPr>
        <w:t xml:space="preserve">Information on emergency measures adopted </w:t>
      </w:r>
      <w:r w:rsidR="0022162F">
        <w:rPr>
          <w:rFonts w:cs="Helvetica"/>
          <w:color w:val="333333"/>
        </w:rPr>
        <w:t xml:space="preserve">or being considered </w:t>
      </w:r>
      <w:r w:rsidRPr="00D11362">
        <w:rPr>
          <w:rFonts w:cs="Helvetica"/>
          <w:color w:val="333333"/>
        </w:rPr>
        <w:t>by the originating Party</w:t>
      </w:r>
      <w:r w:rsidR="004E338D" w:rsidRPr="00D11362">
        <w:rPr>
          <w:rFonts w:cs="Helvetica"/>
          <w:color w:val="333333"/>
        </w:rPr>
        <w:t xml:space="preserve"> in response to the release of the LMO</w:t>
      </w:r>
      <w:r w:rsidR="00B40720" w:rsidRPr="00D11362">
        <w:rPr>
          <w:rFonts w:cs="Helvetica"/>
          <w:color w:val="333333"/>
        </w:rPr>
        <w:t>;</w:t>
      </w:r>
    </w:p>
    <w:p w:rsidR="00B07360" w:rsidRDefault="009F68AA" w:rsidP="00B40720">
      <w:pPr>
        <w:pStyle w:val="ListParagraph"/>
        <w:numPr>
          <w:ilvl w:val="0"/>
          <w:numId w:val="15"/>
        </w:numPr>
        <w:jc w:val="both"/>
        <w:rPr>
          <w:rFonts w:cs="Helvetica"/>
          <w:color w:val="333333"/>
        </w:rPr>
      </w:pPr>
      <w:proofErr w:type="gramStart"/>
      <w:r>
        <w:rPr>
          <w:rFonts w:cs="Helvetica"/>
          <w:color w:val="333333"/>
        </w:rPr>
        <w:t>a</w:t>
      </w:r>
      <w:r w:rsidRPr="00D11362">
        <w:rPr>
          <w:rFonts w:cs="Helvetica"/>
          <w:color w:val="333333"/>
        </w:rPr>
        <w:t>ny</w:t>
      </w:r>
      <w:proofErr w:type="gramEnd"/>
      <w:r w:rsidR="00B07360" w:rsidRPr="00D11362">
        <w:rPr>
          <w:rFonts w:cs="Helvetica"/>
          <w:color w:val="333333"/>
        </w:rPr>
        <w:t xml:space="preserve"> available information on methods of detection and identification and on reference material and control samples</w:t>
      </w:r>
      <w:r w:rsidR="00B8036A" w:rsidRPr="00D11362">
        <w:rPr>
          <w:rFonts w:cs="Helvetica"/>
          <w:color w:val="333333"/>
        </w:rPr>
        <w:t xml:space="preserve"> of the LMO</w:t>
      </w:r>
      <w:r w:rsidR="0037459E">
        <w:rPr>
          <w:rFonts w:cs="Helvetica"/>
          <w:color w:val="333333"/>
        </w:rPr>
        <w:t>.</w:t>
      </w:r>
    </w:p>
    <w:p w:rsidR="003D2189" w:rsidRPr="007702BD" w:rsidRDefault="009F68AA" w:rsidP="00AD735F">
      <w:pPr>
        <w:jc w:val="both"/>
        <w:rPr>
          <w:color w:val="333333"/>
        </w:rPr>
      </w:pPr>
      <w:r>
        <w:rPr>
          <w:rFonts w:cs="Helvetica"/>
          <w:color w:val="333333"/>
        </w:rPr>
        <w:t>All information should be kept under review and up-dated as necessary to help countries respond.</w:t>
      </w:r>
    </w:p>
    <w:p w:rsidR="003D2189" w:rsidRDefault="003D2189" w:rsidP="00AD735F">
      <w:pPr>
        <w:pStyle w:val="ListParagraph"/>
        <w:numPr>
          <w:ilvl w:val="0"/>
          <w:numId w:val="1"/>
        </w:numPr>
        <w:jc w:val="both"/>
        <w:rPr>
          <w:rFonts w:cs="Helvetica"/>
          <w:b/>
          <w:color w:val="333333"/>
        </w:rPr>
      </w:pPr>
      <w:r>
        <w:rPr>
          <w:rFonts w:cs="Helvetica"/>
          <w:b/>
          <w:color w:val="333333"/>
        </w:rPr>
        <w:t>Final considerations</w:t>
      </w:r>
    </w:p>
    <w:p w:rsidR="005151F0" w:rsidRDefault="005151F0" w:rsidP="003A00B5">
      <w:pPr>
        <w:jc w:val="both"/>
        <w:rPr>
          <w:rFonts w:cs="Helvetica"/>
          <w:color w:val="333333"/>
        </w:rPr>
      </w:pPr>
      <w:r>
        <w:rPr>
          <w:rFonts w:cs="Helvetica"/>
          <w:color w:val="333333"/>
        </w:rPr>
        <w:t xml:space="preserve">As a result of the considerations above and in line with the text of the Cartagena Protocol, </w:t>
      </w:r>
      <w:r w:rsidR="00AB3237" w:rsidRPr="003A00B5">
        <w:rPr>
          <w:rFonts w:cs="Helvetica"/>
          <w:color w:val="333333"/>
        </w:rPr>
        <w:t>we recommend that any reference to Article 17 of the Cartagena Protocol (e.g. Operational objective 1.8 and i</w:t>
      </w:r>
      <w:r w:rsidR="00AB3237" w:rsidRPr="007F6604">
        <w:rPr>
          <w:rFonts w:cs="Helvetica"/>
          <w:color w:val="333333"/>
        </w:rPr>
        <w:t>ndicator 1.8.3 of the Strategic Plan</w:t>
      </w:r>
      <w:r w:rsidR="00AB3237">
        <w:rPr>
          <w:rFonts w:cs="Helvetica"/>
          <w:color w:val="333333"/>
        </w:rPr>
        <w:t xml:space="preserve">, questions 99 to 101 of the Third National Report) </w:t>
      </w:r>
      <w:r w:rsidR="00AB3237" w:rsidRPr="003A00B5">
        <w:rPr>
          <w:rFonts w:cs="Helvetica"/>
          <w:color w:val="333333"/>
        </w:rPr>
        <w:t xml:space="preserve">be focused on the release of an LMO, rather than on the unintentional </w:t>
      </w:r>
      <w:proofErr w:type="spellStart"/>
      <w:r w:rsidR="00AB3237" w:rsidRPr="003A00B5">
        <w:rPr>
          <w:rFonts w:cs="Helvetica"/>
          <w:color w:val="333333"/>
        </w:rPr>
        <w:t>transboundary</w:t>
      </w:r>
      <w:proofErr w:type="spellEnd"/>
      <w:r w:rsidR="00AB3237" w:rsidRPr="003A00B5">
        <w:rPr>
          <w:rFonts w:cs="Helvetica"/>
          <w:color w:val="333333"/>
        </w:rPr>
        <w:t xml:space="preserve"> movement which results or may result from that release. This would avoid any misinterpretation or doubt in the interpretation of UTM versus ITM and would clarify on which cases Article 17 and Article 25 apply.</w:t>
      </w:r>
    </w:p>
    <w:p w:rsidR="00516D46" w:rsidRPr="009C31B9" w:rsidRDefault="00516D46" w:rsidP="009C31B9">
      <w:pPr>
        <w:autoSpaceDE w:val="0"/>
        <w:autoSpaceDN w:val="0"/>
        <w:adjustRightInd w:val="0"/>
        <w:spacing w:after="0" w:line="240" w:lineRule="auto"/>
        <w:jc w:val="both"/>
        <w:rPr>
          <w:rFonts w:cs="Helvetica"/>
          <w:b/>
          <w:color w:val="333333"/>
          <w:lang w:val="en"/>
        </w:rPr>
      </w:pPr>
    </w:p>
    <w:sectPr w:rsidR="00516D46" w:rsidRPr="009C31B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F7" w:rsidRDefault="00B151F7" w:rsidP="003819A8">
      <w:pPr>
        <w:spacing w:after="0" w:line="240" w:lineRule="auto"/>
      </w:pPr>
      <w:r>
        <w:separator/>
      </w:r>
    </w:p>
  </w:endnote>
  <w:endnote w:type="continuationSeparator" w:id="0">
    <w:p w:rsidR="00B151F7" w:rsidRDefault="00B151F7" w:rsidP="003819A8">
      <w:pPr>
        <w:spacing w:after="0" w:line="240" w:lineRule="auto"/>
      </w:pPr>
      <w:r>
        <w:continuationSeparator/>
      </w:r>
    </w:p>
  </w:endnote>
  <w:endnote w:type="continuationNotice" w:id="1">
    <w:p w:rsidR="00B151F7" w:rsidRDefault="00B151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CB" w:rsidRDefault="00320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F7" w:rsidRDefault="00B151F7" w:rsidP="003819A8">
      <w:pPr>
        <w:spacing w:after="0" w:line="240" w:lineRule="auto"/>
      </w:pPr>
      <w:r>
        <w:separator/>
      </w:r>
    </w:p>
  </w:footnote>
  <w:footnote w:type="continuationSeparator" w:id="0">
    <w:p w:rsidR="00B151F7" w:rsidRDefault="00B151F7" w:rsidP="003819A8">
      <w:pPr>
        <w:spacing w:after="0" w:line="240" w:lineRule="auto"/>
      </w:pPr>
      <w:r>
        <w:continuationSeparator/>
      </w:r>
    </w:p>
  </w:footnote>
  <w:footnote w:type="continuationNotice" w:id="1">
    <w:p w:rsidR="00B151F7" w:rsidRDefault="00B151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CB" w:rsidRDefault="00320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0C59"/>
    <w:multiLevelType w:val="hybridMultilevel"/>
    <w:tmpl w:val="B466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383B0F"/>
    <w:multiLevelType w:val="multilevel"/>
    <w:tmpl w:val="CE22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361D9"/>
    <w:multiLevelType w:val="hybridMultilevel"/>
    <w:tmpl w:val="0414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4A6007"/>
    <w:multiLevelType w:val="hybridMultilevel"/>
    <w:tmpl w:val="875C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3442A"/>
    <w:multiLevelType w:val="hybridMultilevel"/>
    <w:tmpl w:val="75F4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5162AE"/>
    <w:multiLevelType w:val="hybridMultilevel"/>
    <w:tmpl w:val="FDC89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8806ED"/>
    <w:multiLevelType w:val="hybridMultilevel"/>
    <w:tmpl w:val="B59C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206F29"/>
    <w:multiLevelType w:val="hybridMultilevel"/>
    <w:tmpl w:val="ADA0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520A8D"/>
    <w:multiLevelType w:val="hybridMultilevel"/>
    <w:tmpl w:val="1EC012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42593A"/>
    <w:multiLevelType w:val="hybridMultilevel"/>
    <w:tmpl w:val="096A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404AC"/>
    <w:multiLevelType w:val="hybridMultilevel"/>
    <w:tmpl w:val="64A800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4025CD4"/>
    <w:multiLevelType w:val="hybridMultilevel"/>
    <w:tmpl w:val="08B8F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457843"/>
    <w:multiLevelType w:val="hybridMultilevel"/>
    <w:tmpl w:val="CCB49D1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0EC6A1E"/>
    <w:multiLevelType w:val="hybridMultilevel"/>
    <w:tmpl w:val="8B0C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F510C5"/>
    <w:multiLevelType w:val="hybridMultilevel"/>
    <w:tmpl w:val="2700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2F20A3"/>
    <w:multiLevelType w:val="hybridMultilevel"/>
    <w:tmpl w:val="8230E0B2"/>
    <w:lvl w:ilvl="0" w:tplc="F7F8B00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1"/>
  </w:num>
  <w:num w:numId="3">
    <w:abstractNumId w:val="5"/>
  </w:num>
  <w:num w:numId="4">
    <w:abstractNumId w:val="14"/>
  </w:num>
  <w:num w:numId="5">
    <w:abstractNumId w:val="1"/>
  </w:num>
  <w:num w:numId="6">
    <w:abstractNumId w:val="0"/>
  </w:num>
  <w:num w:numId="7">
    <w:abstractNumId w:val="7"/>
  </w:num>
  <w:num w:numId="8">
    <w:abstractNumId w:val="8"/>
  </w:num>
  <w:num w:numId="9">
    <w:abstractNumId w:val="15"/>
  </w:num>
  <w:num w:numId="10">
    <w:abstractNumId w:val="12"/>
  </w:num>
  <w:num w:numId="11">
    <w:abstractNumId w:val="4"/>
  </w:num>
  <w:num w:numId="12">
    <w:abstractNumId w:val="2"/>
  </w:num>
  <w:num w:numId="13">
    <w:abstractNumId w:val="3"/>
  </w:num>
  <w:num w:numId="14">
    <w:abstractNumId w:val="9"/>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A6889"/>
    <w:rsid w:val="00020583"/>
    <w:rsid w:val="00080500"/>
    <w:rsid w:val="00090F3F"/>
    <w:rsid w:val="000A3212"/>
    <w:rsid w:val="000C2D0A"/>
    <w:rsid w:val="000D0421"/>
    <w:rsid w:val="000D5258"/>
    <w:rsid w:val="000F36C4"/>
    <w:rsid w:val="000F4F62"/>
    <w:rsid w:val="001016AD"/>
    <w:rsid w:val="00104C94"/>
    <w:rsid w:val="00114425"/>
    <w:rsid w:val="0013296E"/>
    <w:rsid w:val="00162EEB"/>
    <w:rsid w:val="00170C0A"/>
    <w:rsid w:val="001B2F69"/>
    <w:rsid w:val="001C146D"/>
    <w:rsid w:val="001E2F8B"/>
    <w:rsid w:val="001E4733"/>
    <w:rsid w:val="001E77E6"/>
    <w:rsid w:val="001F394A"/>
    <w:rsid w:val="0021180F"/>
    <w:rsid w:val="0022162F"/>
    <w:rsid w:val="00240866"/>
    <w:rsid w:val="002503B4"/>
    <w:rsid w:val="00271CD8"/>
    <w:rsid w:val="00277935"/>
    <w:rsid w:val="00290926"/>
    <w:rsid w:val="00296E1C"/>
    <w:rsid w:val="002A0361"/>
    <w:rsid w:val="002A6864"/>
    <w:rsid w:val="002B2C08"/>
    <w:rsid w:val="002B2DFE"/>
    <w:rsid w:val="002B5C76"/>
    <w:rsid w:val="002C1382"/>
    <w:rsid w:val="002E3E7C"/>
    <w:rsid w:val="003134FB"/>
    <w:rsid w:val="003209CB"/>
    <w:rsid w:val="003228EC"/>
    <w:rsid w:val="00325E00"/>
    <w:rsid w:val="00345A95"/>
    <w:rsid w:val="00366101"/>
    <w:rsid w:val="0037459E"/>
    <w:rsid w:val="003769A2"/>
    <w:rsid w:val="003819A8"/>
    <w:rsid w:val="0039237F"/>
    <w:rsid w:val="003967A0"/>
    <w:rsid w:val="003A00B5"/>
    <w:rsid w:val="003B04D4"/>
    <w:rsid w:val="003B61EC"/>
    <w:rsid w:val="003D2189"/>
    <w:rsid w:val="003E3207"/>
    <w:rsid w:val="003F6F1B"/>
    <w:rsid w:val="00460DE7"/>
    <w:rsid w:val="00476EE9"/>
    <w:rsid w:val="00496282"/>
    <w:rsid w:val="004A58FC"/>
    <w:rsid w:val="004A6889"/>
    <w:rsid w:val="004C290C"/>
    <w:rsid w:val="004D17F4"/>
    <w:rsid w:val="004E338D"/>
    <w:rsid w:val="004F4FEA"/>
    <w:rsid w:val="004F79AC"/>
    <w:rsid w:val="005151F0"/>
    <w:rsid w:val="00516D46"/>
    <w:rsid w:val="00523400"/>
    <w:rsid w:val="00526774"/>
    <w:rsid w:val="00537F6C"/>
    <w:rsid w:val="00560679"/>
    <w:rsid w:val="00585B7D"/>
    <w:rsid w:val="005B0EB9"/>
    <w:rsid w:val="00633AFB"/>
    <w:rsid w:val="006414CC"/>
    <w:rsid w:val="00642A67"/>
    <w:rsid w:val="0067423C"/>
    <w:rsid w:val="006760E4"/>
    <w:rsid w:val="006803D3"/>
    <w:rsid w:val="006C7CDF"/>
    <w:rsid w:val="006D20E5"/>
    <w:rsid w:val="006E5397"/>
    <w:rsid w:val="00710E31"/>
    <w:rsid w:val="00712329"/>
    <w:rsid w:val="007702BD"/>
    <w:rsid w:val="0077652E"/>
    <w:rsid w:val="00791B8C"/>
    <w:rsid w:val="0079516C"/>
    <w:rsid w:val="007A2846"/>
    <w:rsid w:val="007A318F"/>
    <w:rsid w:val="007D0212"/>
    <w:rsid w:val="007E6D2B"/>
    <w:rsid w:val="007F6604"/>
    <w:rsid w:val="00814ED0"/>
    <w:rsid w:val="008168FB"/>
    <w:rsid w:val="0086671A"/>
    <w:rsid w:val="008770D6"/>
    <w:rsid w:val="00884A46"/>
    <w:rsid w:val="008868C2"/>
    <w:rsid w:val="0089541C"/>
    <w:rsid w:val="008A4676"/>
    <w:rsid w:val="008D4151"/>
    <w:rsid w:val="008F77F7"/>
    <w:rsid w:val="00906EF5"/>
    <w:rsid w:val="00912DE6"/>
    <w:rsid w:val="00920111"/>
    <w:rsid w:val="009326BE"/>
    <w:rsid w:val="00960060"/>
    <w:rsid w:val="00964029"/>
    <w:rsid w:val="00972A41"/>
    <w:rsid w:val="009C31B9"/>
    <w:rsid w:val="009C425B"/>
    <w:rsid w:val="009D1C42"/>
    <w:rsid w:val="009F68AA"/>
    <w:rsid w:val="00A00DE5"/>
    <w:rsid w:val="00A04C99"/>
    <w:rsid w:val="00A35AFD"/>
    <w:rsid w:val="00A829EA"/>
    <w:rsid w:val="00A90349"/>
    <w:rsid w:val="00AB103C"/>
    <w:rsid w:val="00AB3237"/>
    <w:rsid w:val="00AC5BBC"/>
    <w:rsid w:val="00AD735F"/>
    <w:rsid w:val="00AE160A"/>
    <w:rsid w:val="00AE2413"/>
    <w:rsid w:val="00AE5B23"/>
    <w:rsid w:val="00AF4006"/>
    <w:rsid w:val="00B07360"/>
    <w:rsid w:val="00B151F7"/>
    <w:rsid w:val="00B332FC"/>
    <w:rsid w:val="00B40720"/>
    <w:rsid w:val="00B451A3"/>
    <w:rsid w:val="00B46A6B"/>
    <w:rsid w:val="00B500AE"/>
    <w:rsid w:val="00B8036A"/>
    <w:rsid w:val="00BA482A"/>
    <w:rsid w:val="00BA4C6B"/>
    <w:rsid w:val="00BC6F0C"/>
    <w:rsid w:val="00C039E8"/>
    <w:rsid w:val="00C5008E"/>
    <w:rsid w:val="00C75ED7"/>
    <w:rsid w:val="00CA09D3"/>
    <w:rsid w:val="00CA0C2A"/>
    <w:rsid w:val="00CA75D3"/>
    <w:rsid w:val="00CF1336"/>
    <w:rsid w:val="00CF528A"/>
    <w:rsid w:val="00D06453"/>
    <w:rsid w:val="00D11362"/>
    <w:rsid w:val="00D23CBF"/>
    <w:rsid w:val="00D41ECC"/>
    <w:rsid w:val="00D56E32"/>
    <w:rsid w:val="00D74ADD"/>
    <w:rsid w:val="00D76AE9"/>
    <w:rsid w:val="00D91CDC"/>
    <w:rsid w:val="00DB23D0"/>
    <w:rsid w:val="00DB4914"/>
    <w:rsid w:val="00E10194"/>
    <w:rsid w:val="00E44255"/>
    <w:rsid w:val="00E51527"/>
    <w:rsid w:val="00E6061F"/>
    <w:rsid w:val="00E83430"/>
    <w:rsid w:val="00EB0FC9"/>
    <w:rsid w:val="00EB1005"/>
    <w:rsid w:val="00EF5D5F"/>
    <w:rsid w:val="00F15C31"/>
    <w:rsid w:val="00F36E44"/>
    <w:rsid w:val="00F64BC7"/>
    <w:rsid w:val="00F678F3"/>
    <w:rsid w:val="00FD2FD4"/>
    <w:rsid w:val="00FE7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8EC"/>
    <w:pPr>
      <w:ind w:left="720"/>
      <w:contextualSpacing/>
    </w:pPr>
  </w:style>
  <w:style w:type="table" w:styleId="TableGrid">
    <w:name w:val="Table Grid"/>
    <w:basedOn w:val="TableNormal"/>
    <w:uiPriority w:val="59"/>
    <w:rsid w:val="00BA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16D46"/>
    <w:rPr>
      <w:b/>
      <w:bCs/>
    </w:rPr>
  </w:style>
  <w:style w:type="paragraph" w:styleId="FootnoteText">
    <w:name w:val="footnote text"/>
    <w:basedOn w:val="Normal"/>
    <w:link w:val="FootnoteTextChar"/>
    <w:semiHidden/>
    <w:rsid w:val="003819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819A8"/>
    <w:rPr>
      <w:rFonts w:ascii="Times New Roman" w:eastAsia="Times New Roman" w:hAnsi="Times New Roman" w:cs="Times New Roman"/>
      <w:sz w:val="20"/>
      <w:szCs w:val="20"/>
    </w:rPr>
  </w:style>
  <w:style w:type="character" w:styleId="FootnoteReference">
    <w:name w:val="footnote reference"/>
    <w:rsid w:val="003819A8"/>
    <w:rPr>
      <w:vertAlign w:val="superscript"/>
    </w:rPr>
  </w:style>
  <w:style w:type="character" w:styleId="CommentReference">
    <w:name w:val="annotation reference"/>
    <w:basedOn w:val="DefaultParagraphFont"/>
    <w:uiPriority w:val="99"/>
    <w:semiHidden/>
    <w:unhideWhenUsed/>
    <w:rsid w:val="00E10194"/>
    <w:rPr>
      <w:sz w:val="16"/>
      <w:szCs w:val="16"/>
    </w:rPr>
  </w:style>
  <w:style w:type="paragraph" w:styleId="CommentText">
    <w:name w:val="annotation text"/>
    <w:basedOn w:val="Normal"/>
    <w:link w:val="CommentTextChar"/>
    <w:uiPriority w:val="99"/>
    <w:unhideWhenUsed/>
    <w:rsid w:val="00E10194"/>
    <w:pPr>
      <w:spacing w:line="240" w:lineRule="auto"/>
    </w:pPr>
    <w:rPr>
      <w:sz w:val="20"/>
      <w:szCs w:val="20"/>
    </w:rPr>
  </w:style>
  <w:style w:type="character" w:customStyle="1" w:styleId="CommentTextChar">
    <w:name w:val="Comment Text Char"/>
    <w:basedOn w:val="DefaultParagraphFont"/>
    <w:link w:val="CommentText"/>
    <w:uiPriority w:val="99"/>
    <w:rsid w:val="00E10194"/>
    <w:rPr>
      <w:sz w:val="20"/>
      <w:szCs w:val="20"/>
    </w:rPr>
  </w:style>
  <w:style w:type="paragraph" w:styleId="CommentSubject">
    <w:name w:val="annotation subject"/>
    <w:basedOn w:val="CommentText"/>
    <w:next w:val="CommentText"/>
    <w:link w:val="CommentSubjectChar"/>
    <w:uiPriority w:val="99"/>
    <w:semiHidden/>
    <w:unhideWhenUsed/>
    <w:rsid w:val="00E10194"/>
    <w:rPr>
      <w:b/>
      <w:bCs/>
    </w:rPr>
  </w:style>
  <w:style w:type="character" w:customStyle="1" w:styleId="CommentSubjectChar">
    <w:name w:val="Comment Subject Char"/>
    <w:basedOn w:val="CommentTextChar"/>
    <w:link w:val="CommentSubject"/>
    <w:uiPriority w:val="99"/>
    <w:semiHidden/>
    <w:rsid w:val="00E10194"/>
    <w:rPr>
      <w:b/>
      <w:bCs/>
      <w:sz w:val="20"/>
      <w:szCs w:val="20"/>
    </w:rPr>
  </w:style>
  <w:style w:type="paragraph" w:styleId="BalloonText">
    <w:name w:val="Balloon Text"/>
    <w:basedOn w:val="Normal"/>
    <w:link w:val="BalloonTextChar"/>
    <w:uiPriority w:val="99"/>
    <w:semiHidden/>
    <w:unhideWhenUsed/>
    <w:rsid w:val="00E1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94"/>
    <w:rPr>
      <w:rFonts w:ascii="Tahoma" w:hAnsi="Tahoma" w:cs="Tahoma"/>
      <w:sz w:val="16"/>
      <w:szCs w:val="16"/>
    </w:rPr>
  </w:style>
  <w:style w:type="paragraph" w:styleId="Revision">
    <w:name w:val="Revision"/>
    <w:hidden/>
    <w:uiPriority w:val="99"/>
    <w:semiHidden/>
    <w:rsid w:val="00884A46"/>
    <w:pPr>
      <w:spacing w:after="0" w:line="240" w:lineRule="auto"/>
    </w:pPr>
  </w:style>
  <w:style w:type="character" w:styleId="Hyperlink">
    <w:name w:val="Hyperlink"/>
    <w:basedOn w:val="DefaultParagraphFont"/>
    <w:uiPriority w:val="99"/>
    <w:unhideWhenUsed/>
    <w:rsid w:val="0039237F"/>
    <w:rPr>
      <w:color w:val="0000FF" w:themeColor="hyperlink"/>
      <w:u w:val="single"/>
    </w:rPr>
  </w:style>
  <w:style w:type="character" w:customStyle="1" w:styleId="cmsbold1">
    <w:name w:val="cmsbold1"/>
    <w:basedOn w:val="DefaultParagraphFont"/>
    <w:rsid w:val="00EB0FC9"/>
    <w:rPr>
      <w:rFonts w:ascii="Verdana" w:hAnsi="Verdana" w:hint="default"/>
      <w:b/>
      <w:bCs/>
      <w:sz w:val="17"/>
      <w:szCs w:val="17"/>
    </w:rPr>
  </w:style>
  <w:style w:type="paragraph" w:styleId="Header">
    <w:name w:val="header"/>
    <w:basedOn w:val="Normal"/>
    <w:link w:val="HeaderChar"/>
    <w:uiPriority w:val="99"/>
    <w:unhideWhenUsed/>
    <w:rsid w:val="003209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09CB"/>
  </w:style>
  <w:style w:type="paragraph" w:styleId="Footer">
    <w:name w:val="footer"/>
    <w:basedOn w:val="Normal"/>
    <w:link w:val="FooterChar"/>
    <w:uiPriority w:val="99"/>
    <w:unhideWhenUsed/>
    <w:rsid w:val="003209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0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8EC"/>
    <w:pPr>
      <w:ind w:left="720"/>
      <w:contextualSpacing/>
    </w:pPr>
  </w:style>
  <w:style w:type="table" w:styleId="TableGrid">
    <w:name w:val="Table Grid"/>
    <w:basedOn w:val="TableNormal"/>
    <w:uiPriority w:val="59"/>
    <w:rsid w:val="00BA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16D46"/>
    <w:rPr>
      <w:b/>
      <w:bCs/>
    </w:rPr>
  </w:style>
  <w:style w:type="paragraph" w:styleId="FootnoteText">
    <w:name w:val="footnote text"/>
    <w:basedOn w:val="Normal"/>
    <w:link w:val="FootnoteTextChar"/>
    <w:semiHidden/>
    <w:rsid w:val="003819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819A8"/>
    <w:rPr>
      <w:rFonts w:ascii="Times New Roman" w:eastAsia="Times New Roman" w:hAnsi="Times New Roman" w:cs="Times New Roman"/>
      <w:sz w:val="20"/>
      <w:szCs w:val="20"/>
    </w:rPr>
  </w:style>
  <w:style w:type="character" w:styleId="FootnoteReference">
    <w:name w:val="footnote reference"/>
    <w:rsid w:val="003819A8"/>
    <w:rPr>
      <w:vertAlign w:val="superscript"/>
    </w:rPr>
  </w:style>
  <w:style w:type="character" w:styleId="CommentReference">
    <w:name w:val="annotation reference"/>
    <w:basedOn w:val="DefaultParagraphFont"/>
    <w:uiPriority w:val="99"/>
    <w:semiHidden/>
    <w:unhideWhenUsed/>
    <w:rsid w:val="00E10194"/>
    <w:rPr>
      <w:sz w:val="16"/>
      <w:szCs w:val="16"/>
    </w:rPr>
  </w:style>
  <w:style w:type="paragraph" w:styleId="CommentText">
    <w:name w:val="annotation text"/>
    <w:basedOn w:val="Normal"/>
    <w:link w:val="CommentTextChar"/>
    <w:uiPriority w:val="99"/>
    <w:unhideWhenUsed/>
    <w:rsid w:val="00E10194"/>
    <w:pPr>
      <w:spacing w:line="240" w:lineRule="auto"/>
    </w:pPr>
    <w:rPr>
      <w:sz w:val="20"/>
      <w:szCs w:val="20"/>
    </w:rPr>
  </w:style>
  <w:style w:type="character" w:customStyle="1" w:styleId="CommentTextChar">
    <w:name w:val="Comment Text Char"/>
    <w:basedOn w:val="DefaultParagraphFont"/>
    <w:link w:val="CommentText"/>
    <w:uiPriority w:val="99"/>
    <w:rsid w:val="00E10194"/>
    <w:rPr>
      <w:sz w:val="20"/>
      <w:szCs w:val="20"/>
    </w:rPr>
  </w:style>
  <w:style w:type="paragraph" w:styleId="CommentSubject">
    <w:name w:val="annotation subject"/>
    <w:basedOn w:val="CommentText"/>
    <w:next w:val="CommentText"/>
    <w:link w:val="CommentSubjectChar"/>
    <w:uiPriority w:val="99"/>
    <w:semiHidden/>
    <w:unhideWhenUsed/>
    <w:rsid w:val="00E10194"/>
    <w:rPr>
      <w:b/>
      <w:bCs/>
    </w:rPr>
  </w:style>
  <w:style w:type="character" w:customStyle="1" w:styleId="CommentSubjectChar">
    <w:name w:val="Comment Subject Char"/>
    <w:basedOn w:val="CommentTextChar"/>
    <w:link w:val="CommentSubject"/>
    <w:uiPriority w:val="99"/>
    <w:semiHidden/>
    <w:rsid w:val="00E10194"/>
    <w:rPr>
      <w:b/>
      <w:bCs/>
      <w:sz w:val="20"/>
      <w:szCs w:val="20"/>
    </w:rPr>
  </w:style>
  <w:style w:type="paragraph" w:styleId="BalloonText">
    <w:name w:val="Balloon Text"/>
    <w:basedOn w:val="Normal"/>
    <w:link w:val="BalloonTextChar"/>
    <w:uiPriority w:val="99"/>
    <w:semiHidden/>
    <w:unhideWhenUsed/>
    <w:rsid w:val="00E1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94"/>
    <w:rPr>
      <w:rFonts w:ascii="Tahoma" w:hAnsi="Tahoma" w:cs="Tahoma"/>
      <w:sz w:val="16"/>
      <w:szCs w:val="16"/>
    </w:rPr>
  </w:style>
  <w:style w:type="paragraph" w:styleId="Revision">
    <w:name w:val="Revision"/>
    <w:hidden/>
    <w:uiPriority w:val="99"/>
    <w:semiHidden/>
    <w:rsid w:val="00884A46"/>
    <w:pPr>
      <w:spacing w:after="0" w:line="240" w:lineRule="auto"/>
    </w:pPr>
  </w:style>
  <w:style w:type="character" w:styleId="Hyperlink">
    <w:name w:val="Hyperlink"/>
    <w:basedOn w:val="DefaultParagraphFont"/>
    <w:uiPriority w:val="99"/>
    <w:unhideWhenUsed/>
    <w:rsid w:val="0039237F"/>
    <w:rPr>
      <w:color w:val="0000FF" w:themeColor="hyperlink"/>
      <w:u w:val="single"/>
    </w:rPr>
  </w:style>
  <w:style w:type="character" w:customStyle="1" w:styleId="cmsbold1">
    <w:name w:val="cmsbold1"/>
    <w:basedOn w:val="DefaultParagraphFont"/>
    <w:rsid w:val="00EB0FC9"/>
    <w:rPr>
      <w:rFonts w:ascii="Verdana" w:hAnsi="Verdana" w:hint="default"/>
      <w:b/>
      <w:bCs/>
      <w:sz w:val="17"/>
      <w:szCs w:val="17"/>
    </w:rPr>
  </w:style>
  <w:style w:type="paragraph" w:styleId="Header">
    <w:name w:val="header"/>
    <w:basedOn w:val="Normal"/>
    <w:link w:val="HeaderChar"/>
    <w:uiPriority w:val="99"/>
    <w:unhideWhenUsed/>
    <w:rsid w:val="003209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09CB"/>
  </w:style>
  <w:style w:type="paragraph" w:styleId="Footer">
    <w:name w:val="footer"/>
    <w:basedOn w:val="Normal"/>
    <w:link w:val="FooterChar"/>
    <w:uiPriority w:val="99"/>
    <w:unhideWhenUsed/>
    <w:rsid w:val="003209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0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83284">
      <w:bodyDiv w:val="1"/>
      <w:marLeft w:val="0"/>
      <w:marRight w:val="0"/>
      <w:marTop w:val="0"/>
      <w:marBottom w:val="0"/>
      <w:divBdr>
        <w:top w:val="none" w:sz="0" w:space="0" w:color="auto"/>
        <w:left w:val="none" w:sz="0" w:space="0" w:color="auto"/>
        <w:bottom w:val="none" w:sz="0" w:space="0" w:color="auto"/>
        <w:right w:val="none" w:sz="0" w:space="0" w:color="auto"/>
      </w:divBdr>
      <w:divsChild>
        <w:div w:id="1626690163">
          <w:marLeft w:val="0"/>
          <w:marRight w:val="0"/>
          <w:marTop w:val="0"/>
          <w:marBottom w:val="0"/>
          <w:divBdr>
            <w:top w:val="single" w:sz="2" w:space="0" w:color="FFFFFF"/>
            <w:left w:val="single" w:sz="2" w:space="0" w:color="FFFFFF"/>
            <w:bottom w:val="single" w:sz="2" w:space="0" w:color="FFFFFF"/>
            <w:right w:val="single" w:sz="2" w:space="0" w:color="FFFFFF"/>
          </w:divBdr>
          <w:divsChild>
            <w:div w:id="967778045">
              <w:marLeft w:val="0"/>
              <w:marRight w:val="0"/>
              <w:marTop w:val="0"/>
              <w:marBottom w:val="0"/>
              <w:divBdr>
                <w:top w:val="single" w:sz="6" w:space="0" w:color="FFFFFF"/>
                <w:left w:val="none" w:sz="0" w:space="0" w:color="auto"/>
                <w:bottom w:val="none" w:sz="0" w:space="0" w:color="auto"/>
                <w:right w:val="none" w:sz="0" w:space="0" w:color="auto"/>
              </w:divBdr>
              <w:divsChild>
                <w:div w:id="2093579784">
                  <w:marLeft w:val="0"/>
                  <w:marRight w:val="0"/>
                  <w:marTop w:val="0"/>
                  <w:marBottom w:val="0"/>
                  <w:divBdr>
                    <w:top w:val="none" w:sz="0" w:space="0" w:color="auto"/>
                    <w:left w:val="none" w:sz="0" w:space="0" w:color="auto"/>
                    <w:bottom w:val="none" w:sz="0" w:space="0" w:color="auto"/>
                    <w:right w:val="none" w:sz="0" w:space="0" w:color="auto"/>
                  </w:divBdr>
                  <w:divsChild>
                    <w:div w:id="1641183727">
                      <w:marLeft w:val="0"/>
                      <w:marRight w:val="0"/>
                      <w:marTop w:val="0"/>
                      <w:marBottom w:val="0"/>
                      <w:divBdr>
                        <w:top w:val="none" w:sz="0" w:space="0" w:color="auto"/>
                        <w:left w:val="none" w:sz="0" w:space="0" w:color="auto"/>
                        <w:bottom w:val="none" w:sz="0" w:space="0" w:color="auto"/>
                        <w:right w:val="none" w:sz="0" w:space="0" w:color="auto"/>
                      </w:divBdr>
                      <w:divsChild>
                        <w:div w:id="1604847852">
                          <w:marLeft w:val="0"/>
                          <w:marRight w:val="0"/>
                          <w:marTop w:val="0"/>
                          <w:marBottom w:val="0"/>
                          <w:divBdr>
                            <w:top w:val="none" w:sz="0" w:space="0" w:color="auto"/>
                            <w:left w:val="none" w:sz="0" w:space="0" w:color="auto"/>
                            <w:bottom w:val="none" w:sz="0" w:space="0" w:color="auto"/>
                            <w:right w:val="none" w:sz="0" w:space="0" w:color="auto"/>
                          </w:divBdr>
                          <w:divsChild>
                            <w:div w:id="851799657">
                              <w:marLeft w:val="0"/>
                              <w:marRight w:val="0"/>
                              <w:marTop w:val="0"/>
                              <w:marBottom w:val="0"/>
                              <w:divBdr>
                                <w:top w:val="none" w:sz="0" w:space="0" w:color="auto"/>
                                <w:left w:val="none" w:sz="0" w:space="0" w:color="auto"/>
                                <w:bottom w:val="none" w:sz="0" w:space="0" w:color="auto"/>
                                <w:right w:val="none" w:sz="0" w:space="0" w:color="auto"/>
                              </w:divBdr>
                              <w:divsChild>
                                <w:div w:id="57829908">
                                  <w:marLeft w:val="0"/>
                                  <w:marRight w:val="0"/>
                                  <w:marTop w:val="0"/>
                                  <w:marBottom w:val="0"/>
                                  <w:divBdr>
                                    <w:top w:val="none" w:sz="0" w:space="0" w:color="auto"/>
                                    <w:left w:val="none" w:sz="0" w:space="0" w:color="auto"/>
                                    <w:bottom w:val="none" w:sz="0" w:space="0" w:color="auto"/>
                                    <w:right w:val="none" w:sz="0" w:space="0" w:color="auto"/>
                                  </w:divBdr>
                                  <w:divsChild>
                                    <w:div w:id="4467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555836">
      <w:bodyDiv w:val="1"/>
      <w:marLeft w:val="0"/>
      <w:marRight w:val="0"/>
      <w:marTop w:val="0"/>
      <w:marBottom w:val="0"/>
      <w:divBdr>
        <w:top w:val="none" w:sz="0" w:space="0" w:color="auto"/>
        <w:left w:val="none" w:sz="0" w:space="0" w:color="auto"/>
        <w:bottom w:val="none" w:sz="0" w:space="0" w:color="auto"/>
        <w:right w:val="none" w:sz="0" w:space="0" w:color="auto"/>
      </w:divBdr>
      <w:divsChild>
        <w:div w:id="1549879295">
          <w:marLeft w:val="0"/>
          <w:marRight w:val="0"/>
          <w:marTop w:val="0"/>
          <w:marBottom w:val="0"/>
          <w:divBdr>
            <w:top w:val="none" w:sz="0" w:space="0" w:color="auto"/>
            <w:left w:val="none" w:sz="0" w:space="0" w:color="auto"/>
            <w:bottom w:val="none" w:sz="0" w:space="0" w:color="auto"/>
            <w:right w:val="none" w:sz="0" w:space="0" w:color="auto"/>
          </w:divBdr>
          <w:divsChild>
            <w:div w:id="1966346243">
              <w:marLeft w:val="0"/>
              <w:marRight w:val="0"/>
              <w:marTop w:val="0"/>
              <w:marBottom w:val="0"/>
              <w:divBdr>
                <w:top w:val="none" w:sz="0" w:space="0" w:color="auto"/>
                <w:left w:val="none" w:sz="0" w:space="0" w:color="auto"/>
                <w:bottom w:val="none" w:sz="0" w:space="0" w:color="auto"/>
                <w:right w:val="none" w:sz="0" w:space="0" w:color="auto"/>
              </w:divBdr>
              <w:divsChild>
                <w:div w:id="533923637">
                  <w:marLeft w:val="0"/>
                  <w:marRight w:val="0"/>
                  <w:marTop w:val="0"/>
                  <w:marBottom w:val="0"/>
                  <w:divBdr>
                    <w:top w:val="none" w:sz="0" w:space="0" w:color="auto"/>
                    <w:left w:val="none" w:sz="0" w:space="0" w:color="auto"/>
                    <w:bottom w:val="none" w:sz="0" w:space="0" w:color="auto"/>
                    <w:right w:val="none" w:sz="0" w:space="0" w:color="auto"/>
                  </w:divBdr>
                  <w:divsChild>
                    <w:div w:id="902985417">
                      <w:marLeft w:val="0"/>
                      <w:marRight w:val="0"/>
                      <w:marTop w:val="0"/>
                      <w:marBottom w:val="0"/>
                      <w:divBdr>
                        <w:top w:val="none" w:sz="0" w:space="0" w:color="auto"/>
                        <w:left w:val="none" w:sz="0" w:space="0" w:color="auto"/>
                        <w:bottom w:val="none" w:sz="0" w:space="0" w:color="auto"/>
                        <w:right w:val="none" w:sz="0" w:space="0" w:color="auto"/>
                      </w:divBdr>
                    </w:div>
                    <w:div w:id="7978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90A23-1E69-4677-B010-8A912096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1192</Words>
  <Characters>5997</Characters>
  <Application>Microsoft Office Word</Application>
  <DocSecurity>0</DocSecurity>
  <Lines>222</Lines>
  <Paragraphs>110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CIABATTI Ilaria (SANCO)</dc:creator>
  <cp:lastModifiedBy>PINDADO CARRION Pablo (SANTE)</cp:lastModifiedBy>
  <cp:revision>4</cp:revision>
  <dcterms:created xsi:type="dcterms:W3CDTF">2015-08-31T08:41:00Z</dcterms:created>
  <dcterms:modified xsi:type="dcterms:W3CDTF">2015-08-31T09:53:00Z</dcterms:modified>
</cp:coreProperties>
</file>