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F1E57" w14:textId="62AD25E1" w:rsidR="00B0208D" w:rsidRDefault="00B0208D" w:rsidP="007E6DA7">
      <w:pPr>
        <w:spacing w:line="276" w:lineRule="auto"/>
        <w:jc w:val="center"/>
      </w:pPr>
      <w:r>
        <w:rPr>
          <w:noProof/>
        </w:rPr>
        <w:drawing>
          <wp:inline distT="0" distB="0" distL="0" distR="0" wp14:anchorId="279315E0" wp14:editId="274E46F5">
            <wp:extent cx="1348509" cy="129437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B NEW Logo painted no background copy.jpg"/>
                    <pic:cNvPicPr/>
                  </pic:nvPicPr>
                  <pic:blipFill>
                    <a:blip r:embed="rId7">
                      <a:extLst>
                        <a:ext uri="{28A0092B-C50C-407E-A947-70E740481C1C}">
                          <a14:useLocalDpi xmlns:a14="http://schemas.microsoft.com/office/drawing/2010/main" val="0"/>
                        </a:ext>
                      </a:extLst>
                    </a:blip>
                    <a:stretch>
                      <a:fillRect/>
                    </a:stretch>
                  </pic:blipFill>
                  <pic:spPr>
                    <a:xfrm>
                      <a:off x="0" y="0"/>
                      <a:ext cx="1362394" cy="1307700"/>
                    </a:xfrm>
                    <a:prstGeom prst="rect">
                      <a:avLst/>
                    </a:prstGeom>
                  </pic:spPr>
                </pic:pic>
              </a:graphicData>
            </a:graphic>
          </wp:inline>
        </w:drawing>
      </w:r>
    </w:p>
    <w:p w14:paraId="061000C8" w14:textId="77777777" w:rsidR="00B0208D" w:rsidRDefault="00B0208D" w:rsidP="007E6DA7">
      <w:pPr>
        <w:spacing w:line="276" w:lineRule="auto"/>
        <w:jc w:val="center"/>
      </w:pPr>
    </w:p>
    <w:p w14:paraId="4AC76C34" w14:textId="012BBD76" w:rsidR="00B76C95" w:rsidRPr="002A5ACF" w:rsidRDefault="00176563" w:rsidP="007E6DA7">
      <w:pPr>
        <w:spacing w:line="276" w:lineRule="auto"/>
        <w:jc w:val="center"/>
        <w:rPr>
          <w:b/>
        </w:rPr>
      </w:pPr>
      <w:r w:rsidRPr="002A5ACF">
        <w:rPr>
          <w:b/>
        </w:rPr>
        <w:t>Submission by the African Centre for Biodiversity</w:t>
      </w:r>
    </w:p>
    <w:p w14:paraId="221CDF47" w14:textId="77777777" w:rsidR="00176563" w:rsidRPr="002A5ACF" w:rsidRDefault="00176563" w:rsidP="007E6DA7">
      <w:pPr>
        <w:spacing w:line="276" w:lineRule="auto"/>
        <w:jc w:val="center"/>
        <w:rPr>
          <w:b/>
        </w:rPr>
      </w:pPr>
    </w:p>
    <w:p w14:paraId="2E055CEC" w14:textId="48AE7013" w:rsidR="00176563" w:rsidRPr="002A5ACF" w:rsidRDefault="00176563" w:rsidP="007E6DA7">
      <w:pPr>
        <w:spacing w:line="276" w:lineRule="auto"/>
        <w:jc w:val="center"/>
        <w:rPr>
          <w:b/>
        </w:rPr>
      </w:pPr>
      <w:r w:rsidRPr="002A5ACF">
        <w:rPr>
          <w:b/>
        </w:rPr>
        <w:t>To the Convention on Biological Diversity</w:t>
      </w:r>
    </w:p>
    <w:p w14:paraId="670E551A" w14:textId="77777777" w:rsidR="00176563" w:rsidRPr="002A5ACF" w:rsidRDefault="00176563" w:rsidP="007E6DA7">
      <w:pPr>
        <w:spacing w:line="276" w:lineRule="auto"/>
        <w:jc w:val="center"/>
        <w:rPr>
          <w:b/>
        </w:rPr>
      </w:pPr>
    </w:p>
    <w:p w14:paraId="5AB911F4" w14:textId="4B3D6E03" w:rsidR="00176563" w:rsidRPr="002A5ACF" w:rsidRDefault="00176563" w:rsidP="007E6DA7">
      <w:pPr>
        <w:spacing w:line="276" w:lineRule="auto"/>
        <w:jc w:val="center"/>
        <w:rPr>
          <w:b/>
        </w:rPr>
      </w:pPr>
      <w:r w:rsidRPr="002A5ACF">
        <w:rPr>
          <w:b/>
        </w:rPr>
        <w:t>In regard to the views on possible targets, indicators and baselines for the post-2020 global</w:t>
      </w:r>
      <w:r w:rsidR="00D14DCD" w:rsidRPr="002A5ACF">
        <w:rPr>
          <w:b/>
        </w:rPr>
        <w:t xml:space="preserve"> </w:t>
      </w:r>
      <w:r w:rsidRPr="002A5ACF">
        <w:rPr>
          <w:b/>
        </w:rPr>
        <w:t>biodiversity framework</w:t>
      </w:r>
    </w:p>
    <w:p w14:paraId="272BFCED" w14:textId="5D92DDA6" w:rsidR="00176563" w:rsidRDefault="00176563" w:rsidP="007E6DA7">
      <w:pPr>
        <w:spacing w:line="276" w:lineRule="auto"/>
        <w:jc w:val="center"/>
      </w:pPr>
    </w:p>
    <w:p w14:paraId="664E0311" w14:textId="14F4E32C" w:rsidR="00176563" w:rsidRDefault="00176563" w:rsidP="007E6DA7">
      <w:pPr>
        <w:spacing w:line="276" w:lineRule="auto"/>
      </w:pPr>
      <w:r>
        <w:t>January 2020</w:t>
      </w:r>
    </w:p>
    <w:p w14:paraId="26A06512" w14:textId="72522300" w:rsidR="009C356B" w:rsidRDefault="009C356B" w:rsidP="007E6DA7">
      <w:pPr>
        <w:spacing w:line="276" w:lineRule="auto"/>
      </w:pPr>
    </w:p>
    <w:p w14:paraId="560423D1" w14:textId="3741C3A0" w:rsidR="00E81E62" w:rsidRPr="00617CF0" w:rsidRDefault="00E81E62" w:rsidP="007E6DA7">
      <w:pPr>
        <w:spacing w:line="276" w:lineRule="auto"/>
        <w:jc w:val="both"/>
      </w:pPr>
      <w:r w:rsidRPr="00617CF0">
        <w:t>The African Centre for Biodiversity (previously ‘Biosafety’) was established in 2003 and registered in 2004. ACB carries out research, analysis, capacity and move</w:t>
      </w:r>
      <w:r w:rsidR="00A50F78">
        <w:t>ment building, and advocacy. It also</w:t>
      </w:r>
      <w:r w:rsidRPr="00617CF0">
        <w:t xml:space="preserve"> shares information to widen awareness and </w:t>
      </w:r>
      <w:proofErr w:type="spellStart"/>
      <w:r w:rsidRPr="00617CF0">
        <w:t>catalyse</w:t>
      </w:r>
      <w:proofErr w:type="spellEnd"/>
      <w:r w:rsidRPr="00617CF0">
        <w:t xml:space="preserve"> collective action and influence </w:t>
      </w:r>
      <w:r w:rsidR="00A50F78" w:rsidRPr="00617CF0">
        <w:t>decision-making</w:t>
      </w:r>
      <w:r w:rsidRPr="00617CF0">
        <w:t xml:space="preserve"> on issues of biosafety, agricultural biodiversity and farmer-managed seed systems (FMSS)</w:t>
      </w:r>
      <w:r>
        <w:t xml:space="preserve">, and </w:t>
      </w:r>
      <w:r w:rsidR="00A50F78">
        <w:t>on the expansion of corporate power</w:t>
      </w:r>
      <w:r>
        <w:t xml:space="preserve"> </w:t>
      </w:r>
      <w:r w:rsidRPr="00617CF0">
        <w:t>in Africa</w:t>
      </w:r>
      <w:r>
        <w:t>n agro-food systems</w:t>
      </w:r>
      <w:r w:rsidRPr="00617CF0">
        <w:t>. The ACB’s work both informs and amplifies the voices of social movements fighting for food sovereignty in Africa. </w:t>
      </w:r>
    </w:p>
    <w:p w14:paraId="77DEF8B7" w14:textId="77777777" w:rsidR="00E81E62" w:rsidRDefault="00E81E62" w:rsidP="007E6DA7">
      <w:pPr>
        <w:autoSpaceDE w:val="0"/>
        <w:autoSpaceDN w:val="0"/>
        <w:adjustRightInd w:val="0"/>
        <w:spacing w:line="276" w:lineRule="auto"/>
        <w:jc w:val="both"/>
        <w:rPr>
          <w:rFonts w:cstheme="minorHAnsi"/>
        </w:rPr>
      </w:pPr>
    </w:p>
    <w:p w14:paraId="3A292852" w14:textId="77777777" w:rsidR="007E7C73" w:rsidRPr="007E7C73" w:rsidRDefault="007E7C73" w:rsidP="007E7C73">
      <w:pPr>
        <w:autoSpaceDE w:val="0"/>
        <w:autoSpaceDN w:val="0"/>
        <w:adjustRightInd w:val="0"/>
        <w:spacing w:line="276" w:lineRule="auto"/>
        <w:jc w:val="both"/>
        <w:rPr>
          <w:rFonts w:cstheme="minorHAnsi"/>
        </w:rPr>
      </w:pPr>
      <w:r w:rsidRPr="007E7C73">
        <w:rPr>
          <w:rFonts w:cstheme="minorHAnsi"/>
        </w:rPr>
        <w:t xml:space="preserve">The overall objective of ACB’s work is to strengthen food security in Southern and East Africa by promoting seed diversity and agro-ecological practices. Specific objectives linked to </w:t>
      </w:r>
      <w:proofErr w:type="spellStart"/>
      <w:r w:rsidRPr="007E7C73">
        <w:rPr>
          <w:rFonts w:cstheme="minorHAnsi"/>
        </w:rPr>
        <w:t>programmes</w:t>
      </w:r>
      <w:proofErr w:type="spellEnd"/>
      <w:r w:rsidRPr="007E7C73">
        <w:rPr>
          <w:rFonts w:cstheme="minorHAnsi"/>
        </w:rPr>
        <w:t xml:space="preserve"> are to secu</w:t>
      </w:r>
      <w:bookmarkStart w:id="0" w:name="_GoBack"/>
      <w:bookmarkEnd w:id="0"/>
      <w:r w:rsidRPr="007E7C73">
        <w:rPr>
          <w:rFonts w:cstheme="minorHAnsi"/>
        </w:rPr>
        <w:t>re biosafety in Africa; secure agricultural biodiversity in Africa; and to limit corporate expansion while ensuring farmers have alternative systems of support based on agro-ecology in place.</w:t>
      </w:r>
    </w:p>
    <w:p w14:paraId="57FCA748" w14:textId="77777777" w:rsidR="007E7C73" w:rsidRPr="007E7C73" w:rsidRDefault="007E7C73" w:rsidP="007E7C73">
      <w:pPr>
        <w:spacing w:line="276" w:lineRule="auto"/>
        <w:jc w:val="both"/>
      </w:pPr>
    </w:p>
    <w:p w14:paraId="12AA58AA" w14:textId="77777777" w:rsidR="007E7C73" w:rsidRPr="007E7C73" w:rsidRDefault="007E7C73" w:rsidP="007E7C73">
      <w:pPr>
        <w:spacing w:line="276" w:lineRule="auto"/>
        <w:jc w:val="both"/>
      </w:pPr>
      <w:r w:rsidRPr="007E7C73">
        <w:t xml:space="preserve">The ACB, under the leadership of Ms. Mariam </w:t>
      </w:r>
      <w:proofErr w:type="spellStart"/>
      <w:r w:rsidRPr="007E7C73">
        <w:t>Mayet</w:t>
      </w:r>
      <w:proofErr w:type="spellEnd"/>
      <w:r w:rsidRPr="007E7C73">
        <w:t xml:space="preserve">, has engaged with the CBD, in particular the Cartagena Protocol, since its inception, and has also played an instrumental role in shaping the discourse on farmers’ rights, farmer-managed seed systems and farmers’ seed. </w:t>
      </w:r>
    </w:p>
    <w:p w14:paraId="2C182DA1" w14:textId="77777777" w:rsidR="007E7C73" w:rsidRPr="007E7C73" w:rsidRDefault="007E7C73" w:rsidP="007E7C73">
      <w:pPr>
        <w:spacing w:line="276" w:lineRule="auto"/>
        <w:jc w:val="both"/>
      </w:pPr>
    </w:p>
    <w:p w14:paraId="369B31FC" w14:textId="77777777" w:rsidR="007E7C73" w:rsidRPr="007E7C73" w:rsidRDefault="007E7C73" w:rsidP="007E7C73">
      <w:pPr>
        <w:spacing w:line="276" w:lineRule="auto"/>
        <w:jc w:val="both"/>
      </w:pPr>
      <w:r w:rsidRPr="007E7C73">
        <w:t xml:space="preserve">This submission is based primarily in light of the fact that industrial agriculture, </w:t>
      </w:r>
      <w:proofErr w:type="spellStart"/>
      <w:r w:rsidRPr="007E7C73">
        <w:t>monocropping</w:t>
      </w:r>
      <w:proofErr w:type="spellEnd"/>
      <w:r w:rsidRPr="007E7C73">
        <w:t xml:space="preserve"> and modern breeding have had significant effects on biodiversity. Industrial agriculture’s impact on terrestrial, freshwater and marine ecosystems is severe due to destruction of habitats, pollution, soil depletion and genetic erosion, amongst a range of other direct and indirect negative impacts. Industrial agriculture has also significantly eroded both agricultural and genetic diversity, affecting the resilience of socio-ecological </w:t>
      </w:r>
      <w:r w:rsidRPr="007E7C73">
        <w:lastRenderedPageBreak/>
        <w:t xml:space="preserve">systems and food and nutritional security. From an African context, biodiversity loss interacts with the fact that the continent is and will be hardest hit by the impacts of the climate crisis and the potential advance of industrial agriculture on the continent will only worsen its ability to adapt to climate change and ensure the right to food for </w:t>
      </w:r>
      <w:proofErr w:type="gramStart"/>
      <w:r w:rsidRPr="007E7C73">
        <w:t>all of its</w:t>
      </w:r>
      <w:proofErr w:type="gramEnd"/>
      <w:r w:rsidRPr="007E7C73">
        <w:t xml:space="preserve"> people. </w:t>
      </w:r>
    </w:p>
    <w:p w14:paraId="3E5348E8" w14:textId="1C20B4BD" w:rsidR="0088341C" w:rsidRDefault="0088341C" w:rsidP="007E6DA7">
      <w:pPr>
        <w:spacing w:line="276" w:lineRule="auto"/>
        <w:jc w:val="both"/>
      </w:pPr>
    </w:p>
    <w:p w14:paraId="2DC282F0" w14:textId="34CF3B41" w:rsidR="0088341C" w:rsidRDefault="0088341C" w:rsidP="007E6DA7">
      <w:pPr>
        <w:spacing w:line="276" w:lineRule="auto"/>
        <w:jc w:val="both"/>
      </w:pPr>
      <w:r>
        <w:t xml:space="preserve">While the ACB is in agreement with the Zero Draft Post-2020 Global Biodiversity Framework, urgent action is required to address the significant threats to global biodiversity, </w:t>
      </w:r>
      <w:r w:rsidR="00A50F78">
        <w:t>which includes</w:t>
      </w:r>
      <w:r>
        <w:t xml:space="preserve"> industrial agro-food systems. This needs to be </w:t>
      </w:r>
      <w:r w:rsidR="005D12F5">
        <w:t xml:space="preserve">clearly </w:t>
      </w:r>
      <w:r>
        <w:t>specified</w:t>
      </w:r>
      <w:r w:rsidR="005D12F5">
        <w:t xml:space="preserve"> and addressed</w:t>
      </w:r>
      <w:r>
        <w:t>. There are other important agreements</w:t>
      </w:r>
      <w:r w:rsidR="005D12F5">
        <w:t>,</w:t>
      </w:r>
      <w:r>
        <w:t xml:space="preserve"> such as the </w:t>
      </w:r>
      <w:r w:rsidR="005D12F5">
        <w:t>International Treaty on Plant Genetic Resources for Food and Agriculture (</w:t>
      </w:r>
      <w:r>
        <w:t>ITPGRFA</w:t>
      </w:r>
      <w:r w:rsidR="00A50F78">
        <w:t xml:space="preserve">) </w:t>
      </w:r>
      <w:r>
        <w:t xml:space="preserve">and the International Declaration on </w:t>
      </w:r>
      <w:r w:rsidR="005D12F5">
        <w:t>the Rights of P</w:t>
      </w:r>
      <w:r>
        <w:t>easants</w:t>
      </w:r>
      <w:r w:rsidR="005D12F5">
        <w:t xml:space="preserve"> and Other People Working in Rural Areas,</w:t>
      </w:r>
      <w:r>
        <w:t xml:space="preserve"> </w:t>
      </w:r>
      <w:r w:rsidR="005D12F5">
        <w:t>t</w:t>
      </w:r>
      <w:r>
        <w:t>hat should be taken into account and specifically mentioned in order to achieve the</w:t>
      </w:r>
      <w:r w:rsidR="005D12F5">
        <w:t xml:space="preserve"> </w:t>
      </w:r>
      <w:r>
        <w:t xml:space="preserve">targets set out in this </w:t>
      </w:r>
      <w:r w:rsidR="005D12F5">
        <w:t>post-2020 Framework</w:t>
      </w:r>
      <w:r>
        <w:t xml:space="preserve">. </w:t>
      </w:r>
      <w:r w:rsidR="00FE468F">
        <w:t xml:space="preserve">The remainder of this submission </w:t>
      </w:r>
      <w:r w:rsidR="008E7209">
        <w:t xml:space="preserve">focuses on suggestions for addressing the impacts of industrial agriculture more specifically and ideas of goals and indicators that can accompany them. </w:t>
      </w:r>
    </w:p>
    <w:p w14:paraId="4139B191" w14:textId="5D5DE389" w:rsidR="00FF2861" w:rsidRDefault="00FF2861" w:rsidP="007E6DA7">
      <w:pPr>
        <w:spacing w:line="276" w:lineRule="auto"/>
        <w:jc w:val="both"/>
      </w:pPr>
    </w:p>
    <w:p w14:paraId="75EEF321" w14:textId="7899F19A" w:rsidR="00FF2861" w:rsidRPr="005D12F5" w:rsidRDefault="00FF2861" w:rsidP="007E6DA7">
      <w:pPr>
        <w:spacing w:line="276" w:lineRule="auto"/>
        <w:jc w:val="both"/>
        <w:rPr>
          <w:b/>
        </w:rPr>
      </w:pPr>
      <w:r w:rsidRPr="005D12F5">
        <w:rPr>
          <w:b/>
        </w:rPr>
        <w:t>2030 and 2050 Goals</w:t>
      </w:r>
    </w:p>
    <w:p w14:paraId="44D68A72" w14:textId="758A07A9" w:rsidR="00FF2861" w:rsidRDefault="00FF2861" w:rsidP="007E6DA7">
      <w:pPr>
        <w:spacing w:line="276" w:lineRule="auto"/>
        <w:jc w:val="both"/>
      </w:pPr>
    </w:p>
    <w:p w14:paraId="008DBF9E" w14:textId="46F8CDB4" w:rsidR="00F1073E" w:rsidRDefault="00FF2861" w:rsidP="007E6DA7">
      <w:pPr>
        <w:spacing w:line="276" w:lineRule="auto"/>
        <w:jc w:val="both"/>
      </w:pPr>
      <w:r>
        <w:t xml:space="preserve">There should be specific mentions of the sectors </w:t>
      </w:r>
      <w:r w:rsidR="00F1073E">
        <w:t>that</w:t>
      </w:r>
      <w:r>
        <w:t xml:space="preserve"> have significant effects on terrestrial, freshwater and marine ecosystems in 10(a). </w:t>
      </w:r>
      <w:r w:rsidR="00F1073E">
        <w:t xml:space="preserve">This will include industrial agriculture. This should then include targets and indicators relating to drastically </w:t>
      </w:r>
      <w:proofErr w:type="gramStart"/>
      <w:r w:rsidR="00F1073E">
        <w:t>reduced</w:t>
      </w:r>
      <w:proofErr w:type="gramEnd"/>
      <w:r w:rsidR="008E7209">
        <w:t xml:space="preserve"> synthetic</w:t>
      </w:r>
      <w:r w:rsidR="00F1073E">
        <w:t xml:space="preserve"> </w:t>
      </w:r>
      <w:proofErr w:type="spellStart"/>
      <w:r w:rsidR="00F1073E">
        <w:t>fertiliser</w:t>
      </w:r>
      <w:proofErr w:type="spellEnd"/>
      <w:r w:rsidR="00F1073E">
        <w:t xml:space="preserve"> and pesticide application, reductions in concentrated feeding facilities and structural shifts from industrial agriculture to </w:t>
      </w:r>
      <w:proofErr w:type="spellStart"/>
      <w:r w:rsidR="00F1073E">
        <w:t>agroecological</w:t>
      </w:r>
      <w:proofErr w:type="spellEnd"/>
      <w:r w:rsidR="00F1073E">
        <w:t xml:space="preserve"> forms of agriculture. </w:t>
      </w:r>
    </w:p>
    <w:p w14:paraId="7360A0A4" w14:textId="77777777" w:rsidR="00F1073E" w:rsidRDefault="00F1073E" w:rsidP="007E6DA7">
      <w:pPr>
        <w:spacing w:line="276" w:lineRule="auto"/>
        <w:jc w:val="both"/>
      </w:pPr>
    </w:p>
    <w:p w14:paraId="4B54CCD7" w14:textId="5B7ED5B5" w:rsidR="00FF2861" w:rsidRDefault="00FF2861" w:rsidP="007E6DA7">
      <w:pPr>
        <w:spacing w:line="276" w:lineRule="auto"/>
        <w:jc w:val="both"/>
      </w:pPr>
      <w:r>
        <w:t xml:space="preserve">To ensure that genetic diversity is maintained and enhanced under 10 (c) specific mention should be given to the role smallholder farmers play in </w:t>
      </w:r>
      <w:r w:rsidR="008E7209">
        <w:t xml:space="preserve">preventing genetic erosion, </w:t>
      </w:r>
      <w:r>
        <w:t xml:space="preserve">the </w:t>
      </w:r>
      <w:r w:rsidR="008E7209">
        <w:t>developing and maintaining</w:t>
      </w:r>
      <w:r>
        <w:t xml:space="preserve"> genetic diversity (specifically for food and agriculture)</w:t>
      </w:r>
      <w:r w:rsidR="008E7209">
        <w:t xml:space="preserve"> and</w:t>
      </w:r>
      <w:r>
        <w:t xml:space="preserve"> crop biodiversity, and therefore the need to ensure not only the equitable</w:t>
      </w:r>
      <w:r w:rsidR="008E7209">
        <w:t xml:space="preserve"> sharing of benefits, but</w:t>
      </w:r>
      <w:r>
        <w:t xml:space="preserve"> the ability of farmer seed systems to function through the realisation and implementation of farmers’ rights as stated under the ITPGRFA. </w:t>
      </w:r>
    </w:p>
    <w:p w14:paraId="7604F690" w14:textId="3773E328" w:rsidR="00FF2861" w:rsidRDefault="00FF2861" w:rsidP="007E6DA7">
      <w:pPr>
        <w:spacing w:line="276" w:lineRule="auto"/>
        <w:jc w:val="both"/>
      </w:pPr>
    </w:p>
    <w:p w14:paraId="5E98D2C3" w14:textId="7C266AE5" w:rsidR="003E529E" w:rsidRDefault="00FF2861" w:rsidP="007E6DA7">
      <w:pPr>
        <w:spacing w:line="276" w:lineRule="auto"/>
        <w:jc w:val="both"/>
      </w:pPr>
      <w:r>
        <w:t>In terms of improving nutrition under 10 (d)(</w:t>
      </w:r>
      <w:proofErr w:type="spellStart"/>
      <w:r>
        <w:t>i</w:t>
      </w:r>
      <w:proofErr w:type="spellEnd"/>
      <w:r>
        <w:t>)</w:t>
      </w:r>
      <w:r w:rsidR="008E7209">
        <w:t>,</w:t>
      </w:r>
      <w:r>
        <w:t xml:space="preserve"> the post-2020 </w:t>
      </w:r>
      <w:r w:rsidR="006328F3">
        <w:t>F</w:t>
      </w:r>
      <w:r>
        <w:t>ramework should acknowledge the impact that industrial agriculture has on nutrition, and the significant role smallholder farmer systems</w:t>
      </w:r>
      <w:r w:rsidR="006328F3">
        <w:t xml:space="preserve"> play</w:t>
      </w:r>
      <w:r>
        <w:t xml:space="preserve"> in terms of </w:t>
      </w:r>
      <w:r w:rsidR="006328F3">
        <w:t xml:space="preserve">providing </w:t>
      </w:r>
      <w:r>
        <w:t>access to significant, reliable, affordable, and culturally appropriate foods</w:t>
      </w:r>
      <w:r w:rsidR="007F6EC5">
        <w:t>, and adaptable and resilient seed and food systems</w:t>
      </w:r>
      <w:r w:rsidR="00914EB2">
        <w:t>, especially in Africa</w:t>
      </w:r>
      <w:r w:rsidR="007F6EC5">
        <w:t xml:space="preserve">. Industrial agriculture </w:t>
      </w:r>
      <w:r w:rsidR="006328F3">
        <w:t>has</w:t>
      </w:r>
      <w:r w:rsidR="007F6EC5">
        <w:t xml:space="preserve"> limited on-farm diversity</w:t>
      </w:r>
      <w:r w:rsidR="0040195D">
        <w:t xml:space="preserve"> and</w:t>
      </w:r>
      <w:r w:rsidR="007F6EC5">
        <w:t xml:space="preserve"> low genetic diversity</w:t>
      </w:r>
      <w:r w:rsidR="003E529E">
        <w:t>, compared to smallholder farming systems which are biodiverse, integrated systems. The shift towards industrial agriculture and food has showed lower nutritional content in the foods (due to high synthetic inputs and poor soil health</w:t>
      </w:r>
      <w:r w:rsidR="00E8705D">
        <w:t>) and</w:t>
      </w:r>
      <w:r w:rsidR="003E529E">
        <w:t xml:space="preserve"> reduced dietary diversity, having significant impacts on nutrition, especially for </w:t>
      </w:r>
      <w:r w:rsidR="008E7209">
        <w:t xml:space="preserve">the </w:t>
      </w:r>
      <w:r w:rsidR="003E529E">
        <w:t xml:space="preserve">rural and </w:t>
      </w:r>
      <w:r w:rsidR="003E529E">
        <w:lastRenderedPageBreak/>
        <w:t xml:space="preserve">urban poor. Therefore the goals should acknowledge this and support a shift towards biodiverse agroecological systems to improve nutrition and nutritional security. These systems are also shown to be less </w:t>
      </w:r>
      <w:r w:rsidR="00CD13BE">
        <w:t>resource</w:t>
      </w:r>
      <w:r w:rsidR="003E529E">
        <w:t xml:space="preserve"> </w:t>
      </w:r>
      <w:r w:rsidR="00CD13BE">
        <w:t>demanding</w:t>
      </w:r>
      <w:r w:rsidR="003E529E">
        <w:t>, and more resilient to natural disasters due</w:t>
      </w:r>
      <w:r w:rsidR="00F1073E">
        <w:t xml:space="preserve"> to their high bio- and</w:t>
      </w:r>
      <w:r w:rsidR="003E529E">
        <w:t xml:space="preserve"> genetic diversity. </w:t>
      </w:r>
      <w:r w:rsidR="000C31CA">
        <w:t>Resilience</w:t>
      </w:r>
      <w:r w:rsidR="00CD13BE">
        <w:t xml:space="preserve"> and adaptability will become increasingly important with incr</w:t>
      </w:r>
      <w:r w:rsidR="00F47480">
        <w:t>e</w:t>
      </w:r>
      <w:r w:rsidR="00CD13BE">
        <w:t>ased climate stress and natural disaste</w:t>
      </w:r>
      <w:r w:rsidR="00F1073E">
        <w:t>rs putting strain on food supplies</w:t>
      </w:r>
      <w:r w:rsidR="00CD13BE">
        <w:t xml:space="preserve">. </w:t>
      </w:r>
    </w:p>
    <w:p w14:paraId="74C900F6" w14:textId="5E36CF8E" w:rsidR="00621B74" w:rsidRDefault="00621B74" w:rsidP="007E6DA7">
      <w:pPr>
        <w:spacing w:line="276" w:lineRule="auto"/>
        <w:jc w:val="both"/>
      </w:pPr>
    </w:p>
    <w:p w14:paraId="77C573E4" w14:textId="59D05B8A" w:rsidR="00621B74" w:rsidRPr="006328F3" w:rsidRDefault="00621B74" w:rsidP="007E6DA7">
      <w:pPr>
        <w:spacing w:line="276" w:lineRule="auto"/>
        <w:jc w:val="both"/>
        <w:rPr>
          <w:b/>
        </w:rPr>
      </w:pPr>
      <w:r w:rsidRPr="006328F3">
        <w:rPr>
          <w:b/>
        </w:rPr>
        <w:t xml:space="preserve">2030 Mission </w:t>
      </w:r>
      <w:r w:rsidR="004F263E" w:rsidRPr="006328F3">
        <w:rPr>
          <w:b/>
        </w:rPr>
        <w:t>and 2030 action targets</w:t>
      </w:r>
    </w:p>
    <w:p w14:paraId="67D22C6E" w14:textId="04FF5F4A" w:rsidR="00621B74" w:rsidRDefault="00621B74" w:rsidP="007E6DA7">
      <w:pPr>
        <w:spacing w:line="276" w:lineRule="auto"/>
        <w:jc w:val="both"/>
      </w:pPr>
    </w:p>
    <w:p w14:paraId="53F75FDD" w14:textId="7E01E7EC" w:rsidR="00621B74" w:rsidRDefault="000630EF" w:rsidP="007E6DA7">
      <w:pPr>
        <w:spacing w:line="276" w:lineRule="auto"/>
        <w:jc w:val="both"/>
      </w:pPr>
      <w:r>
        <w:t>We need urgent and effective actions to achieve the</w:t>
      </w:r>
      <w:r w:rsidR="00DA0C55">
        <w:t>se</w:t>
      </w:r>
      <w:r>
        <w:t xml:space="preserve"> </w:t>
      </w:r>
      <w:r w:rsidR="00DA0C55">
        <w:t>targets</w:t>
      </w:r>
      <w:r>
        <w:t>, and to reduce the extreme implications that human</w:t>
      </w:r>
      <w:r w:rsidR="00897C27">
        <w:t xml:space="preserve"> </w:t>
      </w:r>
      <w:proofErr w:type="spellStart"/>
      <w:r w:rsidR="00897C27">
        <w:t>civilis</w:t>
      </w:r>
      <w:r w:rsidR="006D5EF6">
        <w:t>ation</w:t>
      </w:r>
      <w:proofErr w:type="spellEnd"/>
      <w:r w:rsidR="006D5EF6">
        <w:t xml:space="preserve"> will face with biodiversity loss</w:t>
      </w:r>
      <w:r>
        <w:t xml:space="preserve"> and the collapse of our ecological systems. </w:t>
      </w:r>
      <w:r w:rsidR="00621B74">
        <w:t>In order to achieve th</w:t>
      </w:r>
      <w:r>
        <w:t>ese targets,</w:t>
      </w:r>
      <w:r w:rsidR="00621B74">
        <w:t xml:space="preserve"> we e</w:t>
      </w:r>
      <w:r w:rsidR="004163FC">
        <w:t xml:space="preserve">mphasise the need for </w:t>
      </w:r>
      <w:proofErr w:type="spellStart"/>
      <w:r w:rsidR="004163FC">
        <w:t>democratis</w:t>
      </w:r>
      <w:r w:rsidR="00621B74">
        <w:t>ed</w:t>
      </w:r>
      <w:proofErr w:type="spellEnd"/>
      <w:r w:rsidR="00621B74">
        <w:t xml:space="preserve"> agricultural and food systems, based on farmer’s rights, and recognising the significant role played in the </w:t>
      </w:r>
      <w:r w:rsidR="00512256">
        <w:t>development and conservation of genetic diversity, agricultural biod</w:t>
      </w:r>
      <w:r w:rsidR="004F263E">
        <w:t xml:space="preserve">iversity and ecological health. </w:t>
      </w:r>
    </w:p>
    <w:p w14:paraId="582716E3" w14:textId="6EA5E0A6" w:rsidR="00663BFC" w:rsidRDefault="00663BFC" w:rsidP="007E6DA7">
      <w:pPr>
        <w:spacing w:line="276" w:lineRule="auto"/>
        <w:jc w:val="both"/>
      </w:pPr>
    </w:p>
    <w:p w14:paraId="07718D61" w14:textId="004069BC" w:rsidR="002A5ACF" w:rsidRDefault="00663BFC" w:rsidP="007E6DA7">
      <w:pPr>
        <w:spacing w:line="276" w:lineRule="auto"/>
        <w:jc w:val="both"/>
      </w:pPr>
      <w:r>
        <w:t>To reinforce what has been said above, 12(a)</w:t>
      </w:r>
      <w:r w:rsidR="001A30C8">
        <w:t>(1)</w:t>
      </w:r>
      <w:r>
        <w:t xml:space="preserve"> needs to specify the sectors and activities that threaten biodiversity, and address them each specifically. This includes</w:t>
      </w:r>
      <w:r w:rsidR="00A20BBE">
        <w:t>, but is not limited to,</w:t>
      </w:r>
      <w:r>
        <w:t xml:space="preserve"> the industrial agro-food system, which impacts terrestrial, freshwater and marine ecosystems</w:t>
      </w:r>
      <w:r w:rsidR="003D5E05">
        <w:t xml:space="preserve">. </w:t>
      </w:r>
      <w:proofErr w:type="spellStart"/>
      <w:r>
        <w:t>Agroecological</w:t>
      </w:r>
      <w:proofErr w:type="spellEnd"/>
      <w:r>
        <w:t xml:space="preserve"> systems are integrated systems, and provide effective methods for i</w:t>
      </w:r>
      <w:r w:rsidR="002A5ACF">
        <w:t>ntegrating biodiversity, conserv</w:t>
      </w:r>
      <w:r>
        <w:t xml:space="preserve">ing wild landscapes, and ensuring the integrity of upstream and downstream social and ecological systems. </w:t>
      </w:r>
      <w:r w:rsidR="002A5ACF">
        <w:t xml:space="preserve">Specific goals in this regard should thus include policies that focus on restoring and building up natural soil fertility and support smallholder farmers in </w:t>
      </w:r>
      <w:proofErr w:type="spellStart"/>
      <w:r w:rsidR="002A5ACF">
        <w:t>agroecology</w:t>
      </w:r>
      <w:proofErr w:type="spellEnd"/>
      <w:r w:rsidR="002A5ACF">
        <w:t xml:space="preserve">, public research and extension funding and services directed towards </w:t>
      </w:r>
      <w:proofErr w:type="spellStart"/>
      <w:r w:rsidR="002A5ACF">
        <w:t>agroecology</w:t>
      </w:r>
      <w:proofErr w:type="spellEnd"/>
      <w:r w:rsidR="002A5ACF">
        <w:t xml:space="preserve">, policies and </w:t>
      </w:r>
      <w:proofErr w:type="spellStart"/>
      <w:r w:rsidR="002A5ACF">
        <w:t>programmes</w:t>
      </w:r>
      <w:proofErr w:type="spellEnd"/>
      <w:r w:rsidR="002A5ACF">
        <w:t xml:space="preserve"> that support market access for </w:t>
      </w:r>
      <w:proofErr w:type="spellStart"/>
      <w:r w:rsidR="002A5ACF">
        <w:t>agroecologal</w:t>
      </w:r>
      <w:proofErr w:type="spellEnd"/>
      <w:r w:rsidR="002A5ACF">
        <w:t xml:space="preserve"> produce of small farmers (including public procurement), and so on. Reports such as those from the International Panel of Experts on Sustainable Food Systems (IPES-Food),</w:t>
      </w:r>
      <w:r w:rsidR="002A5ACF">
        <w:rPr>
          <w:rStyle w:val="FootnoteReference"/>
        </w:rPr>
        <w:footnoteReference w:id="1"/>
      </w:r>
      <w:r w:rsidR="002A5ACF">
        <w:t xml:space="preserve"> the Food and Agriculture </w:t>
      </w:r>
      <w:proofErr w:type="spellStart"/>
      <w:r w:rsidR="002A5ACF">
        <w:t>Organisation</w:t>
      </w:r>
      <w:proofErr w:type="spellEnd"/>
      <w:r w:rsidR="002A5ACF">
        <w:rPr>
          <w:rStyle w:val="FootnoteReference"/>
        </w:rPr>
        <w:footnoteReference w:id="2"/>
      </w:r>
      <w:r w:rsidR="002A5ACF">
        <w:t xml:space="preserve"> and the EAT-Lancet Commission</w:t>
      </w:r>
      <w:r w:rsidR="002A5ACF">
        <w:rPr>
          <w:rStyle w:val="FootnoteReference"/>
        </w:rPr>
        <w:footnoteReference w:id="3"/>
      </w:r>
      <w:r w:rsidR="002A5ACF">
        <w:t xml:space="preserve"> provide important practical goals, targets, indicators and practical actions for making the necessary shifts in food systems that </w:t>
      </w:r>
      <w:r w:rsidR="000A49E8">
        <w:t>connect the enhancement of</w:t>
      </w:r>
      <w:r w:rsidR="002A5ACF">
        <w:t xml:space="preserve"> nutritional diversity </w:t>
      </w:r>
      <w:r w:rsidR="000A49E8">
        <w:t>with protecting and rebuilding</w:t>
      </w:r>
      <w:r w:rsidR="002A5ACF">
        <w:t xml:space="preserve"> biodiversity. Following the IPES-Food report, indicators can include connected elements like nutrient content per hectare, total biomass produced, resource efficiency, ecosystem benefits created, and livelihood resilience and social equity. </w:t>
      </w:r>
    </w:p>
    <w:p w14:paraId="5D2A96B0" w14:textId="77777777" w:rsidR="002A5ACF" w:rsidRDefault="002A5ACF" w:rsidP="007E6DA7">
      <w:pPr>
        <w:spacing w:line="276" w:lineRule="auto"/>
        <w:jc w:val="both"/>
      </w:pPr>
    </w:p>
    <w:p w14:paraId="6CA82681" w14:textId="2A496814" w:rsidR="00663BFC" w:rsidRDefault="003D5E05" w:rsidP="007E6DA7">
      <w:pPr>
        <w:spacing w:line="276" w:lineRule="auto"/>
        <w:jc w:val="both"/>
      </w:pPr>
      <w:r>
        <w:t xml:space="preserve">Another important threat to biodiversity is </w:t>
      </w:r>
      <w:proofErr w:type="spellStart"/>
      <w:r>
        <w:t>extractivism</w:t>
      </w:r>
      <w:proofErr w:type="spellEnd"/>
      <w:r>
        <w:t xml:space="preserve">, specifically mining, which affects biodiversity by extracting large amounts of water from catchment and river systems, water </w:t>
      </w:r>
      <w:r>
        <w:lastRenderedPageBreak/>
        <w:t xml:space="preserve">pollution and destruction of plant, animal and soil life. Goals need to include the scaling down of mining to levels commensurate with social and ecological needs rather than narrowly economic agendas. </w:t>
      </w:r>
    </w:p>
    <w:p w14:paraId="67EBFDD6" w14:textId="6375F40D" w:rsidR="004123CD" w:rsidRDefault="004123CD" w:rsidP="007E6DA7">
      <w:pPr>
        <w:spacing w:line="276" w:lineRule="auto"/>
        <w:jc w:val="both"/>
      </w:pPr>
    </w:p>
    <w:p w14:paraId="3F20737C" w14:textId="2FD1F39B" w:rsidR="004123CD" w:rsidRDefault="00112478" w:rsidP="007E6DA7">
      <w:pPr>
        <w:spacing w:line="276" w:lineRule="auto"/>
        <w:jc w:val="both"/>
      </w:pPr>
      <w:r>
        <w:t>12</w:t>
      </w:r>
      <w:r w:rsidR="004123CD">
        <w:t xml:space="preserve">(a)(4) </w:t>
      </w:r>
      <w:r w:rsidR="008D384F">
        <w:t>specifically refers to the pollution from agricultural inputs (amongst others)</w:t>
      </w:r>
      <w:r w:rsidR="00EF5296">
        <w:t xml:space="preserve"> in terms of </w:t>
      </w:r>
      <w:r w:rsidR="00A30412">
        <w:t>synthetic fertilisers and biocides</w:t>
      </w:r>
      <w:r w:rsidR="008D384F">
        <w:t xml:space="preserve">. Actions to achieve this need to specify shifting to less external inputs, based on agroecological agriculture and local food economies.  </w:t>
      </w:r>
    </w:p>
    <w:p w14:paraId="2202BF77" w14:textId="5E7804A8" w:rsidR="006B5379" w:rsidRDefault="006B5379" w:rsidP="007E6DA7">
      <w:pPr>
        <w:spacing w:line="276" w:lineRule="auto"/>
        <w:jc w:val="both"/>
      </w:pPr>
    </w:p>
    <w:p w14:paraId="3D57855C" w14:textId="11D6E546" w:rsidR="006B5379" w:rsidRDefault="006B5379" w:rsidP="007E6DA7">
      <w:pPr>
        <w:spacing w:line="276" w:lineRule="auto"/>
        <w:jc w:val="both"/>
      </w:pPr>
      <w:r>
        <w:t xml:space="preserve">Biodiverse agroecological systems, farmer seed and farmer seed systems will contribute directly and significantly to climate change mitigation and adaptation, and disaster risk reduction as an effective nature-based solution. </w:t>
      </w:r>
      <w:r w:rsidR="00914EB2">
        <w:t xml:space="preserve">This is particularly important in Africa, which is one of the continents to be hardest hit by the climate crisis. </w:t>
      </w:r>
      <w:r>
        <w:t>Smallholder farming system</w:t>
      </w:r>
      <w:r w:rsidR="00112478">
        <w:t>s</w:t>
      </w:r>
      <w:r>
        <w:t>, using mostly farmer seed acquired through farmer seed systems</w:t>
      </w:r>
      <w:r w:rsidR="00112478">
        <w:t>,</w:t>
      </w:r>
      <w:r>
        <w:t xml:space="preserve"> is the base of food production and supply</w:t>
      </w:r>
      <w:r w:rsidR="00914EB2">
        <w:t xml:space="preserve"> in most of Africa </w:t>
      </w:r>
      <w:r>
        <w:t>and should be recognised as such, and strengthened and support</w:t>
      </w:r>
      <w:r w:rsidR="00A20BBE">
        <w:t>ed</w:t>
      </w:r>
      <w:r>
        <w:t xml:space="preserve"> as a result. Despite this fact increasing pressures and threats to these systems are being witnessed, through </w:t>
      </w:r>
      <w:r w:rsidR="00112478">
        <w:t>normative legislation, policies</w:t>
      </w:r>
      <w:r>
        <w:t xml:space="preserve"> and programmes </w:t>
      </w:r>
      <w:proofErr w:type="gramStart"/>
      <w:r>
        <w:t>which</w:t>
      </w:r>
      <w:proofErr w:type="gramEnd"/>
      <w:r>
        <w:t xml:space="preserve"> need to be urgently redressed. </w:t>
      </w:r>
      <w:r w:rsidR="0060479A">
        <w:t>This is also clear in farmer-input subsidy programmes (FISPs), and touches on 12(</w:t>
      </w:r>
      <w:r w:rsidR="00112478">
        <w:t>c)(12) on the negative impact of</w:t>
      </w:r>
      <w:r w:rsidR="0060479A">
        <w:t xml:space="preserve"> subsidies, as well as the incomparable </w:t>
      </w:r>
      <w:r w:rsidR="00E80BF8">
        <w:t>subsidies</w:t>
      </w:r>
      <w:r w:rsidR="0060479A">
        <w:t xml:space="preserve"> given to resource depleting, extractive agricultu</w:t>
      </w:r>
      <w:r w:rsidR="002A5ACF">
        <w:t>ral practices lacking diversity</w:t>
      </w:r>
      <w:r w:rsidR="0060479A">
        <w:t xml:space="preserve"> in much of the developed world, and having direct and indirect impacts on the food sovereignty of developing countries. </w:t>
      </w:r>
      <w:r w:rsidR="00112478">
        <w:t>As such, a goal needs to explicitly include reducing the subsidies that exist in varying forms to industrial agriculture, with indicators measured by an annual decrease in the value of such subsidies, as well as an indicator measuring the commensurate transfer of resources to supporting ecological forms of agriculture.</w:t>
      </w:r>
    </w:p>
    <w:p w14:paraId="431C790C" w14:textId="365C9DD2" w:rsidR="00FF3F11" w:rsidRDefault="00FF3F11" w:rsidP="007E6DA7">
      <w:pPr>
        <w:spacing w:line="276" w:lineRule="auto"/>
        <w:jc w:val="both"/>
      </w:pPr>
    </w:p>
    <w:p w14:paraId="1A1F60AD" w14:textId="76FD8CDB" w:rsidR="00FF3F11" w:rsidRDefault="00FF3F11" w:rsidP="007E6DA7">
      <w:pPr>
        <w:spacing w:line="276" w:lineRule="auto"/>
        <w:jc w:val="both"/>
      </w:pPr>
      <w:r>
        <w:t>Paragraph</w:t>
      </w:r>
      <w:r w:rsidR="00E80BF8">
        <w:t xml:space="preserve"> 12(c)(14)</w:t>
      </w:r>
      <w:r>
        <w:t xml:space="preserve"> speaks directly to supply chain issues, which includes agricultur</w:t>
      </w:r>
      <w:r w:rsidR="00D14DCD">
        <w:t>al</w:t>
      </w:r>
      <w:r>
        <w:t xml:space="preserve"> and food systems, and its negative impacts on biodiversity, and ecological functioning. This </w:t>
      </w:r>
      <w:r w:rsidR="00D14DCD">
        <w:t>must</w:t>
      </w:r>
      <w:r>
        <w:t xml:space="preserve"> </w:t>
      </w:r>
      <w:r w:rsidR="00D14DCD">
        <w:t>be</w:t>
      </w:r>
      <w:r w:rsidR="00112478">
        <w:t xml:space="preserve"> expanded to include both input</w:t>
      </w:r>
      <w:r>
        <w:t xml:space="preserve"> and output supply chains. </w:t>
      </w:r>
      <w:r w:rsidR="00112478">
        <w:t xml:space="preserve">At the same time, in the case of agriculture, we should </w:t>
      </w:r>
      <w:r w:rsidR="002A5ACF">
        <w:t>not be limited to only</w:t>
      </w:r>
      <w:r w:rsidR="00112478">
        <w:t xml:space="preserve"> greening existing glo</w:t>
      </w:r>
      <w:r w:rsidR="002A5ACF">
        <w:t xml:space="preserve">bal supply chains, but </w:t>
      </w:r>
      <w:r w:rsidR="00112478">
        <w:t xml:space="preserve">shifting agricultural systems away from global supply chains as much as possible towards regional and local systems. This is an imperative from the angle of reducing greenhouse gas emissions, but also of protecting biodiversity by </w:t>
      </w:r>
      <w:r w:rsidR="00894977">
        <w:t xml:space="preserve">having concrete goals of </w:t>
      </w:r>
      <w:r w:rsidR="00112478">
        <w:t xml:space="preserve">supporting food systems based on smallholder </w:t>
      </w:r>
      <w:proofErr w:type="spellStart"/>
      <w:r w:rsidR="00112478">
        <w:t>agroecological</w:t>
      </w:r>
      <w:proofErr w:type="spellEnd"/>
      <w:r w:rsidR="00112478">
        <w:t xml:space="preserve"> production, short supply chains and alternative retail infrast</w:t>
      </w:r>
      <w:r w:rsidR="00894977">
        <w:t xml:space="preserve">ructures. </w:t>
      </w:r>
    </w:p>
    <w:p w14:paraId="35CBF33D" w14:textId="6C3F2FA4" w:rsidR="00DA3C30" w:rsidRDefault="00DA3C30" w:rsidP="007E6DA7">
      <w:pPr>
        <w:spacing w:line="276" w:lineRule="auto"/>
        <w:jc w:val="both"/>
      </w:pPr>
    </w:p>
    <w:p w14:paraId="4F13A787" w14:textId="472A41D8" w:rsidR="00DA3C30" w:rsidRDefault="00DA3C30" w:rsidP="007E6DA7">
      <w:pPr>
        <w:spacing w:line="276" w:lineRule="auto"/>
        <w:jc w:val="both"/>
      </w:pPr>
      <w:r>
        <w:t xml:space="preserve">We support the specific mentioning of the potential adverse impacts of biotechnology on biodiversity, which the </w:t>
      </w:r>
      <w:r w:rsidR="0085581B">
        <w:t>Cartagena</w:t>
      </w:r>
      <w:r>
        <w:t xml:space="preserve"> Protocol aims to achieve. This said, national laws tend to overlook the environmental and ecological impacts of these technologies, and many do not include socio-economic considerations, making these simple rubber-stamping exercises.  </w:t>
      </w:r>
      <w:r w:rsidR="008523F2">
        <w:t xml:space="preserve">Transparent and democratic decision-making is required, </w:t>
      </w:r>
      <w:r w:rsidR="00914EB2">
        <w:t>ensuring</w:t>
      </w:r>
      <w:r w:rsidR="00A7240F">
        <w:t xml:space="preserve">, </w:t>
      </w:r>
      <w:proofErr w:type="gramStart"/>
      <w:r w:rsidR="00A7240F">
        <w:t>prior</w:t>
      </w:r>
      <w:proofErr w:type="gramEnd"/>
      <w:r w:rsidR="00A7240F">
        <w:t xml:space="preserve"> and informed </w:t>
      </w:r>
      <w:r w:rsidR="00A7240F">
        <w:lastRenderedPageBreak/>
        <w:t xml:space="preserve">consent </w:t>
      </w:r>
      <w:r w:rsidR="002A5ACF">
        <w:t xml:space="preserve">(FPIC) </w:t>
      </w:r>
      <w:r w:rsidR="00A7240F">
        <w:t>is achieved</w:t>
      </w:r>
      <w:r w:rsidR="008074AB">
        <w:t xml:space="preserve">, </w:t>
      </w:r>
      <w:r w:rsidR="008523F2">
        <w:t xml:space="preserve">where all impacted groups </w:t>
      </w:r>
      <w:r w:rsidR="008074AB">
        <w:t xml:space="preserve">have access to reliable and up-to-date information. </w:t>
      </w:r>
    </w:p>
    <w:p w14:paraId="44723282" w14:textId="77777777" w:rsidR="00894977" w:rsidRDefault="00894977" w:rsidP="007E6DA7">
      <w:pPr>
        <w:spacing w:line="276" w:lineRule="auto"/>
        <w:jc w:val="both"/>
      </w:pPr>
    </w:p>
    <w:p w14:paraId="08FDBBF8" w14:textId="4CFB3031" w:rsidR="00894977" w:rsidRPr="00894977" w:rsidRDefault="00894977" w:rsidP="007E6DA7">
      <w:pPr>
        <w:spacing w:line="276" w:lineRule="auto"/>
        <w:jc w:val="both"/>
        <w:rPr>
          <w:b/>
        </w:rPr>
      </w:pPr>
      <w:r>
        <w:rPr>
          <w:b/>
        </w:rPr>
        <w:t>Enabling Conditions</w:t>
      </w:r>
    </w:p>
    <w:p w14:paraId="0920DE42" w14:textId="77777777" w:rsidR="00894977" w:rsidRDefault="00894977" w:rsidP="007E6DA7">
      <w:pPr>
        <w:spacing w:line="276" w:lineRule="auto"/>
        <w:jc w:val="both"/>
      </w:pPr>
    </w:p>
    <w:p w14:paraId="6C088D4D" w14:textId="41CC4BB3" w:rsidR="00894977" w:rsidRDefault="00894977" w:rsidP="007E6DA7">
      <w:pPr>
        <w:spacing w:line="276" w:lineRule="auto"/>
        <w:jc w:val="both"/>
      </w:pPr>
      <w:r>
        <w:t>In further regard to free, prior and informed consent (FPIC), it is welcomed that 14(a) mentions the rights of indigenous peoples and local communities in the implementation of the framework. However, more concrete and meaningful goals and indi</w:t>
      </w:r>
      <w:r w:rsidR="002A5ACF">
        <w:t>cators could be advanced if</w:t>
      </w:r>
      <w:r w:rsidR="00914EB2">
        <w:t>, in the text and consequent goals and indicators,</w:t>
      </w:r>
      <w:r w:rsidR="002A5ACF">
        <w:t xml:space="preserve"> their rights were expanded to include </w:t>
      </w:r>
      <w:r w:rsidR="004A246D">
        <w:t>their right to free, prior and informed c</w:t>
      </w:r>
      <w:r>
        <w:t>onsent (FPIC) as it relates to land, oceans, rivers and biodive</w:t>
      </w:r>
      <w:r w:rsidR="002A5ACF">
        <w:t xml:space="preserve">rsity under their stewardship. </w:t>
      </w:r>
      <w:r w:rsidR="00914EB2">
        <w:t xml:space="preserve">This is particularly relevant for Africa given the resource boom on the continent and the expansion of mining activities. </w:t>
      </w:r>
      <w:r>
        <w:t xml:space="preserve">Giving indigenous peoples and local communities the formal power to decide whether ‘development’ projects and biotechnology interventions may take place in their territories is a critical measure for protecting biodiversity as it puts decision-making power in the hands of those who directly conserve and benefit from local biodiversity. Indicators would include the extent to which national policies and </w:t>
      </w:r>
      <w:proofErr w:type="spellStart"/>
      <w:r>
        <w:t>programmes</w:t>
      </w:r>
      <w:proofErr w:type="spellEnd"/>
      <w:r>
        <w:t xml:space="preserve"> enshrine this principle, and the extent of the actual </w:t>
      </w:r>
      <w:r w:rsidR="004A246D">
        <w:t>enactment of this principle across</w:t>
      </w:r>
      <w:r>
        <w:t xml:space="preserve"> specific locations to protect biodiversity.</w:t>
      </w:r>
    </w:p>
    <w:p w14:paraId="69B456FD" w14:textId="77777777" w:rsidR="002A5ACF" w:rsidRDefault="002A5ACF" w:rsidP="007E6DA7">
      <w:pPr>
        <w:spacing w:line="276" w:lineRule="auto"/>
        <w:jc w:val="both"/>
      </w:pPr>
    </w:p>
    <w:p w14:paraId="467A0F89" w14:textId="77777777" w:rsidR="002A5ACF" w:rsidRDefault="002A5ACF" w:rsidP="007E6DA7">
      <w:pPr>
        <w:spacing w:line="276" w:lineRule="auto"/>
        <w:jc w:val="both"/>
      </w:pPr>
    </w:p>
    <w:p w14:paraId="42DD917B" w14:textId="4922EA78" w:rsidR="00902F84" w:rsidRDefault="00902F84" w:rsidP="007E6DA7">
      <w:pPr>
        <w:spacing w:line="276" w:lineRule="auto"/>
        <w:jc w:val="both"/>
      </w:pPr>
    </w:p>
    <w:p w14:paraId="69417572" w14:textId="2C63BAB0" w:rsidR="00894977" w:rsidRPr="00894977" w:rsidRDefault="00894977" w:rsidP="007E6DA7">
      <w:pPr>
        <w:spacing w:line="276" w:lineRule="auto"/>
        <w:jc w:val="both"/>
        <w:rPr>
          <w:b/>
        </w:rPr>
      </w:pPr>
      <w:r>
        <w:rPr>
          <w:b/>
        </w:rPr>
        <w:t>Implementation support mechanisms</w:t>
      </w:r>
    </w:p>
    <w:p w14:paraId="0F438576" w14:textId="77777777" w:rsidR="00894977" w:rsidRDefault="00894977" w:rsidP="007E6DA7">
      <w:pPr>
        <w:spacing w:line="276" w:lineRule="auto"/>
        <w:jc w:val="both"/>
      </w:pPr>
    </w:p>
    <w:p w14:paraId="5B89EA63" w14:textId="53B2DCA0" w:rsidR="00902F84" w:rsidRDefault="00902F84" w:rsidP="007E6DA7">
      <w:pPr>
        <w:spacing w:line="276" w:lineRule="auto"/>
        <w:jc w:val="both"/>
      </w:pPr>
      <w:r>
        <w:t xml:space="preserve">Where technological transfer is mentioned, such as in paragraph 13(d), it is imperative for a technology assessment to be required, to ensure technologies are relevant, responsive and appropriate to the context. This should be stated clearly. </w:t>
      </w:r>
      <w:r w:rsidR="004A246D">
        <w:t xml:space="preserve">Indicators </w:t>
      </w:r>
      <w:r w:rsidR="002A5ACF">
        <w:t xml:space="preserve">for </w:t>
      </w:r>
      <w:r w:rsidR="004A246D">
        <w:t>technology assessment capacity and implementation may include the percentage of parties that undertake assessments, percentage of decisions with associated summary reports of assessments, and the percentage of parties that have access to and use relevant risk assessment guidance materials.</w:t>
      </w:r>
    </w:p>
    <w:p w14:paraId="2F98AA8B" w14:textId="77777777" w:rsidR="002A5ACF" w:rsidRDefault="002A5ACF" w:rsidP="007E6DA7">
      <w:pPr>
        <w:spacing w:line="276" w:lineRule="auto"/>
        <w:jc w:val="both"/>
      </w:pPr>
    </w:p>
    <w:p w14:paraId="33338ED1" w14:textId="77777777" w:rsidR="002A5ACF" w:rsidRDefault="002A5ACF" w:rsidP="007E6DA7">
      <w:pPr>
        <w:spacing w:line="276" w:lineRule="auto"/>
        <w:jc w:val="both"/>
      </w:pPr>
    </w:p>
    <w:p w14:paraId="0ED3506B" w14:textId="10C508FA" w:rsidR="002A5ACF" w:rsidRDefault="002A5ACF" w:rsidP="007E6DA7">
      <w:pPr>
        <w:spacing w:line="276" w:lineRule="auto"/>
        <w:jc w:val="both"/>
      </w:pPr>
      <w:r>
        <w:t>Kind regards,</w:t>
      </w:r>
    </w:p>
    <w:p w14:paraId="4D48904A" w14:textId="77777777" w:rsidR="002A5ACF" w:rsidRDefault="002A5ACF" w:rsidP="007E6DA7">
      <w:pPr>
        <w:spacing w:line="276" w:lineRule="auto"/>
        <w:jc w:val="both"/>
      </w:pPr>
    </w:p>
    <w:p w14:paraId="73D450FA" w14:textId="77777777" w:rsidR="002A5ACF" w:rsidRDefault="002A5ACF" w:rsidP="007E6DA7">
      <w:pPr>
        <w:spacing w:line="276" w:lineRule="auto"/>
        <w:jc w:val="both"/>
      </w:pPr>
    </w:p>
    <w:p w14:paraId="5BC0DC01" w14:textId="77777777" w:rsidR="002A5ACF" w:rsidRDefault="002A5ACF" w:rsidP="007E6DA7">
      <w:pPr>
        <w:spacing w:line="276" w:lineRule="auto"/>
        <w:jc w:val="both"/>
      </w:pPr>
    </w:p>
    <w:p w14:paraId="71F626E6" w14:textId="13E2C68E" w:rsidR="002A5ACF" w:rsidRDefault="002A5ACF" w:rsidP="007E6DA7">
      <w:pPr>
        <w:spacing w:line="276" w:lineRule="auto"/>
        <w:jc w:val="both"/>
      </w:pPr>
      <w:r>
        <w:t xml:space="preserve">Mariam </w:t>
      </w:r>
      <w:proofErr w:type="spellStart"/>
      <w:r>
        <w:t>Mayet</w:t>
      </w:r>
      <w:proofErr w:type="spellEnd"/>
    </w:p>
    <w:p w14:paraId="0B3F3BB8" w14:textId="77777777" w:rsidR="002A5ACF" w:rsidRDefault="002A5ACF" w:rsidP="007E6DA7">
      <w:pPr>
        <w:spacing w:line="276" w:lineRule="auto"/>
        <w:jc w:val="both"/>
      </w:pPr>
    </w:p>
    <w:p w14:paraId="7DE7FEB6" w14:textId="1868E4EA" w:rsidR="002A5ACF" w:rsidRDefault="002A5ACF" w:rsidP="007E6DA7">
      <w:pPr>
        <w:spacing w:line="276" w:lineRule="auto"/>
        <w:jc w:val="both"/>
      </w:pPr>
      <w:r>
        <w:t>Executive Director</w:t>
      </w:r>
    </w:p>
    <w:p w14:paraId="4823971C" w14:textId="0B22B363" w:rsidR="002A5ACF" w:rsidRDefault="002A5ACF" w:rsidP="007E6DA7">
      <w:pPr>
        <w:spacing w:line="276" w:lineRule="auto"/>
        <w:jc w:val="both"/>
      </w:pPr>
      <w:r>
        <w:t>African Centre for Biodiversity (ACB)</w:t>
      </w:r>
    </w:p>
    <w:p w14:paraId="0FC6C882" w14:textId="77777777" w:rsidR="002A5ACF" w:rsidRDefault="002A5ACF" w:rsidP="007E6DA7">
      <w:pPr>
        <w:spacing w:line="276" w:lineRule="auto"/>
      </w:pPr>
    </w:p>
    <w:p w14:paraId="229D4301" w14:textId="2677E6A6" w:rsidR="001A30C8" w:rsidRDefault="001A30C8" w:rsidP="007E6DA7">
      <w:pPr>
        <w:spacing w:line="276" w:lineRule="auto"/>
      </w:pPr>
    </w:p>
    <w:p w14:paraId="744BFB5C" w14:textId="77777777" w:rsidR="00FF2861" w:rsidRDefault="00FF2861" w:rsidP="007E6DA7">
      <w:pPr>
        <w:spacing w:line="276" w:lineRule="auto"/>
      </w:pPr>
    </w:p>
    <w:sectPr w:rsidR="00FF2861" w:rsidSect="00512770">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476CA" w14:textId="77777777" w:rsidR="00897C27" w:rsidRDefault="00897C27" w:rsidP="008961CE">
      <w:r>
        <w:separator/>
      </w:r>
    </w:p>
  </w:endnote>
  <w:endnote w:type="continuationSeparator" w:id="0">
    <w:p w14:paraId="3BFF8AD0" w14:textId="77777777" w:rsidR="00897C27" w:rsidRDefault="00897C27" w:rsidP="0089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22280173"/>
      <w:docPartObj>
        <w:docPartGallery w:val="Page Numbers (Bottom of Page)"/>
        <w:docPartUnique/>
      </w:docPartObj>
    </w:sdtPr>
    <w:sdtEndPr>
      <w:rPr>
        <w:rStyle w:val="PageNumber"/>
      </w:rPr>
    </w:sdtEndPr>
    <w:sdtContent>
      <w:p w14:paraId="38305304" w14:textId="2464F684" w:rsidR="00897C27" w:rsidRDefault="00897C27" w:rsidP="00B76C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9B3AED" w14:textId="77777777" w:rsidR="00897C27" w:rsidRDefault="00897C27" w:rsidP="008961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28560838"/>
      <w:docPartObj>
        <w:docPartGallery w:val="Page Numbers (Bottom of Page)"/>
        <w:docPartUnique/>
      </w:docPartObj>
    </w:sdtPr>
    <w:sdtEndPr>
      <w:rPr>
        <w:rStyle w:val="PageNumber"/>
      </w:rPr>
    </w:sdtEndPr>
    <w:sdtContent>
      <w:p w14:paraId="065853E1" w14:textId="450CE9DD" w:rsidR="00897C27" w:rsidRDefault="00897C27" w:rsidP="00B76C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E7C73">
          <w:rPr>
            <w:rStyle w:val="PageNumber"/>
            <w:noProof/>
          </w:rPr>
          <w:t>1</w:t>
        </w:r>
        <w:r>
          <w:rPr>
            <w:rStyle w:val="PageNumber"/>
          </w:rPr>
          <w:fldChar w:fldCharType="end"/>
        </w:r>
      </w:p>
    </w:sdtContent>
  </w:sdt>
  <w:p w14:paraId="151FF720" w14:textId="77777777" w:rsidR="00897C27" w:rsidRDefault="00897C27" w:rsidP="008961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46094" w14:textId="77777777" w:rsidR="00897C27" w:rsidRDefault="00897C27" w:rsidP="008961CE">
      <w:r>
        <w:separator/>
      </w:r>
    </w:p>
  </w:footnote>
  <w:footnote w:type="continuationSeparator" w:id="0">
    <w:p w14:paraId="337EB8CB" w14:textId="77777777" w:rsidR="00897C27" w:rsidRDefault="00897C27" w:rsidP="008961CE">
      <w:r>
        <w:continuationSeparator/>
      </w:r>
    </w:p>
  </w:footnote>
  <w:footnote w:id="1">
    <w:p w14:paraId="0752C745" w14:textId="77777777" w:rsidR="002A5ACF" w:rsidRPr="00ED5A41" w:rsidRDefault="002A5ACF" w:rsidP="002A5ACF">
      <w:pPr>
        <w:pStyle w:val="FootnoteText"/>
        <w:rPr>
          <w:sz w:val="20"/>
          <w:szCs w:val="20"/>
        </w:rPr>
      </w:pPr>
      <w:r w:rsidRPr="00ED5A41">
        <w:rPr>
          <w:rStyle w:val="FootnoteReference"/>
          <w:sz w:val="20"/>
          <w:szCs w:val="20"/>
        </w:rPr>
        <w:footnoteRef/>
      </w:r>
      <w:r w:rsidRPr="00ED5A41">
        <w:rPr>
          <w:sz w:val="20"/>
          <w:szCs w:val="20"/>
        </w:rPr>
        <w:t xml:space="preserve"> IPES-Food. 2016. </w:t>
      </w:r>
      <w:r w:rsidRPr="00ED5A41">
        <w:rPr>
          <w:i/>
          <w:sz w:val="20"/>
          <w:szCs w:val="20"/>
        </w:rPr>
        <w:t xml:space="preserve">From Uniformity to Diversity: A Paradigm Shift from Industrial Agriculture to Diversified </w:t>
      </w:r>
      <w:proofErr w:type="spellStart"/>
      <w:r w:rsidRPr="00ED5A41">
        <w:rPr>
          <w:i/>
          <w:sz w:val="20"/>
          <w:szCs w:val="20"/>
        </w:rPr>
        <w:t>Agroecological</w:t>
      </w:r>
      <w:proofErr w:type="spellEnd"/>
      <w:r w:rsidRPr="00ED5A41">
        <w:rPr>
          <w:i/>
          <w:sz w:val="20"/>
          <w:szCs w:val="20"/>
        </w:rPr>
        <w:t xml:space="preserve"> Systems. </w:t>
      </w:r>
      <w:proofErr w:type="gramStart"/>
      <w:r w:rsidRPr="00ED5A41">
        <w:rPr>
          <w:sz w:val="20"/>
          <w:szCs w:val="20"/>
        </w:rPr>
        <w:t>International Panel of Experts on Sustainable Food Systems.</w:t>
      </w:r>
      <w:proofErr w:type="gramEnd"/>
      <w:r w:rsidRPr="00ED5A41">
        <w:rPr>
          <w:sz w:val="20"/>
          <w:szCs w:val="20"/>
        </w:rPr>
        <w:t xml:space="preserve"> </w:t>
      </w:r>
    </w:p>
  </w:footnote>
  <w:footnote w:id="2">
    <w:p w14:paraId="0DB34E81" w14:textId="77777777" w:rsidR="002A5ACF" w:rsidRDefault="002A5ACF" w:rsidP="002A5ACF">
      <w:pPr>
        <w:pStyle w:val="FootnoteText"/>
      </w:pPr>
      <w:r w:rsidRPr="00ED5A41">
        <w:rPr>
          <w:rStyle w:val="FootnoteReference"/>
          <w:sz w:val="20"/>
          <w:szCs w:val="20"/>
        </w:rPr>
        <w:footnoteRef/>
      </w:r>
      <w:r w:rsidRPr="00ED5A41">
        <w:rPr>
          <w:sz w:val="20"/>
          <w:szCs w:val="20"/>
        </w:rPr>
        <w:t xml:space="preserve"> </w:t>
      </w:r>
      <w:r w:rsidRPr="00ED5A41">
        <w:rPr>
          <w:sz w:val="20"/>
          <w:szCs w:val="20"/>
          <w:lang w:val="en-GB"/>
        </w:rPr>
        <w:t xml:space="preserve">FAO. 2018. </w:t>
      </w:r>
      <w:r w:rsidRPr="00ED5A41">
        <w:rPr>
          <w:i/>
          <w:sz w:val="20"/>
          <w:szCs w:val="20"/>
          <w:lang w:val="en-GB"/>
        </w:rPr>
        <w:t xml:space="preserve">The Future of Food and Agriculture: Alternative Pathways to 2050. </w:t>
      </w:r>
      <w:r w:rsidRPr="00ED5A41">
        <w:rPr>
          <w:sz w:val="20"/>
          <w:szCs w:val="20"/>
          <w:lang w:val="en-GB"/>
        </w:rPr>
        <w:t>Rome: The Food and Agriculture Organisation of the United Nations.</w:t>
      </w:r>
    </w:p>
  </w:footnote>
  <w:footnote w:id="3">
    <w:p w14:paraId="32D75353" w14:textId="77777777" w:rsidR="002A5ACF" w:rsidRPr="00ED5A41" w:rsidRDefault="002A5ACF" w:rsidP="002A5ACF">
      <w:pPr>
        <w:pStyle w:val="FootnoteText"/>
        <w:rPr>
          <w:sz w:val="20"/>
          <w:szCs w:val="20"/>
        </w:rPr>
      </w:pPr>
      <w:r w:rsidRPr="00ED5A41">
        <w:rPr>
          <w:rStyle w:val="FootnoteReference"/>
          <w:sz w:val="20"/>
          <w:szCs w:val="20"/>
        </w:rPr>
        <w:footnoteRef/>
      </w:r>
      <w:r w:rsidRPr="00ED5A41">
        <w:rPr>
          <w:sz w:val="20"/>
          <w:szCs w:val="20"/>
        </w:rPr>
        <w:t xml:space="preserve"> </w:t>
      </w:r>
      <w:r w:rsidRPr="00ED5A41">
        <w:rPr>
          <w:sz w:val="20"/>
          <w:szCs w:val="20"/>
          <w:lang w:val="en-GB"/>
        </w:rPr>
        <w:t xml:space="preserve">EAT-Lancet Commission. 2018. </w:t>
      </w:r>
      <w:r w:rsidRPr="00ED5A41">
        <w:rPr>
          <w:i/>
          <w:sz w:val="20"/>
          <w:szCs w:val="20"/>
          <w:lang w:val="en-GB"/>
        </w:rPr>
        <w:t xml:space="preserve">Healthy Diets from Sustainable Food Systems: Food Planet Health. </w:t>
      </w:r>
      <w:proofErr w:type="gramStart"/>
      <w:r w:rsidRPr="00ED5A41">
        <w:rPr>
          <w:sz w:val="20"/>
          <w:szCs w:val="20"/>
          <w:lang w:val="en-GB"/>
        </w:rPr>
        <w:t>Summary Report of the EAT-Lancet Commission</w:t>
      </w:r>
      <w:r>
        <w:rPr>
          <w:sz w:val="20"/>
          <w:szCs w:val="20"/>
          <w:lang w:val="en-GB"/>
        </w:rP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63"/>
    <w:rsid w:val="000522D3"/>
    <w:rsid w:val="000630EF"/>
    <w:rsid w:val="000A49E8"/>
    <w:rsid w:val="000C31CA"/>
    <w:rsid w:val="00112478"/>
    <w:rsid w:val="00176563"/>
    <w:rsid w:val="001A30C8"/>
    <w:rsid w:val="00240C73"/>
    <w:rsid w:val="002A5ACF"/>
    <w:rsid w:val="002D755D"/>
    <w:rsid w:val="00326178"/>
    <w:rsid w:val="003936D1"/>
    <w:rsid w:val="003C56C8"/>
    <w:rsid w:val="003D5E05"/>
    <w:rsid w:val="003E529E"/>
    <w:rsid w:val="0040195D"/>
    <w:rsid w:val="004123CD"/>
    <w:rsid w:val="004163FC"/>
    <w:rsid w:val="004A246D"/>
    <w:rsid w:val="004A6F60"/>
    <w:rsid w:val="004F263E"/>
    <w:rsid w:val="00511892"/>
    <w:rsid w:val="00512256"/>
    <w:rsid w:val="00512770"/>
    <w:rsid w:val="005266EC"/>
    <w:rsid w:val="005D12F5"/>
    <w:rsid w:val="0060479A"/>
    <w:rsid w:val="00610578"/>
    <w:rsid w:val="00621B74"/>
    <w:rsid w:val="006328F3"/>
    <w:rsid w:val="00663BFC"/>
    <w:rsid w:val="006B5379"/>
    <w:rsid w:val="006C75E1"/>
    <w:rsid w:val="006D5EF6"/>
    <w:rsid w:val="007E6DA7"/>
    <w:rsid w:val="007E7C73"/>
    <w:rsid w:val="007F6EC5"/>
    <w:rsid w:val="008074AB"/>
    <w:rsid w:val="008523F2"/>
    <w:rsid w:val="0085581B"/>
    <w:rsid w:val="0088341C"/>
    <w:rsid w:val="00894977"/>
    <w:rsid w:val="008961CE"/>
    <w:rsid w:val="00897C27"/>
    <w:rsid w:val="008B408F"/>
    <w:rsid w:val="008C2647"/>
    <w:rsid w:val="008D384F"/>
    <w:rsid w:val="008E7209"/>
    <w:rsid w:val="00902F84"/>
    <w:rsid w:val="00914EB2"/>
    <w:rsid w:val="009607EF"/>
    <w:rsid w:val="009C356B"/>
    <w:rsid w:val="00A20BBE"/>
    <w:rsid w:val="00A30412"/>
    <w:rsid w:val="00A50F78"/>
    <w:rsid w:val="00A7240F"/>
    <w:rsid w:val="00AD2738"/>
    <w:rsid w:val="00B0208D"/>
    <w:rsid w:val="00B76C95"/>
    <w:rsid w:val="00CD13BE"/>
    <w:rsid w:val="00D14DCD"/>
    <w:rsid w:val="00D9088A"/>
    <w:rsid w:val="00DA0C55"/>
    <w:rsid w:val="00DA3C30"/>
    <w:rsid w:val="00E80BF8"/>
    <w:rsid w:val="00E81E62"/>
    <w:rsid w:val="00E8705D"/>
    <w:rsid w:val="00EC58A1"/>
    <w:rsid w:val="00EC74AF"/>
    <w:rsid w:val="00ED5A41"/>
    <w:rsid w:val="00EF5296"/>
    <w:rsid w:val="00F1073E"/>
    <w:rsid w:val="00F47480"/>
    <w:rsid w:val="00F92886"/>
    <w:rsid w:val="00FE468F"/>
    <w:rsid w:val="00FF2861"/>
    <w:rsid w:val="00FF3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199A1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92886"/>
    <w:pPr>
      <w:spacing w:line="276" w:lineRule="auto"/>
      <w:ind w:left="426" w:hanging="426"/>
    </w:pPr>
    <w:rPr>
      <w:sz w:val="22"/>
      <w:szCs w:val="22"/>
      <w:lang w:val="en-ZA"/>
    </w:rPr>
  </w:style>
  <w:style w:type="paragraph" w:styleId="Footer">
    <w:name w:val="footer"/>
    <w:basedOn w:val="Normal"/>
    <w:link w:val="FooterChar"/>
    <w:uiPriority w:val="99"/>
    <w:unhideWhenUsed/>
    <w:rsid w:val="008961CE"/>
    <w:pPr>
      <w:tabs>
        <w:tab w:val="center" w:pos="4680"/>
        <w:tab w:val="right" w:pos="9360"/>
      </w:tabs>
    </w:pPr>
  </w:style>
  <w:style w:type="character" w:customStyle="1" w:styleId="FooterChar">
    <w:name w:val="Footer Char"/>
    <w:basedOn w:val="DefaultParagraphFont"/>
    <w:link w:val="Footer"/>
    <w:uiPriority w:val="99"/>
    <w:rsid w:val="008961CE"/>
  </w:style>
  <w:style w:type="character" w:styleId="PageNumber">
    <w:name w:val="page number"/>
    <w:basedOn w:val="DefaultParagraphFont"/>
    <w:uiPriority w:val="99"/>
    <w:semiHidden/>
    <w:unhideWhenUsed/>
    <w:rsid w:val="008961CE"/>
  </w:style>
  <w:style w:type="paragraph" w:styleId="BalloonText">
    <w:name w:val="Balloon Text"/>
    <w:basedOn w:val="Normal"/>
    <w:link w:val="BalloonTextChar"/>
    <w:uiPriority w:val="99"/>
    <w:semiHidden/>
    <w:unhideWhenUsed/>
    <w:rsid w:val="00326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178"/>
    <w:rPr>
      <w:rFonts w:ascii="Lucida Grande" w:hAnsi="Lucida Grande" w:cs="Lucida Grande"/>
      <w:sz w:val="18"/>
      <w:szCs w:val="18"/>
    </w:rPr>
  </w:style>
  <w:style w:type="paragraph" w:styleId="FootnoteText">
    <w:name w:val="footnote text"/>
    <w:basedOn w:val="Normal"/>
    <w:link w:val="FootnoteTextChar"/>
    <w:uiPriority w:val="99"/>
    <w:unhideWhenUsed/>
    <w:rsid w:val="00ED5A41"/>
  </w:style>
  <w:style w:type="character" w:customStyle="1" w:styleId="FootnoteTextChar">
    <w:name w:val="Footnote Text Char"/>
    <w:basedOn w:val="DefaultParagraphFont"/>
    <w:link w:val="FootnoteText"/>
    <w:uiPriority w:val="99"/>
    <w:rsid w:val="00ED5A41"/>
  </w:style>
  <w:style w:type="character" w:styleId="FootnoteReference">
    <w:name w:val="footnote reference"/>
    <w:basedOn w:val="DefaultParagraphFont"/>
    <w:uiPriority w:val="99"/>
    <w:unhideWhenUsed/>
    <w:rsid w:val="00ED5A4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92886"/>
    <w:pPr>
      <w:spacing w:line="276" w:lineRule="auto"/>
      <w:ind w:left="426" w:hanging="426"/>
    </w:pPr>
    <w:rPr>
      <w:sz w:val="22"/>
      <w:szCs w:val="22"/>
      <w:lang w:val="en-ZA"/>
    </w:rPr>
  </w:style>
  <w:style w:type="paragraph" w:styleId="Footer">
    <w:name w:val="footer"/>
    <w:basedOn w:val="Normal"/>
    <w:link w:val="FooterChar"/>
    <w:uiPriority w:val="99"/>
    <w:unhideWhenUsed/>
    <w:rsid w:val="008961CE"/>
    <w:pPr>
      <w:tabs>
        <w:tab w:val="center" w:pos="4680"/>
        <w:tab w:val="right" w:pos="9360"/>
      </w:tabs>
    </w:pPr>
  </w:style>
  <w:style w:type="character" w:customStyle="1" w:styleId="FooterChar">
    <w:name w:val="Footer Char"/>
    <w:basedOn w:val="DefaultParagraphFont"/>
    <w:link w:val="Footer"/>
    <w:uiPriority w:val="99"/>
    <w:rsid w:val="008961CE"/>
  </w:style>
  <w:style w:type="character" w:styleId="PageNumber">
    <w:name w:val="page number"/>
    <w:basedOn w:val="DefaultParagraphFont"/>
    <w:uiPriority w:val="99"/>
    <w:semiHidden/>
    <w:unhideWhenUsed/>
    <w:rsid w:val="008961CE"/>
  </w:style>
  <w:style w:type="paragraph" w:styleId="BalloonText">
    <w:name w:val="Balloon Text"/>
    <w:basedOn w:val="Normal"/>
    <w:link w:val="BalloonTextChar"/>
    <w:uiPriority w:val="99"/>
    <w:semiHidden/>
    <w:unhideWhenUsed/>
    <w:rsid w:val="00326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178"/>
    <w:rPr>
      <w:rFonts w:ascii="Lucida Grande" w:hAnsi="Lucida Grande" w:cs="Lucida Grande"/>
      <w:sz w:val="18"/>
      <w:szCs w:val="18"/>
    </w:rPr>
  </w:style>
  <w:style w:type="paragraph" w:styleId="FootnoteText">
    <w:name w:val="footnote text"/>
    <w:basedOn w:val="Normal"/>
    <w:link w:val="FootnoteTextChar"/>
    <w:uiPriority w:val="99"/>
    <w:unhideWhenUsed/>
    <w:rsid w:val="00ED5A41"/>
  </w:style>
  <w:style w:type="character" w:customStyle="1" w:styleId="FootnoteTextChar">
    <w:name w:val="Footnote Text Char"/>
    <w:basedOn w:val="DefaultParagraphFont"/>
    <w:link w:val="FootnoteText"/>
    <w:uiPriority w:val="99"/>
    <w:rsid w:val="00ED5A41"/>
  </w:style>
  <w:style w:type="character" w:styleId="FootnoteReference">
    <w:name w:val="footnote reference"/>
    <w:basedOn w:val="DefaultParagraphFont"/>
    <w:uiPriority w:val="99"/>
    <w:unhideWhenUsed/>
    <w:rsid w:val="00ED5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1903</Words>
  <Characters>10853</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Linzi Lewis</dc:creator>
  <cp:keywords/>
  <dc:description/>
  <cp:lastModifiedBy>Andrew Bennie</cp:lastModifiedBy>
  <cp:revision>10</cp:revision>
  <dcterms:created xsi:type="dcterms:W3CDTF">2020-01-16T10:36:00Z</dcterms:created>
  <dcterms:modified xsi:type="dcterms:W3CDTF">2020-01-28T16:21:00Z</dcterms:modified>
</cp:coreProperties>
</file>