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054" w:rsidRPr="00F43560" w:rsidRDefault="008A2054" w:rsidP="008A2054">
      <w:pPr>
        <w:rPr>
          <w:rFonts w:cstheme="minorHAnsi"/>
          <w:noProof/>
          <w:lang w:val="en-GB"/>
        </w:rPr>
      </w:pPr>
      <w:r>
        <w:rPr>
          <w:rFonts w:cstheme="minorHAnsi"/>
          <w:noProof/>
          <w:lang w:val="en-GB"/>
        </w:rPr>
        <w:t>15</w:t>
      </w:r>
      <w:r w:rsidRPr="00F43560">
        <w:rPr>
          <w:rFonts w:cstheme="minorHAnsi"/>
          <w:noProof/>
          <w:lang w:val="en-GB"/>
        </w:rPr>
        <w:t xml:space="preserve"> </w:t>
      </w:r>
      <w:r>
        <w:rPr>
          <w:rFonts w:cstheme="minorHAnsi"/>
          <w:noProof/>
          <w:lang w:val="en-GB"/>
        </w:rPr>
        <w:t xml:space="preserve">April </w:t>
      </w:r>
      <w:r w:rsidRPr="00F43560">
        <w:rPr>
          <w:rFonts w:cstheme="minorHAnsi"/>
          <w:noProof/>
          <w:lang w:val="en-GB"/>
        </w:rPr>
        <w:t>201</w:t>
      </w:r>
      <w:r>
        <w:rPr>
          <w:rFonts w:cstheme="minorHAnsi"/>
          <w:noProof/>
          <w:lang w:val="en-GB"/>
        </w:rPr>
        <w:t>9</w:t>
      </w:r>
    </w:p>
    <w:p w:rsidR="008A2054" w:rsidRPr="00F43560" w:rsidRDefault="008A2054" w:rsidP="008A2054">
      <w:pPr>
        <w:pStyle w:val="HTMLPreformatted"/>
        <w:rPr>
          <w:rFonts w:asciiTheme="minorHAnsi" w:hAnsiTheme="minorHAnsi" w:cstheme="minorHAnsi"/>
          <w:sz w:val="22"/>
          <w:szCs w:val="22"/>
        </w:rPr>
      </w:pPr>
      <w:r>
        <w:rPr>
          <w:rFonts w:asciiTheme="minorHAnsi" w:hAnsiTheme="minorHAnsi" w:cstheme="minorHAnsi"/>
          <w:sz w:val="22"/>
          <w:szCs w:val="22"/>
        </w:rPr>
        <w:t>Healthy Urban Microbiome Initiative</w:t>
      </w:r>
    </w:p>
    <w:p w:rsidR="008A2054" w:rsidRPr="00F43560" w:rsidRDefault="008A2054" w:rsidP="008A2054">
      <w:pPr>
        <w:pStyle w:val="HTMLPreformatted"/>
        <w:rPr>
          <w:rFonts w:asciiTheme="minorHAnsi" w:hAnsiTheme="minorHAnsi" w:cstheme="minorHAnsi"/>
          <w:sz w:val="22"/>
          <w:szCs w:val="22"/>
        </w:rPr>
      </w:pPr>
      <w:r w:rsidRPr="00F43560">
        <w:rPr>
          <w:rFonts w:asciiTheme="minorHAnsi" w:hAnsiTheme="minorHAnsi" w:cstheme="minorHAnsi"/>
          <w:sz w:val="22"/>
          <w:szCs w:val="22"/>
        </w:rPr>
        <w:t>Private Bag 55</w:t>
      </w:r>
    </w:p>
    <w:p w:rsidR="008A2054" w:rsidRPr="00EA61D0" w:rsidRDefault="008A2054" w:rsidP="008A2054">
      <w:pPr>
        <w:pStyle w:val="HTMLPreformatted"/>
        <w:rPr>
          <w:rFonts w:asciiTheme="minorHAnsi" w:hAnsiTheme="minorHAnsi" w:cstheme="minorHAnsi"/>
          <w:sz w:val="22"/>
          <w:szCs w:val="22"/>
        </w:rPr>
      </w:pPr>
      <w:r w:rsidRPr="00EA61D0">
        <w:rPr>
          <w:rFonts w:asciiTheme="minorHAnsi" w:hAnsiTheme="minorHAnsi" w:cstheme="minorHAnsi"/>
          <w:sz w:val="22"/>
          <w:szCs w:val="22"/>
        </w:rPr>
        <w:t>Hobart, Tasmania 7001</w:t>
      </w:r>
    </w:p>
    <w:p w:rsidR="008A2054" w:rsidRDefault="008A2054" w:rsidP="008A2054">
      <w:pPr>
        <w:rPr>
          <w:rFonts w:cstheme="minorHAnsi"/>
        </w:rPr>
      </w:pPr>
      <w:r>
        <w:rPr>
          <w:rFonts w:cstheme="minorHAnsi"/>
        </w:rPr>
        <w:t>HUMI4BUGS</w:t>
      </w:r>
      <w:r w:rsidRPr="00EA61D0">
        <w:rPr>
          <w:rFonts w:cstheme="minorHAnsi"/>
        </w:rPr>
        <w:t>@</w:t>
      </w:r>
      <w:r>
        <w:rPr>
          <w:rFonts w:cstheme="minorHAnsi"/>
        </w:rPr>
        <w:t>gmail.com</w:t>
      </w:r>
      <w:r w:rsidRPr="00EA61D0">
        <w:rPr>
          <w:rFonts w:cstheme="minorHAnsi"/>
        </w:rPr>
        <w:br/>
      </w:r>
    </w:p>
    <w:p w:rsidR="004B4FEF" w:rsidRPr="00297950" w:rsidRDefault="008A2054">
      <w:pPr>
        <w:rPr>
          <w:rFonts w:cstheme="minorHAnsi"/>
        </w:rPr>
      </w:pPr>
      <w:r>
        <w:rPr>
          <w:rFonts w:cstheme="minorHAnsi"/>
        </w:rPr>
        <w:t>Dear Secretariat,</w:t>
      </w:r>
    </w:p>
    <w:p w:rsidR="00882D06" w:rsidRPr="00297950" w:rsidRDefault="00882D06">
      <w:pPr>
        <w:rPr>
          <w:rFonts w:cstheme="minorHAnsi"/>
        </w:rPr>
      </w:pPr>
      <w:r w:rsidRPr="00297950">
        <w:rPr>
          <w:rFonts w:cstheme="minorHAnsi"/>
        </w:rPr>
        <w:t>The Healthy Urban Microbiome Initiative wishes to provide some commentary on the post-2020 global biodiversity framework. We were very heartened to see the unanimous adoption of language at COP 14 regarding the interconnections among biodiversity and health, in particular the following: “</w:t>
      </w:r>
      <w:r w:rsidRPr="00297950">
        <w:rPr>
          <w:rFonts w:cstheme="minorHAnsi"/>
          <w:i/>
          <w:iCs/>
        </w:rPr>
        <w:t xml:space="preserve">Recognizing </w:t>
      </w:r>
      <w:r w:rsidRPr="00297950">
        <w:rPr>
          <w:rFonts w:cstheme="minorHAnsi"/>
        </w:rPr>
        <w:t>the importance of the human microbiome for human health, and the importance of biodiverse green spaces in urban environments, protected areas and their physiological and psychological benefits, and further highlighting the importance of ecosystem-based approaches for the delivery of multiple benefits”.</w:t>
      </w:r>
    </w:p>
    <w:p w:rsidR="00882D06" w:rsidRPr="00297950" w:rsidRDefault="00882D06" w:rsidP="007F074C">
      <w:pPr>
        <w:rPr>
          <w:rFonts w:cstheme="minorHAnsi"/>
        </w:rPr>
      </w:pPr>
      <w:r w:rsidRPr="00297950">
        <w:rPr>
          <w:rFonts w:cstheme="minorHAnsi"/>
        </w:rPr>
        <w:t xml:space="preserve">Our research has underlined this statement, both by connecting microbial biodiversity to health </w:t>
      </w:r>
      <w:r w:rsidR="007F074C">
        <w:rPr>
          <w:rFonts w:cstheme="minorHAnsi"/>
        </w:rPr>
        <w:t xml:space="preserve">empirically </w:t>
      </w:r>
      <w:r w:rsidRPr="00297950">
        <w:rPr>
          <w:rFonts w:cstheme="minorHAnsi"/>
        </w:rPr>
        <w:fldChar w:fldCharType="begin" w:fldLock="1"/>
      </w:r>
      <w:r w:rsidR="007F074C">
        <w:rPr>
          <w:rFonts w:cstheme="minorHAnsi"/>
        </w:rPr>
        <w:instrText>ADDIN CSL_CITATION {"citationItems":[{"id":"ITEM-1","itemData":{"DOI":"10.1016/j.jenvman.2017.10.007","ISSN":"03014797","abstract":"Megatrends of urbanisation and reducing contact with natural environments may pose a largely unappreciated risk to human health, particularly in children, through declining normal (healthy) immunomodulatory environmental exposures. On the other hand, building knowledge of connections between environments, biodiversity and human health may offer new integrated ways of addressing global challenges of rising population health costs and declining biodiversity. In this study we are motivated to build insight and provide context and priority for emerging research into potential protective (e.g. immunomodulatory) environmental exposures. We use respiratory health as a test case to explore whether some types and qualities of environment may be more beneficial than others, and how such exposures may compare to known respiratory health influences, via a cross-sectional ecological epidemiology study for the continent of Australia. Using Lasso penalized regression (to interpret key predictors from many candidate variables) and 10-fold cross-validation modelling (to indicate reproducibility and uncertainty), within different socio-geographic settings, our results show surrogate measures of landscape biodiversity correlate with respiratory health, and rank amongst known predictors. A range of possible drivers for this relationship are discussed. Perhaps most novel and interesting of these is the possibility of protective immunomodulatory influence from microbial diversity (suggested by the understudied ‘biodiversity hypothesis’) and other bioactive agents associated with biodiverse environments. If beneficial influences can be demonstrated from biodiverse environments on immunomodulation and human health, there may be potential to design new cost-effective nature-based health intervention programs to reduce the risk of immune-related disease at a population level. Our approach and findings are also likely to have use in the evaluation of environment and health associations elsewhere.","author":[{"dropping-particle":"","family":"Liddicoat","given":"Craig","non-dropping-particle":"","parse-names":false,"suffix":""},{"dropping-particle":"","family":"Bi","given":"Peng","non-dropping-particle":"","parse-names":false,"suffix":""},{"dropping-particle":"","family":"Waycott","given":"Michelle","non-dropping-particle":"","parse-names":false,"suffix":""},{"dropping-particle":"","family":"Glover","given":"John","non-dropping-particle":"","parse-names":false,"suffix":""},{"dropping-particle":"","family":"Lowe","given":"Andrew J.","non-dropping-particle":"","parse-names":false,"suffix":""},{"dropping-particle":"","family":"Weinstein","given":"Philip","non-dropping-particle":"","parse-names":false,"suffix":""}],"container-title":"Journal of Environmental Management","id":"ITEM-1","issued":{"date-parts":[["2018","1"]]},"page":"113-122","title":"Landscape biodiversity correlates with respiratory health in Australia","type":"article-journal","volume":"206"},"uris":["http://www.mendeley.com/documents/?uuid=c50f2926-699c-3eb8-a758-95f8ac494fa8"]},{"id":"ITEM-2","itemData":{"DOI":"10.1016/j.scitotenv.2018.01.077","ISSN":"0048-9697","abstract":"Humancontact with soilmaybe important for buildingandmaintainingnormal healthy immunedefencemechanisms, however this idea remains untested at the population-level. In this continent-wide, cross-sectional study we examine the possible public health benefit of ambient exposures to soil ofhigh cation exchange capacity (CEC), a surrogate for potential immunomodulatory soil microbial diversity. We compare distributions ofnormalized mean 2011/12–2012/ 13 age-standardized public hospital admission rates (cumulative incidence) for infectious and parasitic diseases across regional Australia (representingan averageof29,516patients/year in 228 local government areas),within tertiles ofso- cioeconomic status and soil exposure. To test the significance ofsoil CEC, we use probabilistic individual-level environ- mental exposure data (with or without soil), and group-level variables, in robust non-parametricmultilevelmodelling to predict disease rates in unseen groups. Our results show that in socioeconomically-deprived areas with high CEC soils, rates ofinfectious andparasitic disease are significantly lower thanareas with lowCEC soils. Also, health inequality (relative risk) due to socioeconomic status is significantly lower in areas with high CEC soils compared to lowCEC soils (Δ relative risk=0.47; 95%CI: 0.13, 0.82). Including soil exposurewhenmodelling rates ofinfectious and parasitic dis- ease significantly improves prediction performance, explaining an additional 7.5% (Δ r2=0.075; 95% CI: 0.05, 0.10) of variation indisease risk, in local government areas thatwere not used formodel building. Our findings suggest that ex- posure to highCEC soils (typically highsoil biodiversity) associates with reduced risk ofinfectious and parasitic diseases, particularly in lower socioeconomic areas.","author":[{"dropping-particle":"","family":"Liddicoat","given":"Craig","non-dropping-particle":"","parse-names":false,"suffix":""},{"dropping-particle":"","family":"Bi","given":"Peng","non-dropping-particle":"","parse-names":false,"suffix":""},{"dropping-particle":"","family":"Waycott","given":"Michelle","non-dropping-particle":"","parse-names":false,"suffix":""},{"dropping-particle":"","family":"Glover","given":"John","non-dropping-particle":"","parse-names":false,"suffix":""},{"dropping-particle":"","family":"Breed","given":"Martin","non-dropping-particle":"","parse-names":false,"suffix":""},{"dropping-particle":"","family":"Weinstein","given":"Philip","non-dropping-particle":"","parse-names":false,"suffix":""}],"container-title":"Science of the Total Environment journal","id":"ITEM-2","issued":{"date-parts":[["2018","6"]]},"page":"117-125","publisher":"Elsevier B.V.","title":"Ambient soil cation exchange capacity inversely associates with infectious and parasitic disease risk in regional Australia","type":"article-journal","volume":"626"},"uris":["http://www.mendeley.com/documents/?uuid=a6cb8310-7f2c-4370-ac6c-394860cc22d6"]}],"mendeley":{"formattedCitation":"(Liddicoat &lt;i&gt;et al.&lt;/i&gt; 2018a, b)","plainTextFormattedCitation":"(Liddicoat et al. 2018a, b)","previouslyFormattedCitation":"(Liddicoat &lt;i&gt;et al.&lt;/i&gt; 2018a, b)"},"properties":{"noteIndex":0},"schema":"https://github.com/citation-style-language/schema/raw/master/csl-citation.json"}</w:instrText>
      </w:r>
      <w:r w:rsidRPr="00297950">
        <w:rPr>
          <w:rFonts w:cstheme="minorHAnsi"/>
        </w:rPr>
        <w:fldChar w:fldCharType="separate"/>
      </w:r>
      <w:r w:rsidR="007F074C" w:rsidRPr="007F074C">
        <w:rPr>
          <w:rFonts w:cstheme="minorHAnsi"/>
          <w:noProof/>
        </w:rPr>
        <w:t xml:space="preserve">(Liddicoat </w:t>
      </w:r>
      <w:r w:rsidR="007F074C" w:rsidRPr="007F074C">
        <w:rPr>
          <w:rFonts w:cstheme="minorHAnsi"/>
          <w:i/>
          <w:noProof/>
        </w:rPr>
        <w:t>et al.</w:t>
      </w:r>
      <w:r w:rsidR="007F074C" w:rsidRPr="007F074C">
        <w:rPr>
          <w:rFonts w:cstheme="minorHAnsi"/>
          <w:noProof/>
        </w:rPr>
        <w:t xml:space="preserve"> 2018a, b)</w:t>
      </w:r>
      <w:r w:rsidRPr="00297950">
        <w:rPr>
          <w:rFonts w:cstheme="minorHAnsi"/>
        </w:rPr>
        <w:fldChar w:fldCharType="end"/>
      </w:r>
      <w:r w:rsidRPr="00297950">
        <w:rPr>
          <w:rFonts w:cstheme="minorHAnsi"/>
        </w:rPr>
        <w:t xml:space="preserve"> and by calling for biodiverse urban green spaces to be implemented for global public health benefit </w:t>
      </w:r>
      <w:r w:rsidRPr="00297950">
        <w:rPr>
          <w:rFonts w:cstheme="minorHAnsi"/>
        </w:rPr>
        <w:fldChar w:fldCharType="begin" w:fldLock="1"/>
      </w:r>
      <w:r w:rsidR="007F074C">
        <w:rPr>
          <w:rFonts w:cstheme="minorHAnsi"/>
        </w:rPr>
        <w:instrText>ADDIN CSL_CITATION {"citationItems":[{"id":"ITEM-1","itemData":{"DOI":"10.1002/fee.1630","ISSN":"15409309","abstract":"© The Ecological Society of America The world is urbanizing and chronic health conditions associated with urban living are on the rise. There is mounting evidence that people with a diverse microbiome (bacteria that inhabit the human body) or who interact with green spaces enjoy better health. However, studies have yet to directly examine how biodiverse urban green spaces (BUGS) might modify the human microbiome and reduce chronic disease. Here we highlight the potential for green spaces to improve health by exposing people to environmental microorganisms that diversify human microbiomes and help regulate immune function. We present four international perspectives (from Australia, China, India, and the UK) on the major challenges and benefits of using BUGS to alleviate health burdens. We propose solutions to these challenges and outline studies that can test the connections between BUGS, immune function, and human health and provide the evidence base for effective BUGS design and use. If further studies reinforce this hypothesis, then BUGS may become a viable tool to stem the global burden of urban-associated chronic diseases.","author":[{"dropping-particle":"","family":"Flies","given":"Emily J.","non-dropping-particle":"","parse-names":false,"suffix":""},{"dropping-particle":"","family":"Skelly","given":"Chris","non-dropping-particle":"","parse-names":false,"suffix":""},{"dropping-particle":"","family":"Negi","given":"Sagri Singh","non-dropping-particle":"","parse-names":false,"suffix":""},{"dropping-particle":"","family":"Prabhakaran","given":"Poornima","non-dropping-particle":"","parse-names":false,"suffix":""},{"dropping-particle":"","family":"Liu","given":"Qiyong","non-dropping-particle":"","parse-names":false,"suffix":""},{"dropping-particle":"","family":"Liu","given":"Keke","non-dropping-particle":"","parse-names":false,"suffix":""},{"dropping-particle":"","family":"Goldizen","given":"Fiona C.","non-dropping-particle":"","parse-names":false,"suffix":""},{"dropping-particle":"","family":"Lease","given":"Chris","non-dropping-particle":"","parse-names":false,"suffix":""},{"dropping-particle":"","family":"Weinstein","given":"Philip","non-dropping-particle":"","parse-names":false,"suffix":""}],"container-title":"Frontiers in Ecology and the Environment","id":"ITEM-1","issue":"9","issued":{"date-parts":[["2017"]]},"page":"510-516","title":"Biodiverse green spaces: a prescription for global urban health","type":"article-journal","volume":"15"},"uris":["http://www.mendeley.com/documents/?uuid=076a0aae-11dc-4a30-aec1-31a68f355c7a"]},{"id":"ITEM-2","itemData":{"DOI":"10.1080/23748834.2018.1546641","ISSN":"2374-8834","abstract":"ABSTRACTCurrent evidence suggests that biodiverse environmental microbiomes contribute positively to human health and could account for known associations between urban green space and improved health. We summarise the state of knowledge that could inform the development of healthy urban microbiome initiatives (HUMI) to re-connect urban populations to biodiverse microbial communities.","author":[{"dropping-particle":"","family":"Flies","given":"Emily J.","non-dropping-particle":"","parse-names":false,"suffix":""},{"dropping-particle":"","family":"Skelly","given":"Chris","non-dropping-particle":"","parse-names":false,"suffix":""},{"dropping-particle":"","family":"Lovell","given":"Rebecca","non-dropping-particle":"","parse-names":false,"suffix":""},{"dropping-particle":"","family":"Breed","given":"Martin F.","non-dropping-particle":"","parse-names":false,"suffix":""},{"dropping-particle":"","family":"Phillips","given":"David","non-dropping-particle":"","parse-names":false,"suffix":""},{"dropping-particle":"","family":"Weinstein","given":"Philip","non-dropping-particle":"","parse-names":false,"suffix":""}],"container-title":"Cities &amp; Health","id":"ITEM-2","issued":{"date-parts":[["2018","11","29"]]},"page":"1-8","publisher":"Routledge","title":"Cities, biodiversity and health: we need healthy urban microbiome initiatives","type":"article-journal"},"uris":["http://www.mendeley.com/documents/?uuid=35a96e65-8ffb-3411-b9f3-d3f141983c16"]}],"mendeley":{"formattedCitation":"(Flies &lt;i&gt;et al.&lt;/i&gt; 2017, 2018)","plainTextFormattedCitation":"(Flies et al. 2017, 2018)","previouslyFormattedCitation":"(Flies &lt;i&gt;et al.&lt;/i&gt; 2017, 2018)"},"properties":{"noteIndex":0},"schema":"https://github.com/citation-style-language/schema/raw/master/csl-citation.json"}</w:instrText>
      </w:r>
      <w:r w:rsidRPr="00297950">
        <w:rPr>
          <w:rFonts w:cstheme="minorHAnsi"/>
        </w:rPr>
        <w:fldChar w:fldCharType="separate"/>
      </w:r>
      <w:r w:rsidR="007F074C" w:rsidRPr="007F074C">
        <w:rPr>
          <w:rFonts w:cstheme="minorHAnsi"/>
          <w:noProof/>
        </w:rPr>
        <w:t xml:space="preserve">(Flies </w:t>
      </w:r>
      <w:r w:rsidR="007F074C" w:rsidRPr="007F074C">
        <w:rPr>
          <w:rFonts w:cstheme="minorHAnsi"/>
          <w:i/>
          <w:noProof/>
        </w:rPr>
        <w:t>et al.</w:t>
      </w:r>
      <w:r w:rsidR="007F074C" w:rsidRPr="007F074C">
        <w:rPr>
          <w:rFonts w:cstheme="minorHAnsi"/>
          <w:noProof/>
        </w:rPr>
        <w:t xml:space="preserve"> 2017, 2018)</w:t>
      </w:r>
      <w:r w:rsidRPr="00297950">
        <w:rPr>
          <w:rFonts w:cstheme="minorHAnsi"/>
        </w:rPr>
        <w:fldChar w:fldCharType="end"/>
      </w:r>
      <w:r w:rsidRPr="00297950">
        <w:rPr>
          <w:rFonts w:cstheme="minorHAnsi"/>
        </w:rPr>
        <w:t>. Given our status as an international non-governmental organisation comprised of academic researchers and public health experts, we wish to address the following questions</w:t>
      </w:r>
      <w:r w:rsidR="002F71E5">
        <w:rPr>
          <w:rFonts w:cstheme="minorHAnsi"/>
        </w:rPr>
        <w:t xml:space="preserve"> raised in the post-2020 Global Biodiversity Framework discussion paper</w:t>
      </w:r>
      <w:r w:rsidRPr="00297950">
        <w:rPr>
          <w:rFonts w:cstheme="minorHAnsi"/>
        </w:rPr>
        <w:t>:</w:t>
      </w:r>
    </w:p>
    <w:p w:rsidR="00297950" w:rsidRPr="00297950" w:rsidRDefault="00882D06" w:rsidP="00297950">
      <w:pPr>
        <w:pStyle w:val="ListParagraph"/>
        <w:numPr>
          <w:ilvl w:val="0"/>
          <w:numId w:val="1"/>
        </w:numPr>
        <w:rPr>
          <w:rFonts w:cstheme="minorHAnsi"/>
        </w:rPr>
      </w:pPr>
      <w:r w:rsidRPr="00297950">
        <w:rPr>
          <w:rFonts w:cstheme="minorHAnsi"/>
          <w:b/>
          <w:bCs/>
        </w:rPr>
        <w:t>What, in real terms, does “living in harmony” with nature entail, what are the implications of this for the scope and content of the post-2020 global biodiversity framework and what actions are needed between now and 2050 to reach the 2050 Vision?</w:t>
      </w:r>
    </w:p>
    <w:p w:rsidR="00297950" w:rsidRPr="008A2054" w:rsidRDefault="00882D06" w:rsidP="008A2054">
      <w:pPr>
        <w:pStyle w:val="ListParagraph"/>
        <w:numPr>
          <w:ilvl w:val="1"/>
          <w:numId w:val="1"/>
        </w:numPr>
        <w:rPr>
          <w:rFonts w:cstheme="minorHAnsi"/>
        </w:rPr>
      </w:pPr>
      <w:r w:rsidRPr="00297950">
        <w:rPr>
          <w:rFonts w:cstheme="minorHAnsi"/>
          <w:bCs/>
        </w:rPr>
        <w:t>In 1950, only 30% of the global population lived in cities. By 2050, nearly 70% of the population will be urban.</w:t>
      </w:r>
      <w:r w:rsidR="00297950" w:rsidRPr="00297950">
        <w:rPr>
          <w:rFonts w:cstheme="minorHAnsi"/>
          <w:bCs/>
        </w:rPr>
        <w:t xml:space="preserve"> Urban areas disconnect humans from natural environments but biodiverse urban green spaces have the potential to restore connections between humans and nature </w:t>
      </w:r>
      <w:r w:rsidR="00297950" w:rsidRPr="00297950">
        <w:rPr>
          <w:rFonts w:cstheme="minorHAnsi"/>
          <w:bCs/>
        </w:rPr>
        <w:fldChar w:fldCharType="begin" w:fldLock="1"/>
      </w:r>
      <w:r w:rsidR="007F074C">
        <w:rPr>
          <w:rFonts w:cstheme="minorHAnsi"/>
          <w:bCs/>
        </w:rPr>
        <w:instrText>ADDIN CSL_CITATION {"citationItems":[{"id":"ITEM-1","itemData":{"DOI":"10.1002/fee.1630","ISSN":"15409309","abstract":"© The Ecological Society of America The world is urbanizing and chronic health conditions associated with urban living are on the rise. There is mounting evidence that people with a diverse microbiome (bacteria that inhabit the human body) or who interact with green spaces enjoy better health. However, studies have yet to directly examine how biodiverse urban green spaces (BUGS) might modify the human microbiome and reduce chronic disease. Here we highlight the potential for green spaces to improve health by exposing people to environmental microorganisms that diversify human microbiomes and help regulate immune function. We present four international perspectives (from Australia, China, India, and the UK) on the major challenges and benefits of using BUGS to alleviate health burdens. We propose solutions to these challenges and outline studies that can test the connections between BUGS, immune function, and human health and provide the evidence base for effective BUGS design and use. If further studies reinforce this hypothesis, then BUGS may become a viable tool to stem the global burden of urban-associated chronic diseases.","author":[{"dropping-particle":"","family":"Flies","given":"Emily J.","non-dropping-particle":"","parse-names":false,"suffix":""},{"dropping-particle":"","family":"Skelly","given":"Chris","non-dropping-particle":"","parse-names":false,"suffix":""},{"dropping-particle":"","family":"Negi","given":"Sagri Singh","non-dropping-particle":"","parse-names":false,"suffix":""},{"dropping-particle":"","family":"Prabhakaran","given":"Poornima","non-dropping-particle":"","parse-names":false,"suffix":""},{"dropping-particle":"","family":"Liu","given":"Qiyong","non-dropping-particle":"","parse-names":false,"suffix":""},{"dropping-particle":"","family":"Liu","given":"Keke","non-dropping-particle":"","parse-names":false,"suffix":""},{"dropping-particle":"","family":"Goldizen","given":"Fiona C.","non-dropping-particle":"","parse-names":false,"suffix":""},{"dropping-particle":"","family":"Lease","given":"Chris","non-dropping-particle":"","parse-names":false,"suffix":""},{"dropping-particle":"","family":"Weinstein","given":"Philip","non-dropping-particle":"","parse-names":false,"suffix":""}],"container-title":"Frontiers in Ecology and the Environment","id":"ITEM-1","issue":"9","issued":{"date-parts":[["2017"]]},"page":"510-516","title":"Biodiverse green spaces: a prescription for global urban health","type":"article-journal","volume":"15"},"uris":["http://www.mendeley.com/documents/?uuid=076a0aae-11dc-4a30-aec1-31a68f355c7a"]},{"id":"ITEM-2","itemData":{"DOI":"10.1080/23748834.2018.1546641","ISSN":"2374-8834","abstract":"ABSTRACTCurrent evidence suggests that biodiverse environmental microbiomes contribute positively to human health and could account for known associations between urban green space and improved health. We summarise the state of knowledge that could inform the development of healthy urban microbiome initiatives (HUMI) to re-connect urban populations to biodiverse microbial communities.","author":[{"dropping-particle":"","family":"Flies","given":"Emily J.","non-dropping-particle":"","parse-names":false,"suffix":""},{"dropping-particle":"","family":"Skelly","given":"Chris","non-dropping-particle":"","parse-names":false,"suffix":""},{"dropping-particle":"","family":"Lovell","given":"Rebecca","non-dropping-particle":"","parse-names":false,"suffix":""},{"dropping-particle":"","family":"Breed","given":"Martin F.","non-dropping-particle":"","parse-names":false,"suffix":""},{"dropping-particle":"","family":"Phillips","given":"David","non-dropping-particle":"","parse-names":false,"suffix":""},{"dropping-particle":"","family":"Weinstein","given":"Philip","non-dropping-particle":"","parse-names":false,"suffix":""}],"container-title":"Cities &amp; Health","id":"ITEM-2","issued":{"date-parts":[["2018","11","29"]]},"page":"1-8","publisher":"Routledge","title":"Cities, biodiversity and health: we need healthy urban microbiome initiatives","type":"article-journal"},"uris":["http://www.mendeley.com/documents/?uuid=35a96e65-8ffb-3411-b9f3-d3f141983c16"]}],"mendeley":{"formattedCitation":"(Flies &lt;i&gt;et al.&lt;/i&gt; 2017, 2018)","plainTextFormattedCitation":"(Flies et al. 2017, 2018)","previouslyFormattedCitation":"(Flies &lt;i&gt;et al.&lt;/i&gt; 2017)"},"properties":{"noteIndex":0},"schema":"https://github.com/citation-style-language/schema/raw/master/csl-citation.json"}</w:instrText>
      </w:r>
      <w:r w:rsidR="00297950" w:rsidRPr="00297950">
        <w:rPr>
          <w:rFonts w:cstheme="minorHAnsi"/>
          <w:bCs/>
        </w:rPr>
        <w:fldChar w:fldCharType="separate"/>
      </w:r>
      <w:r w:rsidR="007F074C" w:rsidRPr="007F074C">
        <w:rPr>
          <w:rFonts w:cstheme="minorHAnsi"/>
          <w:bCs/>
          <w:noProof/>
        </w:rPr>
        <w:t xml:space="preserve">(Flies </w:t>
      </w:r>
      <w:r w:rsidR="007F074C" w:rsidRPr="007F074C">
        <w:rPr>
          <w:rFonts w:cstheme="minorHAnsi"/>
          <w:bCs/>
          <w:i/>
          <w:noProof/>
        </w:rPr>
        <w:t>et al.</w:t>
      </w:r>
      <w:r w:rsidR="007F074C" w:rsidRPr="007F074C">
        <w:rPr>
          <w:rFonts w:cstheme="minorHAnsi"/>
          <w:bCs/>
          <w:noProof/>
        </w:rPr>
        <w:t xml:space="preserve"> 2017, 2018)</w:t>
      </w:r>
      <w:r w:rsidR="00297950" w:rsidRPr="00297950">
        <w:rPr>
          <w:rFonts w:cstheme="minorHAnsi"/>
          <w:bCs/>
        </w:rPr>
        <w:fldChar w:fldCharType="end"/>
      </w:r>
      <w:r w:rsidR="00297950" w:rsidRPr="00297950">
        <w:rPr>
          <w:rFonts w:cstheme="minorHAnsi"/>
          <w:bCs/>
        </w:rPr>
        <w:t xml:space="preserve">. </w:t>
      </w:r>
      <w:r w:rsidR="005F7B4C">
        <w:rPr>
          <w:rFonts w:cstheme="minorHAnsi"/>
          <w:bCs/>
        </w:rPr>
        <w:t>Therefore,</w:t>
      </w:r>
      <w:r w:rsidR="00297950" w:rsidRPr="00297950">
        <w:rPr>
          <w:rFonts w:cstheme="minorHAnsi"/>
          <w:bCs/>
        </w:rPr>
        <w:t xml:space="preserve"> the Healthy Urban Microbiome Initiative, in partnership with the UN Convention on Biological Diversity, has launched the “2020 Challenge” – an effort to create or restore biodiverse urban green spaces in 20 cities in 20 countries by 2020. Given the myriad health benefits of urban green spaces, and the potential for biodiversity to maximize those health benefits while creating sizable co-benefits for conservation, we believe the biodiverse urban green spaces approach is a critical component for any successful “living in harmony” plan. </w:t>
      </w:r>
    </w:p>
    <w:p w:rsidR="008A2054" w:rsidRPr="008A2054" w:rsidRDefault="008A2054" w:rsidP="008A2054">
      <w:pPr>
        <w:pStyle w:val="ListParagraph"/>
        <w:ind w:left="1440"/>
        <w:rPr>
          <w:rFonts w:cstheme="minorHAnsi"/>
        </w:rPr>
      </w:pPr>
    </w:p>
    <w:p w:rsidR="00297950" w:rsidRPr="00297950" w:rsidRDefault="00297950" w:rsidP="00297950">
      <w:pPr>
        <w:pStyle w:val="ListParagraph"/>
        <w:numPr>
          <w:ilvl w:val="0"/>
          <w:numId w:val="1"/>
        </w:numPr>
        <w:rPr>
          <w:rFonts w:cstheme="minorHAnsi"/>
          <w:b/>
          <w:bCs/>
        </w:rPr>
      </w:pPr>
      <w:r w:rsidRPr="00297950">
        <w:rPr>
          <w:rFonts w:cstheme="minorHAnsi"/>
          <w:b/>
          <w:bCs/>
        </w:rPr>
        <w:t>What indicators, in addition to those already identified in decision XIII/28, are needed to monitor progress in the implementation of the post-2020 global biodiversity framework at the national, regional and global scales?</w:t>
      </w:r>
    </w:p>
    <w:p w:rsidR="008A2054" w:rsidRPr="00831ED7" w:rsidRDefault="00297950" w:rsidP="00831ED7">
      <w:pPr>
        <w:pStyle w:val="ListParagraph"/>
        <w:numPr>
          <w:ilvl w:val="1"/>
          <w:numId w:val="1"/>
        </w:numPr>
        <w:rPr>
          <w:rFonts w:cstheme="minorHAnsi"/>
          <w:bCs/>
        </w:rPr>
      </w:pPr>
      <w:r>
        <w:rPr>
          <w:rFonts w:cstheme="minorHAnsi"/>
          <w:bCs/>
        </w:rPr>
        <w:t xml:space="preserve">We applaud the UN CBD for recognizing the critical and well-documented link between a biodiverse human microbiome and human health. However, there is </w:t>
      </w:r>
      <w:r w:rsidR="005F7B4C">
        <w:rPr>
          <w:rFonts w:cstheme="minorHAnsi"/>
          <w:bCs/>
        </w:rPr>
        <w:t xml:space="preserve">yet </w:t>
      </w:r>
      <w:r>
        <w:rPr>
          <w:rFonts w:cstheme="minorHAnsi"/>
          <w:bCs/>
        </w:rPr>
        <w:t xml:space="preserve">no mention of the evident connections between biodiverse environmental </w:t>
      </w:r>
      <w:r>
        <w:rPr>
          <w:rFonts w:cstheme="minorHAnsi"/>
          <w:bCs/>
        </w:rPr>
        <w:lastRenderedPageBreak/>
        <w:t xml:space="preserve">microbiomes (such as those in air, water, soil and the surfaces of objects) and human microbiomes and health. This is a critical connection because not only do environmental microbiomes help shape the microbial communities in and on the animals in that environment (including humans), they also are the foundation for producing and supporting ecosystem services.  </w:t>
      </w:r>
      <w:r w:rsidR="008A2054">
        <w:rPr>
          <w:rFonts w:cstheme="minorHAnsi"/>
          <w:bCs/>
        </w:rPr>
        <w:t xml:space="preserve">Furthermore, biodiversity in microbial communities is easier to reliably quantify and responds more closely in space and time to perturbations (e.g. chemical contaminants, land use change, anthropogenic pressure), which makes it a better indicator for monitoring progress towards biodiversity targets. </w:t>
      </w:r>
      <w:r w:rsidR="005F7B4C">
        <w:rPr>
          <w:rFonts w:cstheme="minorHAnsi"/>
          <w:bCs/>
        </w:rPr>
        <w:t xml:space="preserve">Furthermore, the assessment of environmental microbial diversity (and its relationship to human microbial diversity and health) present ample opportunities for SMART (specific, measurable, ambitious, realistic and tome-bound) goals. </w:t>
      </w:r>
      <w:r w:rsidR="008A2054">
        <w:rPr>
          <w:rFonts w:cstheme="minorHAnsi"/>
          <w:bCs/>
        </w:rPr>
        <w:t xml:space="preserve">We propose that </w:t>
      </w:r>
      <w:r w:rsidR="005F7B4C">
        <w:rPr>
          <w:rFonts w:cstheme="minorHAnsi"/>
          <w:bCs/>
        </w:rPr>
        <w:t xml:space="preserve">monitoring </w:t>
      </w:r>
      <w:r w:rsidR="008A2054">
        <w:rPr>
          <w:rFonts w:cstheme="minorHAnsi"/>
          <w:bCs/>
        </w:rPr>
        <w:t>environmental microbiome</w:t>
      </w:r>
      <w:r w:rsidR="005F7B4C">
        <w:rPr>
          <w:rFonts w:cstheme="minorHAnsi"/>
          <w:bCs/>
        </w:rPr>
        <w:t xml:space="preserve">s </w:t>
      </w:r>
      <w:r w:rsidR="008A2054">
        <w:rPr>
          <w:rFonts w:cstheme="minorHAnsi"/>
          <w:bCs/>
        </w:rPr>
        <w:t xml:space="preserve">using standardized methods, </w:t>
      </w:r>
      <w:r w:rsidR="005F7B4C">
        <w:rPr>
          <w:rFonts w:cstheme="minorHAnsi"/>
          <w:bCs/>
        </w:rPr>
        <w:t>is</w:t>
      </w:r>
      <w:r w:rsidR="008A2054">
        <w:rPr>
          <w:rFonts w:cstheme="minorHAnsi"/>
          <w:bCs/>
        </w:rPr>
        <w:t xml:space="preserve"> adopted as one of the way</w:t>
      </w:r>
      <w:r w:rsidR="005F7B4C">
        <w:rPr>
          <w:rFonts w:cstheme="minorHAnsi"/>
          <w:bCs/>
        </w:rPr>
        <w:t>s</w:t>
      </w:r>
      <w:r w:rsidR="008A2054">
        <w:rPr>
          <w:rFonts w:cstheme="minorHAnsi"/>
          <w:bCs/>
        </w:rPr>
        <w:t xml:space="preserve"> to monitor progress towards the national, regional and global </w:t>
      </w:r>
      <w:r w:rsidR="005F7B4C">
        <w:rPr>
          <w:rFonts w:cstheme="minorHAnsi"/>
          <w:bCs/>
        </w:rPr>
        <w:t xml:space="preserve">biodiversity </w:t>
      </w:r>
      <w:r w:rsidR="008A2054">
        <w:rPr>
          <w:rFonts w:cstheme="minorHAnsi"/>
          <w:bCs/>
        </w:rPr>
        <w:t xml:space="preserve">scales. </w:t>
      </w:r>
    </w:p>
    <w:p w:rsidR="004F5ED9" w:rsidRDefault="004F5ED9" w:rsidP="00831ED7">
      <w:pPr>
        <w:spacing w:after="100" w:afterAutospacing="1" w:line="240" w:lineRule="auto"/>
        <w:rPr>
          <w:rFonts w:cstheme="minorHAnsi"/>
        </w:rPr>
      </w:pPr>
      <w:r>
        <w:rPr>
          <w:rFonts w:cstheme="minorHAnsi"/>
        </w:rPr>
        <w:t xml:space="preserve">We would also like to </w:t>
      </w:r>
      <w:r w:rsidR="00831ED7">
        <w:rPr>
          <w:rFonts w:cstheme="minorHAnsi"/>
        </w:rPr>
        <w:t>underline</w:t>
      </w:r>
      <w:r>
        <w:rPr>
          <w:rFonts w:cstheme="minorHAnsi"/>
        </w:rPr>
        <w:t xml:space="preserve"> </w:t>
      </w:r>
      <w:r w:rsidR="00337508">
        <w:rPr>
          <w:rFonts w:cstheme="minorHAnsi"/>
        </w:rPr>
        <w:t xml:space="preserve">the critical importance of environmental microbiota </w:t>
      </w:r>
      <w:r w:rsidR="00831ED7">
        <w:rPr>
          <w:rFonts w:cstheme="minorHAnsi"/>
        </w:rPr>
        <w:t>to health, as rigorously demonstrated in Chapter 8 of the “</w:t>
      </w:r>
      <w:r w:rsidR="00831ED7">
        <w:t>Connecting Global Priorities: Biodiversity and Human Health. A State of Knowledge Review</w:t>
      </w:r>
      <w:r w:rsidR="00831ED7">
        <w:t xml:space="preserve">” document from the CBD and the World health Organisation </w:t>
      </w:r>
      <w:r w:rsidR="00831ED7">
        <w:fldChar w:fldCharType="begin" w:fldLock="1"/>
      </w:r>
      <w:r w:rsidR="007F074C">
        <w:instrText>ADDIN CSL_CITATION {"citationItems":[{"id":"ITEM-1","itemData":{"DOI":"10.13140/RG.2.1.3679.6565","ISBN":"978 924 150 853 7","author":[{"dropping-particle":"","family":"WHO","given":"","non-dropping-particle":"","parse-names":false,"suffix":""},{"dropping-particle":"","family":"CBD","given":"","non-dropping-particle":"","parse-names":false,"suffix":""}],"id":"ITEM-1","issued":{"date-parts":[["2015"]]},"publisher-place":"Geneva, Switzerland","title":"Connecting Global Priorities: Biodiversity and Human Health. A State of Knowledge Review","type":"report"},"uris":["http://www.mendeley.com/documents/?uuid=7d1ef127-968e-4fe1-af6c-4c9be990b92c"]}],"mendeley":{"formattedCitation":"(WHO and CBD 2015)","plainTextFormattedCitation":"(WHO and CBD 2015)","previouslyFormattedCitation":"(WHO and CBD 2015)"},"properties":{"noteIndex":0},"schema":"https://github.com/citation-style-language/schema/raw/master/csl-citation.json"}</w:instrText>
      </w:r>
      <w:r w:rsidR="00831ED7">
        <w:fldChar w:fldCharType="separate"/>
      </w:r>
      <w:r w:rsidR="00831ED7" w:rsidRPr="00831ED7">
        <w:rPr>
          <w:noProof/>
        </w:rPr>
        <w:t>(WHO and CBD 2015)</w:t>
      </w:r>
      <w:r w:rsidR="00831ED7">
        <w:fldChar w:fldCharType="end"/>
      </w:r>
      <w:r w:rsidR="00831ED7">
        <w:t xml:space="preserve">. Indeed, as suggested by section II.3.c, HUMI partners (including Chapter 8 lead author Prof Graham A.W. Rook) would be interested in hosting a dedicated session or workshop to discuss ways to incorporate microbial biodiversity into the post-2020 global biodiversity framework. </w:t>
      </w:r>
    </w:p>
    <w:p w:rsidR="008A2054" w:rsidRPr="006B1CE5" w:rsidRDefault="008A2054" w:rsidP="008A2054">
      <w:pPr>
        <w:spacing w:after="100" w:afterAutospacing="1" w:line="240" w:lineRule="auto"/>
        <w:rPr>
          <w:rFonts w:cstheme="minorHAnsi"/>
        </w:rPr>
      </w:pPr>
      <w:r w:rsidRPr="006B1CE5">
        <w:rPr>
          <w:rFonts w:cstheme="minorHAnsi"/>
        </w:rPr>
        <w:t xml:space="preserve">We thank you for your time </w:t>
      </w:r>
      <w:r w:rsidR="002F71E5">
        <w:rPr>
          <w:rFonts w:cstheme="minorHAnsi"/>
        </w:rPr>
        <w:t>in considering these perspectives. Do not hesitate to contact us for further engagement</w:t>
      </w:r>
      <w:r w:rsidRPr="006B1CE5">
        <w:rPr>
          <w:rFonts w:cstheme="minorHAnsi"/>
        </w:rPr>
        <w:t xml:space="preserve">. </w:t>
      </w:r>
    </w:p>
    <w:p w:rsidR="008A2054" w:rsidRPr="006B1CE5" w:rsidRDefault="008A2054" w:rsidP="008A2054">
      <w:pPr>
        <w:rPr>
          <w:rFonts w:cstheme="minorHAnsi"/>
        </w:rPr>
      </w:pPr>
      <w:r w:rsidRPr="006B1CE5">
        <w:rPr>
          <w:rFonts w:cstheme="minorHAnsi"/>
        </w:rPr>
        <w:t>Best Regards,</w:t>
      </w:r>
    </w:p>
    <w:p w:rsidR="008A2054" w:rsidRDefault="008A2054" w:rsidP="008A2054">
      <w:pPr>
        <w:pStyle w:val="HTMLPreformatted"/>
        <w:rPr>
          <w:rFonts w:asciiTheme="minorHAnsi" w:hAnsiTheme="minorHAnsi" w:cstheme="minorHAnsi"/>
          <w:sz w:val="22"/>
          <w:szCs w:val="22"/>
        </w:rPr>
      </w:pPr>
      <w:r>
        <w:rPr>
          <w:rFonts w:asciiTheme="minorHAnsi" w:hAnsiTheme="minorHAnsi" w:cstheme="minorHAnsi"/>
          <w:noProof/>
          <w:sz w:val="22"/>
        </w:rPr>
        <w:drawing>
          <wp:inline distT="0" distB="0" distL="0" distR="0" wp14:anchorId="6B7D3186" wp14:editId="3CE1E4BB">
            <wp:extent cx="1590675" cy="361364"/>
            <wp:effectExtent l="0" t="0" r="0" b="63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1608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204" cy="370571"/>
                    </a:xfrm>
                    <a:prstGeom prst="rect">
                      <a:avLst/>
                    </a:prstGeom>
                  </pic:spPr>
                </pic:pic>
              </a:graphicData>
            </a:graphic>
          </wp:inline>
        </w:drawing>
      </w:r>
    </w:p>
    <w:p w:rsidR="002F71E5" w:rsidRDefault="008A2054" w:rsidP="008A2054">
      <w:pPr>
        <w:pStyle w:val="HTMLPreformatted"/>
        <w:rPr>
          <w:rFonts w:asciiTheme="minorHAnsi" w:hAnsiTheme="minorHAnsi" w:cstheme="minorHAnsi"/>
          <w:sz w:val="22"/>
          <w:szCs w:val="22"/>
        </w:rPr>
      </w:pPr>
      <w:r w:rsidRPr="006B1CE5">
        <w:rPr>
          <w:rFonts w:asciiTheme="minorHAnsi" w:hAnsiTheme="minorHAnsi" w:cstheme="minorHAnsi"/>
          <w:sz w:val="22"/>
          <w:szCs w:val="22"/>
        </w:rPr>
        <w:t>Emily J. Flies</w:t>
      </w:r>
      <w:r w:rsidR="002F71E5">
        <w:rPr>
          <w:rFonts w:asciiTheme="minorHAnsi" w:hAnsiTheme="minorHAnsi" w:cstheme="minorHAnsi"/>
          <w:sz w:val="22"/>
          <w:szCs w:val="22"/>
        </w:rPr>
        <w:t xml:space="preserve"> on behalf of HUMI partners</w:t>
      </w:r>
    </w:p>
    <w:p w:rsidR="002F71E5" w:rsidRDefault="002F71E5" w:rsidP="008A2054">
      <w:pPr>
        <w:pStyle w:val="HTMLPreformatted"/>
        <w:rPr>
          <w:rFonts w:asciiTheme="minorHAnsi" w:hAnsiTheme="minorHAnsi" w:cstheme="minorHAnsi"/>
          <w:sz w:val="22"/>
          <w:szCs w:val="22"/>
        </w:rPr>
      </w:pPr>
      <w:r>
        <w:rPr>
          <w:rFonts w:asciiTheme="minorHAnsi" w:hAnsiTheme="minorHAnsi" w:cstheme="minorHAnsi"/>
          <w:sz w:val="22"/>
          <w:szCs w:val="22"/>
        </w:rPr>
        <w:t>Director of Communication and Engagement</w:t>
      </w:r>
    </w:p>
    <w:p w:rsidR="008A2054" w:rsidRPr="006B1CE5" w:rsidRDefault="008A2054" w:rsidP="008A2054">
      <w:pPr>
        <w:pStyle w:val="HTMLPreformatted"/>
        <w:rPr>
          <w:rFonts w:asciiTheme="minorHAnsi" w:hAnsiTheme="minorHAnsi" w:cstheme="minorHAnsi"/>
          <w:sz w:val="22"/>
          <w:szCs w:val="22"/>
        </w:rPr>
      </w:pPr>
      <w:r>
        <w:rPr>
          <w:rFonts w:asciiTheme="minorHAnsi" w:hAnsiTheme="minorHAnsi" w:cstheme="minorHAnsi"/>
          <w:sz w:val="22"/>
          <w:szCs w:val="22"/>
          <w:lang w:val="en-AU"/>
        </w:rPr>
        <w:t>Healthy Urban Microbiome Initiative</w:t>
      </w:r>
    </w:p>
    <w:p w:rsidR="008A2054" w:rsidRDefault="008A2054" w:rsidP="008A2054">
      <w:pPr>
        <w:rPr>
          <w:rFonts w:cstheme="minorHAnsi"/>
          <w:bCs/>
        </w:rPr>
      </w:pPr>
    </w:p>
    <w:p w:rsidR="007F074C" w:rsidRPr="007F074C" w:rsidRDefault="004F5ED9" w:rsidP="007F074C">
      <w:pPr>
        <w:widowControl w:val="0"/>
        <w:autoSpaceDE w:val="0"/>
        <w:autoSpaceDN w:val="0"/>
        <w:adjustRightInd w:val="0"/>
        <w:spacing w:line="240" w:lineRule="auto"/>
        <w:ind w:left="480" w:hanging="480"/>
        <w:rPr>
          <w:rFonts w:ascii="Calibri" w:hAnsi="Calibri" w:cs="Calibri"/>
          <w:noProof/>
          <w:szCs w:val="24"/>
        </w:rPr>
      </w:pPr>
      <w:r>
        <w:rPr>
          <w:rFonts w:cstheme="minorHAnsi"/>
          <w:bCs/>
        </w:rPr>
        <w:fldChar w:fldCharType="begin" w:fldLock="1"/>
      </w:r>
      <w:r>
        <w:rPr>
          <w:rFonts w:cstheme="minorHAnsi"/>
          <w:bCs/>
        </w:rPr>
        <w:instrText xml:space="preserve">ADDIN Mendeley Bibliography CSL_BIBLIOGRAPHY </w:instrText>
      </w:r>
      <w:r>
        <w:rPr>
          <w:rFonts w:cstheme="minorHAnsi"/>
          <w:bCs/>
        </w:rPr>
        <w:fldChar w:fldCharType="separate"/>
      </w:r>
      <w:r w:rsidR="007F074C" w:rsidRPr="007F074C">
        <w:rPr>
          <w:rFonts w:ascii="Calibri" w:hAnsi="Calibri" w:cs="Calibri"/>
          <w:noProof/>
          <w:szCs w:val="24"/>
        </w:rPr>
        <w:t xml:space="preserve">Flies EJ, Skelly C, Lovell R, </w:t>
      </w:r>
      <w:r w:rsidR="007F074C" w:rsidRPr="007F074C">
        <w:rPr>
          <w:rFonts w:ascii="Calibri" w:hAnsi="Calibri" w:cs="Calibri"/>
          <w:i/>
          <w:iCs/>
          <w:noProof/>
          <w:szCs w:val="24"/>
        </w:rPr>
        <w:t>et al.</w:t>
      </w:r>
      <w:r w:rsidR="007F074C" w:rsidRPr="007F074C">
        <w:rPr>
          <w:rFonts w:ascii="Calibri" w:hAnsi="Calibri" w:cs="Calibri"/>
          <w:noProof/>
          <w:szCs w:val="24"/>
        </w:rPr>
        <w:t xml:space="preserve"> 2018. Cities, biodiversity and health: we need healthy urban microbiome initiatives. </w:t>
      </w:r>
      <w:r w:rsidR="007F074C" w:rsidRPr="007F074C">
        <w:rPr>
          <w:rFonts w:ascii="Calibri" w:hAnsi="Calibri" w:cs="Calibri"/>
          <w:i/>
          <w:iCs/>
          <w:noProof/>
          <w:szCs w:val="24"/>
        </w:rPr>
        <w:t>Cities Heal</w:t>
      </w:r>
      <w:r w:rsidR="007F074C" w:rsidRPr="007F074C">
        <w:rPr>
          <w:rFonts w:ascii="Calibri" w:hAnsi="Calibri" w:cs="Calibri"/>
          <w:noProof/>
          <w:szCs w:val="24"/>
        </w:rPr>
        <w:t>: 1–8.</w:t>
      </w:r>
    </w:p>
    <w:p w:rsidR="007F074C" w:rsidRPr="007F074C" w:rsidRDefault="007F074C" w:rsidP="007F074C">
      <w:pPr>
        <w:widowControl w:val="0"/>
        <w:autoSpaceDE w:val="0"/>
        <w:autoSpaceDN w:val="0"/>
        <w:adjustRightInd w:val="0"/>
        <w:spacing w:line="240" w:lineRule="auto"/>
        <w:ind w:left="480" w:hanging="480"/>
        <w:rPr>
          <w:rFonts w:ascii="Calibri" w:hAnsi="Calibri" w:cs="Calibri"/>
          <w:noProof/>
          <w:szCs w:val="24"/>
        </w:rPr>
      </w:pPr>
      <w:r w:rsidRPr="007F074C">
        <w:rPr>
          <w:rFonts w:ascii="Calibri" w:hAnsi="Calibri" w:cs="Calibri"/>
          <w:noProof/>
          <w:szCs w:val="24"/>
        </w:rPr>
        <w:t xml:space="preserve">Flies EJ, Skelly C, Negi SS, </w:t>
      </w:r>
      <w:r w:rsidRPr="007F074C">
        <w:rPr>
          <w:rFonts w:ascii="Calibri" w:hAnsi="Calibri" w:cs="Calibri"/>
          <w:i/>
          <w:iCs/>
          <w:noProof/>
          <w:szCs w:val="24"/>
        </w:rPr>
        <w:t>et al.</w:t>
      </w:r>
      <w:r w:rsidRPr="007F074C">
        <w:rPr>
          <w:rFonts w:ascii="Calibri" w:hAnsi="Calibri" w:cs="Calibri"/>
          <w:noProof/>
          <w:szCs w:val="24"/>
        </w:rPr>
        <w:t xml:space="preserve"> 2017. Biodiverse green spaces: a prescription for global urban health. </w:t>
      </w:r>
      <w:r w:rsidRPr="007F074C">
        <w:rPr>
          <w:rFonts w:ascii="Calibri" w:hAnsi="Calibri" w:cs="Calibri"/>
          <w:i/>
          <w:iCs/>
          <w:noProof/>
          <w:szCs w:val="24"/>
        </w:rPr>
        <w:t>Front Ecol Environ</w:t>
      </w:r>
      <w:r w:rsidRPr="007F074C">
        <w:rPr>
          <w:rFonts w:ascii="Calibri" w:hAnsi="Calibri" w:cs="Calibri"/>
          <w:noProof/>
          <w:szCs w:val="24"/>
        </w:rPr>
        <w:t xml:space="preserve"> </w:t>
      </w:r>
      <w:r w:rsidRPr="007F074C">
        <w:rPr>
          <w:rFonts w:ascii="Calibri" w:hAnsi="Calibri" w:cs="Calibri"/>
          <w:b/>
          <w:bCs/>
          <w:noProof/>
          <w:szCs w:val="24"/>
        </w:rPr>
        <w:t>15</w:t>
      </w:r>
      <w:r w:rsidRPr="007F074C">
        <w:rPr>
          <w:rFonts w:ascii="Calibri" w:hAnsi="Calibri" w:cs="Calibri"/>
          <w:noProof/>
          <w:szCs w:val="24"/>
        </w:rPr>
        <w:t>: 510–6.</w:t>
      </w:r>
    </w:p>
    <w:p w:rsidR="007F074C" w:rsidRPr="007F074C" w:rsidRDefault="007F074C" w:rsidP="007F074C">
      <w:pPr>
        <w:widowControl w:val="0"/>
        <w:autoSpaceDE w:val="0"/>
        <w:autoSpaceDN w:val="0"/>
        <w:adjustRightInd w:val="0"/>
        <w:spacing w:line="240" w:lineRule="auto"/>
        <w:ind w:left="480" w:hanging="480"/>
        <w:rPr>
          <w:rFonts w:ascii="Calibri" w:hAnsi="Calibri" w:cs="Calibri"/>
          <w:noProof/>
          <w:szCs w:val="24"/>
        </w:rPr>
      </w:pPr>
      <w:r w:rsidRPr="007F074C">
        <w:rPr>
          <w:rFonts w:ascii="Calibri" w:hAnsi="Calibri" w:cs="Calibri"/>
          <w:noProof/>
          <w:szCs w:val="24"/>
        </w:rPr>
        <w:t xml:space="preserve">Liddicoat C, Bi P, Waycott M, </w:t>
      </w:r>
      <w:r w:rsidRPr="007F074C">
        <w:rPr>
          <w:rFonts w:ascii="Calibri" w:hAnsi="Calibri" w:cs="Calibri"/>
          <w:i/>
          <w:iCs/>
          <w:noProof/>
          <w:szCs w:val="24"/>
        </w:rPr>
        <w:t>et al.</w:t>
      </w:r>
      <w:r w:rsidRPr="007F074C">
        <w:rPr>
          <w:rFonts w:ascii="Calibri" w:hAnsi="Calibri" w:cs="Calibri"/>
          <w:noProof/>
          <w:szCs w:val="24"/>
        </w:rPr>
        <w:t xml:space="preserve"> 2018a. Landscape biodiversity correlates with respiratory health in Australia. </w:t>
      </w:r>
      <w:r w:rsidRPr="007F074C">
        <w:rPr>
          <w:rFonts w:ascii="Calibri" w:hAnsi="Calibri" w:cs="Calibri"/>
          <w:i/>
          <w:iCs/>
          <w:noProof/>
          <w:szCs w:val="24"/>
        </w:rPr>
        <w:t>J Environ Manage</w:t>
      </w:r>
      <w:r w:rsidRPr="007F074C">
        <w:rPr>
          <w:rFonts w:ascii="Calibri" w:hAnsi="Calibri" w:cs="Calibri"/>
          <w:noProof/>
          <w:szCs w:val="24"/>
        </w:rPr>
        <w:t xml:space="preserve"> </w:t>
      </w:r>
      <w:r w:rsidRPr="007F074C">
        <w:rPr>
          <w:rFonts w:ascii="Calibri" w:hAnsi="Calibri" w:cs="Calibri"/>
          <w:b/>
          <w:bCs/>
          <w:noProof/>
          <w:szCs w:val="24"/>
        </w:rPr>
        <w:t>206</w:t>
      </w:r>
      <w:r w:rsidRPr="007F074C">
        <w:rPr>
          <w:rFonts w:ascii="Calibri" w:hAnsi="Calibri" w:cs="Calibri"/>
          <w:noProof/>
          <w:szCs w:val="24"/>
        </w:rPr>
        <w:t>: 113–22.</w:t>
      </w:r>
    </w:p>
    <w:p w:rsidR="007F074C" w:rsidRPr="007F074C" w:rsidRDefault="007F074C" w:rsidP="007F074C">
      <w:pPr>
        <w:widowControl w:val="0"/>
        <w:autoSpaceDE w:val="0"/>
        <w:autoSpaceDN w:val="0"/>
        <w:adjustRightInd w:val="0"/>
        <w:spacing w:line="240" w:lineRule="auto"/>
        <w:ind w:left="480" w:hanging="480"/>
        <w:rPr>
          <w:rFonts w:ascii="Calibri" w:hAnsi="Calibri" w:cs="Calibri"/>
          <w:noProof/>
          <w:szCs w:val="24"/>
        </w:rPr>
      </w:pPr>
      <w:r w:rsidRPr="007F074C">
        <w:rPr>
          <w:rFonts w:ascii="Calibri" w:hAnsi="Calibri" w:cs="Calibri"/>
          <w:noProof/>
          <w:szCs w:val="24"/>
        </w:rPr>
        <w:t xml:space="preserve">Liddicoat C, Bi P, Waycott M, </w:t>
      </w:r>
      <w:r w:rsidRPr="007F074C">
        <w:rPr>
          <w:rFonts w:ascii="Calibri" w:hAnsi="Calibri" w:cs="Calibri"/>
          <w:i/>
          <w:iCs/>
          <w:noProof/>
          <w:szCs w:val="24"/>
        </w:rPr>
        <w:t>et al.</w:t>
      </w:r>
      <w:r w:rsidRPr="007F074C">
        <w:rPr>
          <w:rFonts w:ascii="Calibri" w:hAnsi="Calibri" w:cs="Calibri"/>
          <w:noProof/>
          <w:szCs w:val="24"/>
        </w:rPr>
        <w:t xml:space="preserve"> 2018b. Ambient soil cation exchange capacity inversely associates with infectious and parasitic disease risk in regional Australia. </w:t>
      </w:r>
      <w:r w:rsidRPr="007F074C">
        <w:rPr>
          <w:rFonts w:ascii="Calibri" w:hAnsi="Calibri" w:cs="Calibri"/>
          <w:i/>
          <w:iCs/>
          <w:noProof/>
          <w:szCs w:val="24"/>
        </w:rPr>
        <w:t>Sci Total Environ J</w:t>
      </w:r>
      <w:r w:rsidRPr="007F074C">
        <w:rPr>
          <w:rFonts w:ascii="Calibri" w:hAnsi="Calibri" w:cs="Calibri"/>
          <w:noProof/>
          <w:szCs w:val="24"/>
        </w:rPr>
        <w:t xml:space="preserve"> </w:t>
      </w:r>
      <w:r w:rsidRPr="007F074C">
        <w:rPr>
          <w:rFonts w:ascii="Calibri" w:hAnsi="Calibri" w:cs="Calibri"/>
          <w:b/>
          <w:bCs/>
          <w:noProof/>
          <w:szCs w:val="24"/>
        </w:rPr>
        <w:t>626</w:t>
      </w:r>
      <w:r w:rsidRPr="007F074C">
        <w:rPr>
          <w:rFonts w:ascii="Calibri" w:hAnsi="Calibri" w:cs="Calibri"/>
          <w:noProof/>
          <w:szCs w:val="24"/>
        </w:rPr>
        <w:t>: 117–25.</w:t>
      </w:r>
    </w:p>
    <w:p w:rsidR="004B4FEF" w:rsidRPr="00297950" w:rsidRDefault="007F074C" w:rsidP="005F7B4C">
      <w:pPr>
        <w:widowControl w:val="0"/>
        <w:autoSpaceDE w:val="0"/>
        <w:autoSpaceDN w:val="0"/>
        <w:adjustRightInd w:val="0"/>
        <w:spacing w:line="240" w:lineRule="auto"/>
        <w:ind w:left="480" w:hanging="480"/>
        <w:rPr>
          <w:rFonts w:cstheme="minorHAnsi"/>
        </w:rPr>
      </w:pPr>
      <w:r w:rsidRPr="007F074C">
        <w:rPr>
          <w:rFonts w:ascii="Calibri" w:hAnsi="Calibri" w:cs="Calibri"/>
          <w:noProof/>
          <w:szCs w:val="24"/>
        </w:rPr>
        <w:t>WHO and CBD. 2015. Connecting Global Priorit</w:t>
      </w:r>
      <w:bookmarkStart w:id="0" w:name="_GoBack"/>
      <w:bookmarkEnd w:id="0"/>
      <w:r w:rsidRPr="007F074C">
        <w:rPr>
          <w:rFonts w:ascii="Calibri" w:hAnsi="Calibri" w:cs="Calibri"/>
          <w:noProof/>
          <w:szCs w:val="24"/>
        </w:rPr>
        <w:t>ies: Biodiversity and Human Health. A State of Knowledge Review. Geneva, Switzerland.</w:t>
      </w:r>
      <w:r w:rsidR="004F5ED9">
        <w:rPr>
          <w:rFonts w:cstheme="minorHAnsi"/>
          <w:bCs/>
        </w:rPr>
        <w:fldChar w:fldCharType="end"/>
      </w:r>
    </w:p>
    <w:sectPr w:rsidR="004B4FEF" w:rsidRPr="0029795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C8" w:rsidRDefault="00723BC8" w:rsidP="008A2054">
      <w:pPr>
        <w:spacing w:after="0" w:line="240" w:lineRule="auto"/>
      </w:pPr>
      <w:r>
        <w:separator/>
      </w:r>
    </w:p>
  </w:endnote>
  <w:endnote w:type="continuationSeparator" w:id="0">
    <w:p w:rsidR="00723BC8" w:rsidRDefault="00723BC8" w:rsidP="008A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C8" w:rsidRDefault="00723BC8" w:rsidP="008A2054">
      <w:pPr>
        <w:spacing w:after="0" w:line="240" w:lineRule="auto"/>
      </w:pPr>
      <w:r>
        <w:separator/>
      </w:r>
    </w:p>
  </w:footnote>
  <w:footnote w:type="continuationSeparator" w:id="0">
    <w:p w:rsidR="00723BC8" w:rsidRDefault="00723BC8" w:rsidP="008A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54" w:rsidRDefault="008A2054">
    <w:pPr>
      <w:pStyle w:val="Header"/>
    </w:pPr>
    <w:r>
      <w:rPr>
        <w:noProof/>
      </w:rPr>
      <w:drawing>
        <wp:anchor distT="0" distB="0" distL="114300" distR="114300" simplePos="0" relativeHeight="251658240" behindDoc="1" locked="0" layoutInCell="1" allowOverlap="1">
          <wp:simplePos x="0" y="0"/>
          <wp:positionH relativeFrom="column">
            <wp:posOffset>3381375</wp:posOffset>
          </wp:positionH>
          <wp:positionV relativeFrom="paragraph">
            <wp:posOffset>112395</wp:posOffset>
          </wp:positionV>
          <wp:extent cx="2320290" cy="91503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I.png"/>
                  <pic:cNvPicPr/>
                </pic:nvPicPr>
                <pic:blipFill>
                  <a:blip r:embed="rId1">
                    <a:extLst>
                      <a:ext uri="{28A0092B-C50C-407E-A947-70E740481C1C}">
                        <a14:useLocalDpi xmlns:a14="http://schemas.microsoft.com/office/drawing/2010/main" val="0"/>
                      </a:ext>
                    </a:extLst>
                  </a:blip>
                  <a:stretch>
                    <a:fillRect/>
                  </a:stretch>
                </pic:blipFill>
                <pic:spPr>
                  <a:xfrm>
                    <a:off x="0" y="0"/>
                    <a:ext cx="2320290" cy="915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6775"/>
    <w:multiLevelType w:val="hybridMultilevel"/>
    <w:tmpl w:val="4FCE02F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EF"/>
    <w:rsid w:val="00151696"/>
    <w:rsid w:val="00297950"/>
    <w:rsid w:val="002E677B"/>
    <w:rsid w:val="002F71E5"/>
    <w:rsid w:val="00337508"/>
    <w:rsid w:val="004B4FEF"/>
    <w:rsid w:val="004E0226"/>
    <w:rsid w:val="004F5ED9"/>
    <w:rsid w:val="005F7B4C"/>
    <w:rsid w:val="00723BC8"/>
    <w:rsid w:val="007F074C"/>
    <w:rsid w:val="00831ED7"/>
    <w:rsid w:val="00882D06"/>
    <w:rsid w:val="008A2054"/>
    <w:rsid w:val="00CB6116"/>
    <w:rsid w:val="00FB69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0B199"/>
  <w15:chartTrackingRefBased/>
  <w15:docId w15:val="{BE229C48-FD02-4FFC-A175-4F2E30A1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77B"/>
    <w:pPr>
      <w:spacing w:after="0" w:line="240" w:lineRule="auto"/>
    </w:pPr>
    <w:rPr>
      <w:rFonts w:asciiTheme="majorBidi" w:hAnsiTheme="majorBidi"/>
      <w:sz w:val="24"/>
    </w:rPr>
  </w:style>
  <w:style w:type="character" w:styleId="Hyperlink">
    <w:name w:val="Hyperlink"/>
    <w:basedOn w:val="DefaultParagraphFont"/>
    <w:uiPriority w:val="99"/>
    <w:semiHidden/>
    <w:unhideWhenUsed/>
    <w:rsid w:val="004B4FEF"/>
    <w:rPr>
      <w:color w:val="0000FF"/>
      <w:u w:val="single"/>
    </w:rPr>
  </w:style>
  <w:style w:type="paragraph" w:customStyle="1" w:styleId="Default">
    <w:name w:val="Default"/>
    <w:rsid w:val="004B4F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2D06"/>
    <w:pPr>
      <w:ind w:left="720"/>
      <w:contextualSpacing/>
    </w:pPr>
  </w:style>
  <w:style w:type="paragraph" w:styleId="Header">
    <w:name w:val="header"/>
    <w:basedOn w:val="Normal"/>
    <w:link w:val="HeaderChar"/>
    <w:uiPriority w:val="99"/>
    <w:unhideWhenUsed/>
    <w:rsid w:val="008A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54"/>
  </w:style>
  <w:style w:type="paragraph" w:styleId="Footer">
    <w:name w:val="footer"/>
    <w:basedOn w:val="Normal"/>
    <w:link w:val="FooterChar"/>
    <w:uiPriority w:val="99"/>
    <w:unhideWhenUsed/>
    <w:rsid w:val="008A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54"/>
  </w:style>
  <w:style w:type="paragraph" w:styleId="HTMLPreformatted">
    <w:name w:val="HTML Preformatted"/>
    <w:basedOn w:val="Normal"/>
    <w:link w:val="HTMLPreformattedChar"/>
    <w:uiPriority w:val="99"/>
    <w:unhideWhenUsed/>
    <w:rsid w:val="008A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A2054"/>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BEC2-C5E9-4A75-989B-7A149B28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Flies</dc:creator>
  <cp:keywords/>
  <dc:description/>
  <cp:lastModifiedBy>Emily Flies</cp:lastModifiedBy>
  <cp:revision>2</cp:revision>
  <dcterms:created xsi:type="dcterms:W3CDTF">2019-04-15T06:09:00Z</dcterms:created>
  <dcterms:modified xsi:type="dcterms:W3CDTF">2019-04-15T06:09:00Z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00e3592d-739a-3cf5-bb59-8eac1a6b05f0</vt:lpwstr>
  </property>
  <property fmtid="{D5CDD505-2E9C-101B-9397-08002B2CF9AE}" pid="4" name="Mendeley Citation Style_1">
    <vt:lpwstr>http://www.zotero.org/styles/frontiers-in-ecology-and-the-environment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http://www.zotero.org/styles/environment-international</vt:lpwstr>
  </property>
  <property fmtid="{D5CDD505-2E9C-101B-9397-08002B2CF9AE}" pid="12" name="Mendeley Recent Style Name 3_1">
    <vt:lpwstr>Environment International</vt:lpwstr>
  </property>
  <property fmtid="{D5CDD505-2E9C-101B-9397-08002B2CF9AE}" pid="13" name="Mendeley Recent Style Id 4_1">
    <vt:lpwstr>http://www.zotero.org/styles/frontiers-in-ecology-and-the-environment</vt:lpwstr>
  </property>
  <property fmtid="{D5CDD505-2E9C-101B-9397-08002B2CF9AE}" pid="14" name="Mendeley Recent Style Name 4_1">
    <vt:lpwstr>Frontiers in Ecology and the Environment</vt:lpwstr>
  </property>
  <property fmtid="{D5CDD505-2E9C-101B-9397-08002B2CF9AE}" pid="15" name="Mendeley Recent Style Id 5_1">
    <vt:lpwstr>http://www.zotero.org/styles/plos-biology</vt:lpwstr>
  </property>
  <property fmtid="{D5CDD505-2E9C-101B-9397-08002B2CF9AE}" pid="16" name="Mendeley Recent Style Name 5_1">
    <vt:lpwstr>PLOS Biology</vt:lpwstr>
  </property>
  <property fmtid="{D5CDD505-2E9C-101B-9397-08002B2CF9AE}" pid="17" name="Mendeley Recent Style Id 6_1">
    <vt:lpwstr>http://www.zotero.org/styles/science</vt:lpwstr>
  </property>
  <property fmtid="{D5CDD505-2E9C-101B-9397-08002B2CF9AE}" pid="18" name="Mendeley Recent Style Name 6_1">
    <vt:lpwstr>Science</vt:lpwstr>
  </property>
  <property fmtid="{D5CDD505-2E9C-101B-9397-08002B2CF9AE}" pid="19" name="Mendeley Recent Style Id 7_1">
    <vt:lpwstr>http://www.zotero.org/styles/science-without-titles</vt:lpwstr>
  </property>
  <property fmtid="{D5CDD505-2E9C-101B-9397-08002B2CF9AE}" pid="20" name="Mendeley Recent Style Name 7_1">
    <vt:lpwstr>Science (without titles)</vt:lpwstr>
  </property>
  <property fmtid="{D5CDD505-2E9C-101B-9397-08002B2CF9AE}" pid="21" name="Mendeley Recent Style Id 8_1">
    <vt:lpwstr>https://csl.mendeley.com/styles/477803161/GrantShort</vt:lpwstr>
  </property>
  <property fmtid="{D5CDD505-2E9C-101B-9397-08002B2CF9AE}" pid="22" name="Mendeley Recent Style Name 8_1">
    <vt:lpwstr>Science - Emily Flies, MS, PhD</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