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4AE59F5C" w:rsidR="00236608" w:rsidRPr="002A695C" w:rsidRDefault="002A695C" w:rsidP="009251C2">
            <w:pPr>
              <w:rPr>
                <w:rFonts w:eastAsiaTheme="minorEastAsia"/>
                <w:lang w:eastAsia="ja-JP"/>
              </w:rPr>
            </w:pPr>
            <w:r>
              <w:rPr>
                <w:rFonts w:eastAsiaTheme="minorEastAsia"/>
                <w:lang w:eastAsia="ja-JP"/>
              </w:rPr>
              <w:t>Zhou</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2415C76E" w:rsidR="00236608" w:rsidRPr="002A695C" w:rsidRDefault="002A695C" w:rsidP="009251C2">
            <w:pPr>
              <w:rPr>
                <w:rFonts w:eastAsiaTheme="minorEastAsia"/>
                <w:lang w:eastAsia="ja-JP"/>
              </w:rPr>
            </w:pPr>
            <w:r>
              <w:rPr>
                <w:rFonts w:eastAsiaTheme="minorEastAsia" w:hint="eastAsia"/>
                <w:lang w:eastAsia="ja-JP"/>
              </w:rPr>
              <w:t>Xin</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31AEE64E" w:rsidR="00236608" w:rsidRPr="002A695C" w:rsidRDefault="002A695C" w:rsidP="009251C2">
            <w:pPr>
              <w:rPr>
                <w:rFonts w:eastAsiaTheme="minorEastAsia"/>
                <w:lang w:eastAsia="ja-JP"/>
              </w:rPr>
            </w:pPr>
            <w:r>
              <w:rPr>
                <w:rFonts w:eastAsiaTheme="minorEastAsia" w:hint="eastAsia"/>
                <w:lang w:eastAsia="ja-JP"/>
              </w:rPr>
              <w:t>Institute for Global Environmental Strategies (IGES</w:t>
            </w:r>
            <w:r>
              <w:rPr>
                <w:rFonts w:eastAsiaTheme="minorEastAsia"/>
                <w:lang w:eastAsia="ja-JP"/>
              </w:rPr>
              <w:t>)</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6CA601E2" w:rsidR="00236608" w:rsidRPr="000C0B6C" w:rsidRDefault="0069468A" w:rsidP="009251C2">
            <w:r w:rsidRPr="0069468A">
              <w:t>2108-11, Kamiyamaguchi, Hayama, Kanagawa, 240-0115, Japan</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05252C89" w:rsidR="00236608" w:rsidRPr="000C0B6C" w:rsidRDefault="0069468A" w:rsidP="009251C2">
            <w:r>
              <w:rPr>
                <w:rFonts w:hint="eastAsia"/>
              </w:rPr>
              <w:t>Hayama</w:t>
            </w:r>
            <w:r w:rsidR="00FF006A">
              <w:t xml:space="preserve">, </w:t>
            </w:r>
            <w:r w:rsidR="00FF006A" w:rsidRPr="0069468A">
              <w:t>Kanagawa</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558AB320" w:rsidR="00236608" w:rsidRPr="000C0B6C" w:rsidRDefault="0069468A" w:rsidP="009251C2">
            <w:r>
              <w:rPr>
                <w:rFonts w:hint="eastAsia"/>
              </w:rPr>
              <w:t>Japan</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10B5E4EF" w:rsidR="00236608" w:rsidRPr="000C0B6C" w:rsidRDefault="00BF11B4" w:rsidP="009251C2">
            <w:hyperlink r:id="rId8" w:history="1">
              <w:r w:rsidRPr="00C41C66">
                <w:rPr>
                  <w:rStyle w:val="Hyperlink"/>
                </w:rPr>
                <w:t>zhou@iges.or.jp</w:t>
              </w:r>
            </w:hyperlink>
            <w:r>
              <w:t xml:space="preserve"> </w:t>
            </w:r>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F2CD79B" w14:textId="77777777" w:rsidTr="009251C2">
        <w:trPr>
          <w:trHeight w:val="233"/>
        </w:trPr>
        <w:tc>
          <w:tcPr>
            <w:tcW w:w="818" w:type="dxa"/>
          </w:tcPr>
          <w:p w14:paraId="0C67F728" w14:textId="4D131BB7" w:rsidR="00236608" w:rsidRPr="000C0B6C" w:rsidRDefault="00B956D9" w:rsidP="009251C2">
            <w:r>
              <w:rPr>
                <w:sz w:val="22"/>
                <w:szCs w:val="22"/>
              </w:rPr>
              <w:t>2</w:t>
            </w:r>
          </w:p>
        </w:tc>
        <w:tc>
          <w:tcPr>
            <w:tcW w:w="1231" w:type="dxa"/>
          </w:tcPr>
          <w:p w14:paraId="0B8173C1" w14:textId="5210C45E" w:rsidR="00236608" w:rsidRPr="000C0B6C" w:rsidRDefault="00B956D9" w:rsidP="009251C2">
            <w:r>
              <w:rPr>
                <w:sz w:val="22"/>
                <w:szCs w:val="22"/>
              </w:rPr>
              <w:t>Goal A related SDGs</w:t>
            </w:r>
            <w:r w:rsidR="0047514D">
              <w:rPr>
                <w:sz w:val="22"/>
                <w:szCs w:val="22"/>
              </w:rPr>
              <w:t xml:space="preserve"> (column 2)</w:t>
            </w:r>
          </w:p>
        </w:tc>
        <w:tc>
          <w:tcPr>
            <w:tcW w:w="8139" w:type="dxa"/>
            <w:gridSpan w:val="2"/>
          </w:tcPr>
          <w:p w14:paraId="00426BC3" w14:textId="0F308C5E" w:rsidR="00236608" w:rsidRPr="000C0B6C" w:rsidRDefault="00B956D9" w:rsidP="009251C2">
            <w:r>
              <w:rPr>
                <w:sz w:val="22"/>
                <w:szCs w:val="22"/>
              </w:rPr>
              <w:t>Goal 2 is also very relevant in terms of maintaining and sustainable use of agro-ecosystems through sustainable agricultural practices</w:t>
            </w:r>
            <w:r w:rsidR="0047514D">
              <w:rPr>
                <w:sz w:val="22"/>
                <w:szCs w:val="22"/>
              </w:rPr>
              <w:t xml:space="preserve"> (related to Targets 2.3, 2.4 and 2.5)</w:t>
            </w:r>
            <w:r>
              <w:rPr>
                <w:sz w:val="22"/>
                <w:szCs w:val="22"/>
              </w:rPr>
              <w:t>.</w:t>
            </w:r>
          </w:p>
        </w:tc>
      </w:tr>
      <w:tr w:rsidR="00236608" w:rsidRPr="000C0B6C" w14:paraId="0C9C63D9" w14:textId="77777777" w:rsidTr="009251C2">
        <w:trPr>
          <w:trHeight w:val="224"/>
        </w:trPr>
        <w:tc>
          <w:tcPr>
            <w:tcW w:w="818" w:type="dxa"/>
          </w:tcPr>
          <w:p w14:paraId="46581EE4" w14:textId="67F8815D" w:rsidR="00236608" w:rsidRPr="000C0B6C" w:rsidRDefault="00B956D9" w:rsidP="009251C2">
            <w:r>
              <w:rPr>
                <w:sz w:val="22"/>
                <w:szCs w:val="22"/>
              </w:rPr>
              <w:t>2</w:t>
            </w:r>
          </w:p>
        </w:tc>
        <w:tc>
          <w:tcPr>
            <w:tcW w:w="1231" w:type="dxa"/>
          </w:tcPr>
          <w:p w14:paraId="3DA5E0E9" w14:textId="232AA43D" w:rsidR="00236608" w:rsidRPr="000C0B6C" w:rsidRDefault="00B956D9" w:rsidP="009251C2">
            <w:r>
              <w:rPr>
                <w:rFonts w:hint="eastAsia"/>
              </w:rPr>
              <w:t>G</w:t>
            </w:r>
            <w:r>
              <w:t>oal B related SDGs</w:t>
            </w:r>
            <w:r w:rsidR="0047514D">
              <w:t xml:space="preserve"> </w:t>
            </w:r>
            <w:r w:rsidR="0047514D">
              <w:rPr>
                <w:sz w:val="22"/>
                <w:szCs w:val="22"/>
              </w:rPr>
              <w:t>(column 2)</w:t>
            </w:r>
          </w:p>
        </w:tc>
        <w:tc>
          <w:tcPr>
            <w:tcW w:w="8139" w:type="dxa"/>
            <w:gridSpan w:val="2"/>
          </w:tcPr>
          <w:p w14:paraId="1FB20CA9" w14:textId="3848CF31" w:rsidR="00236608" w:rsidRPr="000C0B6C" w:rsidRDefault="0047514D" w:rsidP="001F315B">
            <w:r>
              <w:rPr>
                <w:rFonts w:hint="eastAsia"/>
              </w:rPr>
              <w:t xml:space="preserve">Goal 11 </w:t>
            </w:r>
            <w:r>
              <w:t>through Target 11.6 is</w:t>
            </w:r>
            <w:r>
              <w:rPr>
                <w:rFonts w:hint="eastAsia"/>
              </w:rPr>
              <w:t xml:space="preserve"> also relevant related to </w:t>
            </w:r>
            <w:r>
              <w:t>air quality and sound municipal solid waste management. The atmospheric environment provides the service of air pollution purification which contributes to protect human’s health.</w:t>
            </w:r>
            <w:r w:rsidR="001F315B">
              <w:t xml:space="preserve"> In addition, nature-based solutions for building the resilience to natural disasters are relevant to Goals 1 (Target 11.5), Goal 11 (Target 11.5) and Goal 13 (Target 13.1). Particularly Goal 11 should be added to the list.</w:t>
            </w:r>
          </w:p>
        </w:tc>
      </w:tr>
      <w:tr w:rsidR="00236608" w:rsidRPr="000C0B6C" w14:paraId="6153AF8D" w14:textId="77777777" w:rsidTr="009251C2">
        <w:trPr>
          <w:trHeight w:val="233"/>
        </w:trPr>
        <w:tc>
          <w:tcPr>
            <w:tcW w:w="818" w:type="dxa"/>
          </w:tcPr>
          <w:p w14:paraId="66AF3500" w14:textId="1A549A3E" w:rsidR="00236608" w:rsidRPr="000C0B6C" w:rsidRDefault="0047514D" w:rsidP="009251C2">
            <w:r>
              <w:rPr>
                <w:rFonts w:hint="eastAsia"/>
              </w:rPr>
              <w:t>3</w:t>
            </w:r>
          </w:p>
        </w:tc>
        <w:tc>
          <w:tcPr>
            <w:tcW w:w="1231" w:type="dxa"/>
          </w:tcPr>
          <w:p w14:paraId="6A91318A" w14:textId="23B57315" w:rsidR="00236608" w:rsidRPr="000C0B6C" w:rsidRDefault="0047514D" w:rsidP="009251C2">
            <w:r>
              <w:rPr>
                <w:rFonts w:hint="eastAsia"/>
              </w:rPr>
              <w:t>Goal C</w:t>
            </w:r>
            <w:r>
              <w:t xml:space="preserve"> related SDGs </w:t>
            </w:r>
            <w:r>
              <w:rPr>
                <w:sz w:val="22"/>
                <w:szCs w:val="22"/>
              </w:rPr>
              <w:t>(column 2)</w:t>
            </w:r>
          </w:p>
        </w:tc>
        <w:tc>
          <w:tcPr>
            <w:tcW w:w="8139" w:type="dxa"/>
            <w:gridSpan w:val="2"/>
          </w:tcPr>
          <w:p w14:paraId="0CA75028" w14:textId="77777777" w:rsidR="00236608" w:rsidRDefault="0047514D" w:rsidP="009251C2">
            <w:r>
              <w:rPr>
                <w:rFonts w:hint="eastAsia"/>
              </w:rPr>
              <w:t>Goal 15, through Target 15.6 on the fair and equitable sharing of the benefits arising from the utilization of genetic resources is very relevant.</w:t>
            </w:r>
          </w:p>
          <w:p w14:paraId="5F267497" w14:textId="6EEB7285" w:rsidR="0047514D" w:rsidRPr="000C0B6C" w:rsidRDefault="0047514D" w:rsidP="009251C2">
            <w:r>
              <w:t xml:space="preserve">Also, Goal 14, through Targets 14.7 on increasing the economic benefits to small island developing States and LDCs from the sustainable use of marine resources, as well as Target </w:t>
            </w:r>
            <w:r w:rsidR="001F315B">
              <w:t>14.b on providing access for small-scale artisanal fishers to marine resources and markets, is quite relevant.</w:t>
            </w:r>
          </w:p>
        </w:tc>
      </w:tr>
      <w:tr w:rsidR="00236608" w:rsidRPr="000C0B6C" w14:paraId="6D0FC60A" w14:textId="77777777" w:rsidTr="009251C2">
        <w:trPr>
          <w:trHeight w:val="224"/>
        </w:trPr>
        <w:tc>
          <w:tcPr>
            <w:tcW w:w="818" w:type="dxa"/>
          </w:tcPr>
          <w:p w14:paraId="6282A73C" w14:textId="599552BF" w:rsidR="00236608" w:rsidRPr="000C0B6C" w:rsidRDefault="001F315B" w:rsidP="009251C2">
            <w:r>
              <w:rPr>
                <w:rFonts w:hint="eastAsia"/>
              </w:rPr>
              <w:t>3</w:t>
            </w:r>
          </w:p>
        </w:tc>
        <w:tc>
          <w:tcPr>
            <w:tcW w:w="1231" w:type="dxa"/>
          </w:tcPr>
          <w:p w14:paraId="4956A208" w14:textId="39FEAC54" w:rsidR="00236608" w:rsidRPr="000C0B6C" w:rsidRDefault="001F315B" w:rsidP="009251C2">
            <w:r>
              <w:rPr>
                <w:rFonts w:hint="eastAsia"/>
              </w:rPr>
              <w:t xml:space="preserve">Goal D related SDGs </w:t>
            </w:r>
            <w:r>
              <w:rPr>
                <w:sz w:val="22"/>
                <w:szCs w:val="22"/>
              </w:rPr>
              <w:t>(column 2)</w:t>
            </w:r>
          </w:p>
        </w:tc>
        <w:tc>
          <w:tcPr>
            <w:tcW w:w="8139" w:type="dxa"/>
            <w:gridSpan w:val="2"/>
          </w:tcPr>
          <w:p w14:paraId="456C1108" w14:textId="77777777" w:rsidR="00EA1939" w:rsidRDefault="001F315B" w:rsidP="009251C2">
            <w:r>
              <w:rPr>
                <w:rFonts w:hint="eastAsia"/>
              </w:rPr>
              <w:t xml:space="preserve">Many SDG goals and targets provide relevant means of implementation </w:t>
            </w:r>
            <w:r>
              <w:t xml:space="preserve">for the conservation of ecosystems and their services. These include </w:t>
            </w:r>
          </w:p>
          <w:p w14:paraId="0B346F5D" w14:textId="77777777" w:rsidR="00EA1939" w:rsidRDefault="001F315B" w:rsidP="00EA1939">
            <w:pPr>
              <w:pStyle w:val="ListParagraph"/>
              <w:numPr>
                <w:ilvl w:val="0"/>
                <w:numId w:val="1"/>
              </w:numPr>
              <w:ind w:leftChars="0"/>
            </w:pPr>
            <w:r>
              <w:t xml:space="preserve">Goal </w:t>
            </w:r>
            <w:r w:rsidR="00967D53">
              <w:t>2 (Target 2.</w:t>
            </w:r>
            <w:proofErr w:type="spellStart"/>
            <w:r w:rsidR="00967D53">
              <w:t>a</w:t>
            </w:r>
            <w:proofErr w:type="spellEnd"/>
            <w:r w:rsidR="00967D53">
              <w:t xml:space="preserve"> on increasing investment and enhancing international cooperation in p</w:t>
            </w:r>
            <w:r w:rsidR="00EA1939">
              <w:t xml:space="preserve">lant and livestock gene banks); </w:t>
            </w:r>
          </w:p>
          <w:p w14:paraId="0D84935D" w14:textId="77777777" w:rsidR="00EA1939" w:rsidRDefault="00967D53" w:rsidP="00EA1939">
            <w:pPr>
              <w:pStyle w:val="ListParagraph"/>
              <w:numPr>
                <w:ilvl w:val="0"/>
                <w:numId w:val="1"/>
              </w:numPr>
              <w:ind w:leftChars="0"/>
            </w:pPr>
            <w:r>
              <w:t xml:space="preserve">Goal </w:t>
            </w:r>
            <w:r w:rsidR="00EA1939">
              <w:t>6 (Target 6.5 on implementing integrated water resources management at all levels, Target 6.b on the participation of local communities in improving water and sanitation management);</w:t>
            </w:r>
          </w:p>
          <w:p w14:paraId="57B0ED27" w14:textId="77777777" w:rsidR="00236608" w:rsidRDefault="00EA1939" w:rsidP="00EA1939">
            <w:pPr>
              <w:pStyle w:val="ListParagraph"/>
              <w:numPr>
                <w:ilvl w:val="0"/>
                <w:numId w:val="1"/>
              </w:numPr>
              <w:ind w:leftChars="0"/>
            </w:pPr>
            <w:r>
              <w:t>Goal 11 (Target 11.b for cities implementing integrated policies and planning towards resource efficiency and resilience to disasters in line with the Send</w:t>
            </w:r>
            <w:r w:rsidR="001A5E76">
              <w:t>ai Framework for DRR 2015-2030);</w:t>
            </w:r>
          </w:p>
          <w:p w14:paraId="6E6A1554" w14:textId="77777777" w:rsidR="001A5E76" w:rsidRDefault="001A5E76" w:rsidP="00EA1939">
            <w:pPr>
              <w:pStyle w:val="ListParagraph"/>
              <w:numPr>
                <w:ilvl w:val="0"/>
                <w:numId w:val="1"/>
              </w:numPr>
              <w:ind w:leftChars="0"/>
            </w:pPr>
            <w:r>
              <w:t xml:space="preserve">Goal 13 (Target 13.3 on improving education and institutional capacity on climate change mitigation, adaptation, impact reduction and early warning, </w:t>
            </w:r>
            <w:r>
              <w:lastRenderedPageBreak/>
              <w:t>Target 13.</w:t>
            </w:r>
            <w:proofErr w:type="spellStart"/>
            <w:r>
              <w:t>a</w:t>
            </w:r>
            <w:proofErr w:type="spellEnd"/>
            <w:r>
              <w:t xml:space="preserve"> on mobilizing fund and the operationalization of the Green Climate Fund for climate mitigation and adaptation);</w:t>
            </w:r>
          </w:p>
          <w:p w14:paraId="53720E63" w14:textId="4948F168" w:rsidR="001A5E76" w:rsidRDefault="001A5E76" w:rsidP="00EA1939">
            <w:pPr>
              <w:pStyle w:val="ListParagraph"/>
              <w:numPr>
                <w:ilvl w:val="0"/>
                <w:numId w:val="1"/>
              </w:numPr>
              <w:ind w:leftChars="0"/>
            </w:pPr>
            <w:r>
              <w:t>Goal 14 (Target 14.5 on designating coastal and marine protection areas, Target 14.6 on the removal of bad fisheries subsidies, and 14.</w:t>
            </w:r>
            <w:proofErr w:type="spellStart"/>
            <w:r>
              <w:t>a</w:t>
            </w:r>
            <w:proofErr w:type="spellEnd"/>
            <w:r>
              <w:t xml:space="preserve"> on the promotion of research and technology for improving ocean health and protecting marine biodiversity);</w:t>
            </w:r>
          </w:p>
          <w:p w14:paraId="11EB49C7" w14:textId="77777777" w:rsidR="001A5E76" w:rsidRDefault="001A5E76" w:rsidP="00EA1939">
            <w:pPr>
              <w:pStyle w:val="ListParagraph"/>
              <w:numPr>
                <w:ilvl w:val="0"/>
                <w:numId w:val="1"/>
              </w:numPr>
              <w:ind w:leftChars="0"/>
            </w:pPr>
            <w:r>
              <w:rPr>
                <w:rFonts w:hint="eastAsia"/>
              </w:rPr>
              <w:t>Goal 15 (Target 15.9 on the integration of ecosystem and biodiversity values into national and local planning an</w:t>
            </w:r>
            <w:r w:rsidR="00455C27">
              <w:rPr>
                <w:rFonts w:hint="eastAsia"/>
              </w:rPr>
              <w:t>d poverty reduction strategies, Target 15.</w:t>
            </w:r>
            <w:proofErr w:type="spellStart"/>
            <w:r w:rsidR="00455C27">
              <w:rPr>
                <w:rFonts w:hint="eastAsia"/>
              </w:rPr>
              <w:t>a</w:t>
            </w:r>
            <w:proofErr w:type="spellEnd"/>
            <w:r w:rsidR="00455C27">
              <w:rPr>
                <w:rFonts w:hint="eastAsia"/>
              </w:rPr>
              <w:t xml:space="preserve"> on the </w:t>
            </w:r>
            <w:r w:rsidR="00455C27">
              <w:t>mobilization</w:t>
            </w:r>
            <w:r w:rsidR="00455C27">
              <w:rPr>
                <w:rFonts w:hint="eastAsia"/>
              </w:rPr>
              <w:t xml:space="preserve"> </w:t>
            </w:r>
            <w:r w:rsidR="00455C27">
              <w:t>and increase financial resources to conserve and sustainable use of biodiversity and ecosystems and Target 15.b on the mobilization resources to finance sustainable forest management and provide adequate incentives to developing countries to this end)</w:t>
            </w:r>
            <w:r w:rsidR="00331E62">
              <w:t>;</w:t>
            </w:r>
          </w:p>
          <w:p w14:paraId="1B92E2B4" w14:textId="33F8DD1F" w:rsidR="00331E62" w:rsidRPr="000C0B6C" w:rsidRDefault="00331E62" w:rsidP="00331E62">
            <w:pPr>
              <w:pStyle w:val="ListParagraph"/>
              <w:numPr>
                <w:ilvl w:val="0"/>
                <w:numId w:val="1"/>
              </w:numPr>
              <w:ind w:leftChars="0"/>
            </w:pPr>
            <w:r>
              <w:t>Goal 16 (Target 16.6 on accountable and transparent institutions and Target 16.7 on inclusive and participatory decision-making at all levels)</w:t>
            </w:r>
          </w:p>
        </w:tc>
      </w:tr>
      <w:tr w:rsidR="00236608" w:rsidRPr="000C0B6C" w14:paraId="30930566" w14:textId="77777777" w:rsidTr="009251C2">
        <w:trPr>
          <w:trHeight w:val="224"/>
        </w:trPr>
        <w:tc>
          <w:tcPr>
            <w:tcW w:w="818" w:type="dxa"/>
          </w:tcPr>
          <w:p w14:paraId="7E88CD75" w14:textId="17A8C5B6" w:rsidR="00236608" w:rsidRPr="000C0B6C" w:rsidRDefault="00331E62" w:rsidP="009251C2">
            <w:r>
              <w:rPr>
                <w:rFonts w:hint="eastAsia"/>
              </w:rPr>
              <w:lastRenderedPageBreak/>
              <w:t>4</w:t>
            </w:r>
          </w:p>
        </w:tc>
        <w:tc>
          <w:tcPr>
            <w:tcW w:w="1231" w:type="dxa"/>
          </w:tcPr>
          <w:p w14:paraId="613F0F0B" w14:textId="44CECF76" w:rsidR="00236608" w:rsidRPr="000C0B6C" w:rsidRDefault="00331E62" w:rsidP="009251C2">
            <w:r>
              <w:rPr>
                <w:rFonts w:hint="eastAsia"/>
              </w:rPr>
              <w:t>GBF Target 1</w:t>
            </w:r>
          </w:p>
        </w:tc>
        <w:tc>
          <w:tcPr>
            <w:tcW w:w="8139" w:type="dxa"/>
            <w:gridSpan w:val="2"/>
          </w:tcPr>
          <w:p w14:paraId="4B30F77B" w14:textId="04B6E6BE" w:rsidR="00236608" w:rsidRPr="000C0B6C" w:rsidRDefault="00331E62" w:rsidP="009251C2">
            <w:r>
              <w:rPr>
                <w:rFonts w:hint="eastAsia"/>
              </w:rPr>
              <w:t xml:space="preserve">Target </w:t>
            </w:r>
            <w:r>
              <w:t>11.3</w:t>
            </w:r>
            <w:r w:rsidR="00A2620F">
              <w:t xml:space="preserve"> (Indicator 11.3.1) and Target 11.a (Indicator 11.a.1) are also related to the spatial planning, particularly on urban and human settlement planning and building sound urban-rural linkages.</w:t>
            </w:r>
          </w:p>
        </w:tc>
      </w:tr>
      <w:tr w:rsidR="00236608" w:rsidRPr="000C0B6C" w14:paraId="419DB47A" w14:textId="77777777" w:rsidTr="009251C2">
        <w:trPr>
          <w:trHeight w:val="224"/>
        </w:trPr>
        <w:tc>
          <w:tcPr>
            <w:tcW w:w="818" w:type="dxa"/>
          </w:tcPr>
          <w:p w14:paraId="583A2152" w14:textId="77BEAD02" w:rsidR="00236608" w:rsidRPr="000C0B6C" w:rsidRDefault="00A2620F" w:rsidP="009251C2">
            <w:r>
              <w:rPr>
                <w:rFonts w:hint="eastAsia"/>
              </w:rPr>
              <w:t>4</w:t>
            </w:r>
          </w:p>
        </w:tc>
        <w:tc>
          <w:tcPr>
            <w:tcW w:w="1231" w:type="dxa"/>
          </w:tcPr>
          <w:p w14:paraId="491D28B8" w14:textId="3C25D1AF" w:rsidR="00236608" w:rsidRPr="000C0B6C" w:rsidRDefault="00A2620F" w:rsidP="009251C2">
            <w:r>
              <w:rPr>
                <w:rFonts w:hint="eastAsia"/>
              </w:rPr>
              <w:t>GBF Target 2</w:t>
            </w:r>
          </w:p>
        </w:tc>
        <w:tc>
          <w:tcPr>
            <w:tcW w:w="8139" w:type="dxa"/>
            <w:gridSpan w:val="2"/>
          </w:tcPr>
          <w:p w14:paraId="7EB00430" w14:textId="4F6C9A96" w:rsidR="00236608" w:rsidRPr="000C0B6C" w:rsidRDefault="00A2620F" w:rsidP="00A2620F">
            <w:r>
              <w:rPr>
                <w:rFonts w:hint="eastAsia"/>
              </w:rPr>
              <w:t>Target 6.6 (Indicator 6.6.1) on the protection and restore water-related ecosystems, including mountains, forests, wetlands, rivers, aquifers and lakes</w:t>
            </w:r>
            <w:r>
              <w:t xml:space="preserve"> and their interactions</w:t>
            </w:r>
            <w:r>
              <w:rPr>
                <w:rFonts w:hint="eastAsia"/>
              </w:rPr>
              <w:t xml:space="preserve"> </w:t>
            </w:r>
            <w:r>
              <w:t>are</w:t>
            </w:r>
            <w:r>
              <w:rPr>
                <w:rFonts w:hint="eastAsia"/>
              </w:rPr>
              <w:t xml:space="preserve"> very relevant. </w:t>
            </w:r>
          </w:p>
        </w:tc>
      </w:tr>
      <w:tr w:rsidR="00236608" w:rsidRPr="000C0B6C" w14:paraId="5DBDB291" w14:textId="77777777" w:rsidTr="009251C2">
        <w:trPr>
          <w:trHeight w:val="224"/>
        </w:trPr>
        <w:tc>
          <w:tcPr>
            <w:tcW w:w="818" w:type="dxa"/>
          </w:tcPr>
          <w:p w14:paraId="29E068DB" w14:textId="147340B7" w:rsidR="00236608" w:rsidRPr="000C0B6C" w:rsidRDefault="00A2620F" w:rsidP="009251C2">
            <w:r>
              <w:rPr>
                <w:rFonts w:hint="eastAsia"/>
              </w:rPr>
              <w:t>5</w:t>
            </w:r>
          </w:p>
        </w:tc>
        <w:tc>
          <w:tcPr>
            <w:tcW w:w="1231" w:type="dxa"/>
          </w:tcPr>
          <w:p w14:paraId="212354D4" w14:textId="208AE3B7" w:rsidR="00236608" w:rsidRPr="000C0B6C" w:rsidRDefault="00A2620F" w:rsidP="009251C2">
            <w:r>
              <w:rPr>
                <w:rFonts w:hint="eastAsia"/>
              </w:rPr>
              <w:t>GBF Target</w:t>
            </w:r>
            <w:r>
              <w:t xml:space="preserve"> 3</w:t>
            </w:r>
          </w:p>
        </w:tc>
        <w:tc>
          <w:tcPr>
            <w:tcW w:w="8139" w:type="dxa"/>
            <w:gridSpan w:val="2"/>
          </w:tcPr>
          <w:p w14:paraId="4A2F4E59" w14:textId="4D6BAC9B" w:rsidR="000865DD" w:rsidRDefault="000865DD" w:rsidP="00262913">
            <w:r>
              <w:rPr>
                <w:rFonts w:hint="eastAsia"/>
              </w:rPr>
              <w:t>Target 2.5 (Indicator 2.5.1) on maintaining genetic diversity and their related wild species is relevant.</w:t>
            </w:r>
          </w:p>
          <w:p w14:paraId="637A167D" w14:textId="13EB6FDE" w:rsidR="000865DD" w:rsidRPr="000C0B6C" w:rsidRDefault="00262913" w:rsidP="00262913">
            <w:r>
              <w:rPr>
                <w:rFonts w:hint="eastAsia"/>
              </w:rPr>
              <w:t>Target 14.4 (Indicator 14.4.1) on effectively ending overfishing is relevant to restore fish stocks</w:t>
            </w:r>
            <w:r>
              <w:t xml:space="preserve"> and protect marine species.</w:t>
            </w:r>
          </w:p>
        </w:tc>
      </w:tr>
      <w:tr w:rsidR="00236608" w:rsidRPr="000C0B6C" w14:paraId="7A865B83" w14:textId="77777777" w:rsidTr="009251C2">
        <w:trPr>
          <w:trHeight w:val="224"/>
        </w:trPr>
        <w:tc>
          <w:tcPr>
            <w:tcW w:w="818" w:type="dxa"/>
          </w:tcPr>
          <w:p w14:paraId="48F7EE30" w14:textId="6CB7C97B" w:rsidR="00236608" w:rsidRPr="000C0B6C" w:rsidRDefault="002E2BBF" w:rsidP="009251C2">
            <w:r>
              <w:rPr>
                <w:rFonts w:hint="eastAsia"/>
              </w:rPr>
              <w:t>6</w:t>
            </w:r>
          </w:p>
        </w:tc>
        <w:tc>
          <w:tcPr>
            <w:tcW w:w="1231" w:type="dxa"/>
          </w:tcPr>
          <w:p w14:paraId="6A798625" w14:textId="1E66CDD7" w:rsidR="00236608" w:rsidRPr="000C0B6C" w:rsidRDefault="00A2620F" w:rsidP="009251C2">
            <w:r>
              <w:rPr>
                <w:rFonts w:hint="eastAsia"/>
              </w:rPr>
              <w:t>GBF Target</w:t>
            </w:r>
            <w:r w:rsidR="002E2BBF">
              <w:t xml:space="preserve"> 6</w:t>
            </w:r>
          </w:p>
        </w:tc>
        <w:tc>
          <w:tcPr>
            <w:tcW w:w="8139" w:type="dxa"/>
            <w:gridSpan w:val="2"/>
          </w:tcPr>
          <w:p w14:paraId="019FD164" w14:textId="1306DD38" w:rsidR="00236608" w:rsidRDefault="002E2BBF" w:rsidP="009251C2">
            <w:r>
              <w:rPr>
                <w:rFonts w:hint="eastAsia"/>
              </w:rPr>
              <w:t xml:space="preserve">Target 2.4 (indicator on nitrogen nutrient release from the UNSD global </w:t>
            </w:r>
            <w:r w:rsidR="00E815B7">
              <w:t xml:space="preserve">SDGs </w:t>
            </w:r>
            <w:r>
              <w:rPr>
                <w:rFonts w:hint="eastAsia"/>
              </w:rPr>
              <w:t>indicators database) on sustainable agricultural practices is relevant.</w:t>
            </w:r>
          </w:p>
          <w:p w14:paraId="531C2A0F" w14:textId="309DB50A" w:rsidR="002E2BBF" w:rsidRPr="000C0B6C" w:rsidRDefault="002E2BBF" w:rsidP="001E10EB">
            <w:r>
              <w:t xml:space="preserve">Target 9.4 (Indicator 9.4.1) on industrial CO2 emissions </w:t>
            </w:r>
            <w:r w:rsidR="001E10EB">
              <w:t xml:space="preserve">intensity </w:t>
            </w:r>
            <w:r>
              <w:t>is relevant.</w:t>
            </w:r>
          </w:p>
        </w:tc>
      </w:tr>
      <w:tr w:rsidR="00236608" w:rsidRPr="000C0B6C" w14:paraId="73FD340A" w14:textId="77777777" w:rsidTr="009251C2">
        <w:trPr>
          <w:trHeight w:val="224"/>
        </w:trPr>
        <w:tc>
          <w:tcPr>
            <w:tcW w:w="818" w:type="dxa"/>
          </w:tcPr>
          <w:p w14:paraId="37288C1C" w14:textId="46A98F21" w:rsidR="00236608" w:rsidRPr="000C0B6C" w:rsidRDefault="00E815B7" w:rsidP="009251C2">
            <w:r>
              <w:rPr>
                <w:rFonts w:hint="eastAsia"/>
              </w:rPr>
              <w:t>7</w:t>
            </w:r>
          </w:p>
        </w:tc>
        <w:tc>
          <w:tcPr>
            <w:tcW w:w="1231" w:type="dxa"/>
          </w:tcPr>
          <w:p w14:paraId="2993E983" w14:textId="40E6E157" w:rsidR="00236608" w:rsidRPr="000C0B6C" w:rsidRDefault="00A2620F" w:rsidP="009251C2">
            <w:r>
              <w:rPr>
                <w:rFonts w:hint="eastAsia"/>
              </w:rPr>
              <w:t>GBF Target</w:t>
            </w:r>
            <w:r w:rsidR="00FC34E4">
              <w:t xml:space="preserve"> 7</w:t>
            </w:r>
          </w:p>
        </w:tc>
        <w:tc>
          <w:tcPr>
            <w:tcW w:w="8139" w:type="dxa"/>
            <w:gridSpan w:val="2"/>
          </w:tcPr>
          <w:p w14:paraId="2A720A2D" w14:textId="5229285D" w:rsidR="00236608" w:rsidRPr="000C0B6C" w:rsidRDefault="00E815B7" w:rsidP="009251C2">
            <w:r>
              <w:rPr>
                <w:rFonts w:hint="eastAsia"/>
              </w:rPr>
              <w:t xml:space="preserve">Target 15.2 (Indicator on </w:t>
            </w:r>
            <w:r w:rsidR="003C03C8">
              <w:t xml:space="preserve">the </w:t>
            </w:r>
            <w:r>
              <w:rPr>
                <w:rFonts w:hint="eastAsia"/>
              </w:rPr>
              <w:t>forest area as % of total land area provided in the UNSDG global SDGs indicators database)</w:t>
            </w:r>
            <w:r>
              <w:t xml:space="preserve"> is relevant related to CO2 sequestration by forests.</w:t>
            </w:r>
          </w:p>
        </w:tc>
      </w:tr>
      <w:tr w:rsidR="00236608" w:rsidRPr="000C0B6C" w14:paraId="435624C6" w14:textId="77777777" w:rsidTr="009251C2">
        <w:trPr>
          <w:trHeight w:val="224"/>
        </w:trPr>
        <w:tc>
          <w:tcPr>
            <w:tcW w:w="818" w:type="dxa"/>
          </w:tcPr>
          <w:p w14:paraId="112D65BF" w14:textId="254B2335" w:rsidR="00236608" w:rsidRPr="000C0B6C" w:rsidRDefault="00E815B7" w:rsidP="009251C2">
            <w:r>
              <w:rPr>
                <w:rFonts w:hint="eastAsia"/>
              </w:rPr>
              <w:t>8</w:t>
            </w:r>
          </w:p>
        </w:tc>
        <w:tc>
          <w:tcPr>
            <w:tcW w:w="1231" w:type="dxa"/>
          </w:tcPr>
          <w:p w14:paraId="15A50A76" w14:textId="4675A96E" w:rsidR="00236608" w:rsidRPr="000C0B6C" w:rsidRDefault="00A2620F" w:rsidP="009251C2">
            <w:r>
              <w:rPr>
                <w:rFonts w:hint="eastAsia"/>
              </w:rPr>
              <w:t>GBF Target</w:t>
            </w:r>
            <w:r w:rsidR="00E815B7">
              <w:t xml:space="preserve"> 8</w:t>
            </w:r>
          </w:p>
        </w:tc>
        <w:tc>
          <w:tcPr>
            <w:tcW w:w="8139" w:type="dxa"/>
            <w:gridSpan w:val="2"/>
          </w:tcPr>
          <w:p w14:paraId="778EFB93" w14:textId="6665EB89" w:rsidR="00236608" w:rsidRPr="000C0B6C" w:rsidRDefault="00E815B7" w:rsidP="009251C2">
            <w:r>
              <w:rPr>
                <w:rFonts w:hint="eastAsia"/>
              </w:rPr>
              <w:t xml:space="preserve">Targets 2.1 </w:t>
            </w:r>
            <w:r>
              <w:t xml:space="preserve">(Indicator 2.1.2) </w:t>
            </w:r>
            <w:r>
              <w:rPr>
                <w:rFonts w:hint="eastAsia"/>
              </w:rPr>
              <w:t xml:space="preserve">and </w:t>
            </w:r>
            <w:r>
              <w:t xml:space="preserve">Target </w:t>
            </w:r>
            <w:r>
              <w:rPr>
                <w:rFonts w:hint="eastAsia"/>
              </w:rPr>
              <w:t>2.2</w:t>
            </w:r>
            <w:r>
              <w:t xml:space="preserve"> (Indicator 2.2.2) are relevant to ensuring food security and ending malnutrition through the conservation of ecosystems and biodiversity which provide food provision services to people.</w:t>
            </w:r>
            <w:r>
              <w:rPr>
                <w:rFonts w:hint="eastAsia"/>
              </w:rPr>
              <w:t xml:space="preserve"> </w:t>
            </w:r>
          </w:p>
        </w:tc>
      </w:tr>
      <w:tr w:rsidR="00E815B7" w:rsidRPr="000C0B6C" w14:paraId="1FCC3F88" w14:textId="77777777" w:rsidTr="009251C2">
        <w:trPr>
          <w:trHeight w:val="224"/>
        </w:trPr>
        <w:tc>
          <w:tcPr>
            <w:tcW w:w="818" w:type="dxa"/>
          </w:tcPr>
          <w:p w14:paraId="7F4E8176" w14:textId="3635416E" w:rsidR="00E815B7" w:rsidRPr="000C0B6C" w:rsidRDefault="00E815B7" w:rsidP="00E815B7">
            <w:r>
              <w:rPr>
                <w:rFonts w:hint="eastAsia"/>
              </w:rPr>
              <w:t>10</w:t>
            </w:r>
          </w:p>
        </w:tc>
        <w:tc>
          <w:tcPr>
            <w:tcW w:w="1231" w:type="dxa"/>
          </w:tcPr>
          <w:p w14:paraId="01C993F1" w14:textId="2B25435A" w:rsidR="00E815B7" w:rsidRPr="000C0B6C" w:rsidRDefault="00E815B7" w:rsidP="00E815B7">
            <w:r w:rsidRPr="00D64B63">
              <w:rPr>
                <w:rFonts w:hint="eastAsia"/>
              </w:rPr>
              <w:t>GBF Target</w:t>
            </w:r>
            <w:r>
              <w:t xml:space="preserve"> 9</w:t>
            </w:r>
          </w:p>
        </w:tc>
        <w:tc>
          <w:tcPr>
            <w:tcW w:w="8139" w:type="dxa"/>
            <w:gridSpan w:val="2"/>
          </w:tcPr>
          <w:p w14:paraId="2D3D32A2" w14:textId="21A7886D" w:rsidR="00E815B7" w:rsidRPr="000C0B6C" w:rsidRDefault="00E815B7" w:rsidP="001E10EB">
            <w:r>
              <w:rPr>
                <w:rFonts w:hint="eastAsia"/>
              </w:rPr>
              <w:t xml:space="preserve">Target 6.4 (Indicator </w:t>
            </w:r>
            <w:r>
              <w:t xml:space="preserve">6.4.1), Target 7.3 (Indicator 7.3.1), Target 9.4 (Indicator 9.4.1), </w:t>
            </w:r>
            <w:r w:rsidR="001E10EB">
              <w:t xml:space="preserve">Target 8.4 (Indicator 8.4.1) and Target 12.2 (Indicator 12.2.1) are related to productivity loss or natural resource use efficiency. </w:t>
            </w:r>
          </w:p>
        </w:tc>
      </w:tr>
      <w:tr w:rsidR="00E815B7" w:rsidRPr="000C0B6C" w14:paraId="22A28E2C" w14:textId="77777777" w:rsidTr="009251C2">
        <w:trPr>
          <w:trHeight w:val="224"/>
        </w:trPr>
        <w:tc>
          <w:tcPr>
            <w:tcW w:w="818" w:type="dxa"/>
          </w:tcPr>
          <w:p w14:paraId="27B43458" w14:textId="5842934E" w:rsidR="00E815B7" w:rsidRPr="000C0B6C" w:rsidRDefault="001E10EB" w:rsidP="00E815B7">
            <w:r>
              <w:rPr>
                <w:rFonts w:hint="eastAsia"/>
              </w:rPr>
              <w:t>11</w:t>
            </w:r>
          </w:p>
        </w:tc>
        <w:tc>
          <w:tcPr>
            <w:tcW w:w="1231" w:type="dxa"/>
          </w:tcPr>
          <w:p w14:paraId="4748D5FB" w14:textId="60440762" w:rsidR="00E815B7" w:rsidRPr="000C0B6C" w:rsidRDefault="00E815B7" w:rsidP="00E815B7">
            <w:r w:rsidRPr="00D64B63">
              <w:rPr>
                <w:rFonts w:hint="eastAsia"/>
              </w:rPr>
              <w:t>GBF Target</w:t>
            </w:r>
            <w:r w:rsidR="001E10EB">
              <w:t xml:space="preserve"> 10</w:t>
            </w:r>
          </w:p>
        </w:tc>
        <w:tc>
          <w:tcPr>
            <w:tcW w:w="8139" w:type="dxa"/>
            <w:gridSpan w:val="2"/>
          </w:tcPr>
          <w:p w14:paraId="17E59A09" w14:textId="61205FAC" w:rsidR="003C03C8" w:rsidRDefault="003C03C8" w:rsidP="001E10EB">
            <w:r>
              <w:rPr>
                <w:rFonts w:hint="eastAsia"/>
              </w:rPr>
              <w:t xml:space="preserve">Target 15.2 (Indicator on </w:t>
            </w:r>
            <w:r>
              <w:t xml:space="preserve">the </w:t>
            </w:r>
            <w:r>
              <w:rPr>
                <w:rFonts w:hint="eastAsia"/>
              </w:rPr>
              <w:t>forest area as % of total land area provided in the UNSDG global SDGs indicators database)</w:t>
            </w:r>
            <w:r>
              <w:t xml:space="preserve"> is relevant to nature-based solutions based on afforestation and reforestation </w:t>
            </w:r>
            <w:r w:rsidR="005D2AAE">
              <w:t>to reduce climate change impacts</w:t>
            </w:r>
            <w:r w:rsidR="00CE71BD">
              <w:t xml:space="preserve">, including CO2 sequestration and flooding control, </w:t>
            </w:r>
            <w:proofErr w:type="gramStart"/>
            <w:r w:rsidR="00CE71BD">
              <w:t>etc.</w:t>
            </w:r>
            <w:r w:rsidR="005D2AAE">
              <w:t>.</w:t>
            </w:r>
            <w:proofErr w:type="gramEnd"/>
          </w:p>
          <w:p w14:paraId="5045D8FF" w14:textId="65F8E13C" w:rsidR="003C03C8" w:rsidRPr="000C0B6C" w:rsidRDefault="001E10EB" w:rsidP="001E10EB">
            <w:r>
              <w:rPr>
                <w:rFonts w:hint="eastAsia"/>
              </w:rPr>
              <w:t xml:space="preserve">Target 15.3 (Indicator 15.3.1) </w:t>
            </w:r>
            <w:r>
              <w:t xml:space="preserve">is relevant to strengthen nature-based solutions for combating desertification. </w:t>
            </w:r>
          </w:p>
        </w:tc>
      </w:tr>
      <w:tr w:rsidR="00E815B7" w:rsidRPr="000C0B6C" w14:paraId="69101B4F" w14:textId="77777777" w:rsidTr="009251C2">
        <w:trPr>
          <w:trHeight w:val="224"/>
        </w:trPr>
        <w:tc>
          <w:tcPr>
            <w:tcW w:w="818" w:type="dxa"/>
          </w:tcPr>
          <w:p w14:paraId="7FEEC057" w14:textId="4D988F23" w:rsidR="00E815B7" w:rsidRPr="000C0B6C" w:rsidRDefault="00F6786B" w:rsidP="00E815B7">
            <w:r>
              <w:rPr>
                <w:rFonts w:hint="eastAsia"/>
              </w:rPr>
              <w:t>12</w:t>
            </w:r>
          </w:p>
        </w:tc>
        <w:tc>
          <w:tcPr>
            <w:tcW w:w="1231" w:type="dxa"/>
          </w:tcPr>
          <w:p w14:paraId="0555C2D8" w14:textId="238A22CE" w:rsidR="00E815B7" w:rsidRPr="000C0B6C" w:rsidRDefault="00E815B7" w:rsidP="00E815B7">
            <w:r w:rsidRPr="00D64B63">
              <w:rPr>
                <w:rFonts w:hint="eastAsia"/>
              </w:rPr>
              <w:t>GBF Target</w:t>
            </w:r>
            <w:r w:rsidR="00F6786B">
              <w:t xml:space="preserve"> 11</w:t>
            </w:r>
          </w:p>
        </w:tc>
        <w:tc>
          <w:tcPr>
            <w:tcW w:w="8139" w:type="dxa"/>
            <w:gridSpan w:val="2"/>
          </w:tcPr>
          <w:p w14:paraId="4620880C" w14:textId="688823BE" w:rsidR="00E815B7" w:rsidRPr="000C0B6C" w:rsidRDefault="00F6786B" w:rsidP="00E815B7">
            <w:r>
              <w:rPr>
                <w:rFonts w:hint="eastAsia"/>
              </w:rPr>
              <w:t xml:space="preserve">Target 3.4 (global SDG indicators are not very relevant though) related to </w:t>
            </w:r>
            <w:r>
              <w:t>maintain mental health through the amenity and esthetic services provided by green/blue spaces.</w:t>
            </w:r>
          </w:p>
        </w:tc>
      </w:tr>
      <w:tr w:rsidR="00E815B7" w:rsidRPr="000C0B6C" w14:paraId="00DA4A24" w14:textId="77777777" w:rsidTr="009251C2">
        <w:trPr>
          <w:trHeight w:val="224"/>
        </w:trPr>
        <w:tc>
          <w:tcPr>
            <w:tcW w:w="818" w:type="dxa"/>
          </w:tcPr>
          <w:p w14:paraId="0BF9A4EA" w14:textId="35E4BFAB" w:rsidR="00E815B7" w:rsidRPr="000C0B6C" w:rsidRDefault="00F6786B" w:rsidP="00E815B7">
            <w:r>
              <w:rPr>
                <w:rFonts w:hint="eastAsia"/>
              </w:rPr>
              <w:lastRenderedPageBreak/>
              <w:t>13</w:t>
            </w:r>
          </w:p>
        </w:tc>
        <w:tc>
          <w:tcPr>
            <w:tcW w:w="1231" w:type="dxa"/>
          </w:tcPr>
          <w:p w14:paraId="03384ADA" w14:textId="5BD691E2" w:rsidR="00E815B7" w:rsidRPr="000C0B6C" w:rsidRDefault="00E815B7" w:rsidP="00E815B7">
            <w:r w:rsidRPr="00D64B63">
              <w:rPr>
                <w:rFonts w:hint="eastAsia"/>
              </w:rPr>
              <w:t>GBF Target</w:t>
            </w:r>
            <w:r w:rsidR="00F6786B">
              <w:t xml:space="preserve"> 12</w:t>
            </w:r>
          </w:p>
        </w:tc>
        <w:tc>
          <w:tcPr>
            <w:tcW w:w="8139" w:type="dxa"/>
            <w:gridSpan w:val="2"/>
          </w:tcPr>
          <w:p w14:paraId="219C3642" w14:textId="01649759" w:rsidR="00E815B7" w:rsidRPr="000C0B6C" w:rsidRDefault="00F6786B" w:rsidP="00E41F88">
            <w:r>
              <w:rPr>
                <w:rFonts w:hint="eastAsia"/>
              </w:rPr>
              <w:t>Target</w:t>
            </w:r>
            <w:r>
              <w:t xml:space="preserve"> 1.4</w:t>
            </w:r>
            <w:r>
              <w:rPr>
                <w:rFonts w:hint="eastAsia"/>
              </w:rPr>
              <w:t xml:space="preserve"> (Indicator </w:t>
            </w:r>
            <w:r>
              <w:t xml:space="preserve">1.4.2), </w:t>
            </w:r>
            <w:r>
              <w:rPr>
                <w:rFonts w:hint="eastAsia"/>
              </w:rPr>
              <w:t>Target</w:t>
            </w:r>
            <w:r>
              <w:t xml:space="preserve"> 2.3</w:t>
            </w:r>
            <w:r>
              <w:rPr>
                <w:rFonts w:hint="eastAsia"/>
              </w:rPr>
              <w:t xml:space="preserve"> (Indicator </w:t>
            </w:r>
            <w:r>
              <w:t xml:space="preserve">on the equal right to access to land from the UNSD global SDGs indicators database is relevant), </w:t>
            </w:r>
            <w:r>
              <w:rPr>
                <w:rFonts w:hint="eastAsia"/>
              </w:rPr>
              <w:t>Target</w:t>
            </w:r>
            <w:r>
              <w:t xml:space="preserve"> </w:t>
            </w:r>
            <w:r w:rsidR="00E41F88">
              <w:rPr>
                <w:rFonts w:hint="eastAsia"/>
              </w:rPr>
              <w:t xml:space="preserve">14.7 </w:t>
            </w:r>
            <w:r>
              <w:rPr>
                <w:rFonts w:hint="eastAsia"/>
              </w:rPr>
              <w:t xml:space="preserve">(Indicator </w:t>
            </w:r>
            <w:r w:rsidR="00E41F88">
              <w:t>14.7.1</w:t>
            </w:r>
            <w:r>
              <w:t>)</w:t>
            </w:r>
            <w:r w:rsidR="00E41F88">
              <w:t xml:space="preserve"> and Target 14.b (Indicator 14.b.1) are also relevant to sharing the benefits and equal access.</w:t>
            </w:r>
          </w:p>
        </w:tc>
      </w:tr>
      <w:tr w:rsidR="00E815B7" w:rsidRPr="000C0B6C" w14:paraId="0D3F0894" w14:textId="77777777" w:rsidTr="009251C2">
        <w:trPr>
          <w:trHeight w:val="224"/>
        </w:trPr>
        <w:tc>
          <w:tcPr>
            <w:tcW w:w="818" w:type="dxa"/>
          </w:tcPr>
          <w:p w14:paraId="021FCAB6" w14:textId="52676DA9" w:rsidR="00E815B7" w:rsidRPr="000C0B6C" w:rsidRDefault="00E41F88" w:rsidP="00E815B7">
            <w:r>
              <w:rPr>
                <w:rFonts w:hint="eastAsia"/>
              </w:rPr>
              <w:t>16</w:t>
            </w:r>
          </w:p>
        </w:tc>
        <w:tc>
          <w:tcPr>
            <w:tcW w:w="1231" w:type="dxa"/>
          </w:tcPr>
          <w:p w14:paraId="18B05321" w14:textId="372124B7" w:rsidR="00E815B7" w:rsidRPr="000C0B6C" w:rsidRDefault="00E815B7" w:rsidP="00E815B7">
            <w:r w:rsidRPr="00D64B63">
              <w:rPr>
                <w:rFonts w:hint="eastAsia"/>
              </w:rPr>
              <w:t>GBF Target</w:t>
            </w:r>
            <w:r w:rsidR="00E41F88">
              <w:t xml:space="preserve"> 15</w:t>
            </w:r>
          </w:p>
        </w:tc>
        <w:tc>
          <w:tcPr>
            <w:tcW w:w="8139" w:type="dxa"/>
            <w:gridSpan w:val="2"/>
          </w:tcPr>
          <w:p w14:paraId="3F71D682" w14:textId="79897759" w:rsidR="00E815B7" w:rsidRPr="000C0B6C" w:rsidRDefault="00F6786B" w:rsidP="00E41F88">
            <w:r>
              <w:rPr>
                <w:rFonts w:hint="eastAsia"/>
              </w:rPr>
              <w:t>Target</w:t>
            </w:r>
            <w:r>
              <w:t xml:space="preserve"> </w:t>
            </w:r>
            <w:r w:rsidR="00E41F88">
              <w:t>6.4</w:t>
            </w:r>
            <w:r>
              <w:rPr>
                <w:rFonts w:hint="eastAsia"/>
              </w:rPr>
              <w:t xml:space="preserve"> (Indicator </w:t>
            </w:r>
            <w:r w:rsidR="00E41F88">
              <w:t>6.4.1</w:t>
            </w:r>
            <w:r>
              <w:t>)</w:t>
            </w:r>
            <w:r w:rsidR="00E41F88">
              <w:t xml:space="preserve"> is also relevant.</w:t>
            </w:r>
          </w:p>
        </w:tc>
      </w:tr>
      <w:tr w:rsidR="00E41F88" w:rsidRPr="000C0B6C" w14:paraId="698481BB" w14:textId="77777777" w:rsidTr="009251C2">
        <w:trPr>
          <w:trHeight w:val="224"/>
        </w:trPr>
        <w:tc>
          <w:tcPr>
            <w:tcW w:w="818" w:type="dxa"/>
          </w:tcPr>
          <w:p w14:paraId="5FE495F9" w14:textId="0232C2EE" w:rsidR="00E41F88" w:rsidRDefault="00E41F88" w:rsidP="00E41F88">
            <w:r>
              <w:rPr>
                <w:rFonts w:hint="eastAsia"/>
              </w:rPr>
              <w:t>18</w:t>
            </w:r>
          </w:p>
        </w:tc>
        <w:tc>
          <w:tcPr>
            <w:tcW w:w="1231" w:type="dxa"/>
          </w:tcPr>
          <w:p w14:paraId="5F5A49CC" w14:textId="37180303" w:rsidR="00E41F88" w:rsidRPr="00D64B63" w:rsidRDefault="00E41F88" w:rsidP="00E41F88">
            <w:r w:rsidRPr="00D64B63">
              <w:rPr>
                <w:rFonts w:hint="eastAsia"/>
              </w:rPr>
              <w:t>GBF Target</w:t>
            </w:r>
            <w:r>
              <w:t xml:space="preserve"> 16</w:t>
            </w:r>
          </w:p>
        </w:tc>
        <w:tc>
          <w:tcPr>
            <w:tcW w:w="8139" w:type="dxa"/>
            <w:gridSpan w:val="2"/>
          </w:tcPr>
          <w:p w14:paraId="25CDF6DF" w14:textId="1782E7F2" w:rsidR="00E41F88" w:rsidRDefault="00E41F88" w:rsidP="00E41F88">
            <w:r>
              <w:rPr>
                <w:rFonts w:hint="eastAsia"/>
              </w:rPr>
              <w:t>Target 3.b (Indicators 3.b.1 and 3.b.3) are relevant related to the use of biotechnology for medicine development and its associated impacts.</w:t>
            </w:r>
          </w:p>
        </w:tc>
      </w:tr>
      <w:tr w:rsidR="00E41F88" w:rsidRPr="000C0B6C" w14:paraId="1BEC6B92" w14:textId="77777777" w:rsidTr="009251C2">
        <w:trPr>
          <w:trHeight w:val="224"/>
        </w:trPr>
        <w:tc>
          <w:tcPr>
            <w:tcW w:w="818" w:type="dxa"/>
          </w:tcPr>
          <w:p w14:paraId="3428EEEB" w14:textId="4E0ACB9E" w:rsidR="00E41F88" w:rsidRPr="000C0B6C" w:rsidRDefault="00DB160D" w:rsidP="00E41F88">
            <w:r>
              <w:rPr>
                <w:rFonts w:hint="eastAsia"/>
              </w:rPr>
              <w:t>19</w:t>
            </w:r>
          </w:p>
        </w:tc>
        <w:tc>
          <w:tcPr>
            <w:tcW w:w="1231" w:type="dxa"/>
          </w:tcPr>
          <w:p w14:paraId="216280D8" w14:textId="20FE41E7" w:rsidR="00E41F88" w:rsidRPr="000C0B6C" w:rsidRDefault="00DB160D" w:rsidP="00E41F88">
            <w:r w:rsidRPr="00D64B63">
              <w:rPr>
                <w:rFonts w:hint="eastAsia"/>
              </w:rPr>
              <w:t>GBF Target</w:t>
            </w:r>
            <w:r>
              <w:t xml:space="preserve"> 18</w:t>
            </w:r>
          </w:p>
        </w:tc>
        <w:tc>
          <w:tcPr>
            <w:tcW w:w="8139" w:type="dxa"/>
            <w:gridSpan w:val="2"/>
          </w:tcPr>
          <w:p w14:paraId="5AF59F48" w14:textId="08BEC9E4" w:rsidR="00E41F88" w:rsidRPr="000C0B6C" w:rsidRDefault="00DB160D" w:rsidP="00DB160D">
            <w:r>
              <w:rPr>
                <w:rFonts w:hint="eastAsia"/>
              </w:rPr>
              <w:t>Target 2.a (Indicator</w:t>
            </w:r>
            <w:r>
              <w:t xml:space="preserve">s 2.a.1 and </w:t>
            </w:r>
            <w:r>
              <w:rPr>
                <w:rFonts w:hint="eastAsia"/>
              </w:rPr>
              <w:t>2.a.</w:t>
            </w:r>
            <w:r>
              <w:t>2) is also relevant.</w:t>
            </w:r>
          </w:p>
        </w:tc>
      </w:tr>
      <w:tr w:rsidR="004E3E6E" w:rsidRPr="000C0B6C" w14:paraId="637F9956" w14:textId="77777777" w:rsidTr="009251C2">
        <w:trPr>
          <w:trHeight w:val="224"/>
        </w:trPr>
        <w:tc>
          <w:tcPr>
            <w:tcW w:w="818" w:type="dxa"/>
          </w:tcPr>
          <w:p w14:paraId="3E3A2482" w14:textId="0BB9A169" w:rsidR="004E3E6E" w:rsidRDefault="004E3E6E" w:rsidP="00E41F88">
            <w:r>
              <w:rPr>
                <w:rFonts w:hint="eastAsia"/>
              </w:rPr>
              <w:t>20</w:t>
            </w:r>
          </w:p>
        </w:tc>
        <w:tc>
          <w:tcPr>
            <w:tcW w:w="1231" w:type="dxa"/>
          </w:tcPr>
          <w:p w14:paraId="57977760" w14:textId="26DD1C05" w:rsidR="004E3E6E" w:rsidRPr="00D64B63" w:rsidRDefault="004E3E6E" w:rsidP="004E3E6E">
            <w:r w:rsidRPr="00D64B63">
              <w:rPr>
                <w:rFonts w:hint="eastAsia"/>
              </w:rPr>
              <w:t>GBF Target</w:t>
            </w:r>
            <w:r>
              <w:t xml:space="preserve"> 19</w:t>
            </w:r>
          </w:p>
        </w:tc>
        <w:tc>
          <w:tcPr>
            <w:tcW w:w="8139" w:type="dxa"/>
            <w:gridSpan w:val="2"/>
          </w:tcPr>
          <w:p w14:paraId="68CB8A25" w14:textId="52DD69D0" w:rsidR="004E3E6E" w:rsidRDefault="004E3E6E" w:rsidP="00DB160D">
            <w:r>
              <w:rPr>
                <w:rFonts w:hint="eastAsia"/>
              </w:rPr>
              <w:t xml:space="preserve">Target 2.5 (though no relevant indicators) mentions the use of traditional knowledge for </w:t>
            </w:r>
            <w:r>
              <w:t>maintain</w:t>
            </w:r>
            <w:r>
              <w:rPr>
                <w:rFonts w:hint="eastAsia"/>
              </w:rPr>
              <w:t xml:space="preserve"> </w:t>
            </w:r>
            <w:r>
              <w:t>genetic diversity.</w:t>
            </w:r>
          </w:p>
        </w:tc>
      </w:tr>
      <w:tr w:rsidR="004E3E6E" w:rsidRPr="000C0B6C" w14:paraId="33E748C8" w14:textId="77777777" w:rsidTr="009251C2">
        <w:trPr>
          <w:trHeight w:val="224"/>
        </w:trPr>
        <w:tc>
          <w:tcPr>
            <w:tcW w:w="818" w:type="dxa"/>
          </w:tcPr>
          <w:p w14:paraId="354A7868" w14:textId="602063FE" w:rsidR="004E3E6E" w:rsidRDefault="004E3E6E" w:rsidP="00E41F88">
            <w:r>
              <w:rPr>
                <w:rFonts w:hint="eastAsia"/>
              </w:rPr>
              <w:t>21</w:t>
            </w:r>
          </w:p>
        </w:tc>
        <w:tc>
          <w:tcPr>
            <w:tcW w:w="1231" w:type="dxa"/>
          </w:tcPr>
          <w:p w14:paraId="04FA0F1E" w14:textId="788A8D4A" w:rsidR="004E3E6E" w:rsidRPr="00D64B63" w:rsidRDefault="004E3E6E" w:rsidP="00E41F88">
            <w:r w:rsidRPr="00D64B63">
              <w:rPr>
                <w:rFonts w:hint="eastAsia"/>
              </w:rPr>
              <w:t>GBF Target</w:t>
            </w:r>
            <w:r>
              <w:t xml:space="preserve"> 20</w:t>
            </w:r>
          </w:p>
        </w:tc>
        <w:tc>
          <w:tcPr>
            <w:tcW w:w="8139" w:type="dxa"/>
            <w:gridSpan w:val="2"/>
          </w:tcPr>
          <w:p w14:paraId="0822A381" w14:textId="47B9ADC0" w:rsidR="004E3E6E" w:rsidRDefault="004E3E6E" w:rsidP="00DB160D">
            <w:r>
              <w:rPr>
                <w:rFonts w:hint="eastAsia"/>
              </w:rPr>
              <w:t xml:space="preserve">Target 6.b (Indicator 6.b.1) is relevant related to strengthening the participation of </w:t>
            </w:r>
            <w:r>
              <w:t>local</w:t>
            </w:r>
            <w:r>
              <w:rPr>
                <w:rFonts w:hint="eastAsia"/>
              </w:rPr>
              <w:t xml:space="preserve"> </w:t>
            </w:r>
            <w:r>
              <w:t>communities in improving water and sanitation management.</w:t>
            </w:r>
          </w:p>
        </w:tc>
      </w:tr>
      <w:tr w:rsidR="00E41F88" w:rsidRPr="000C0B6C" w14:paraId="4C53569F" w14:textId="77777777" w:rsidTr="009251C2">
        <w:trPr>
          <w:trHeight w:val="224"/>
        </w:trPr>
        <w:tc>
          <w:tcPr>
            <w:tcW w:w="818" w:type="dxa"/>
          </w:tcPr>
          <w:p w14:paraId="5ACD88D5" w14:textId="77777777" w:rsidR="00E41F88" w:rsidRPr="000C0B6C" w:rsidRDefault="00E41F88" w:rsidP="00E41F88"/>
        </w:tc>
        <w:tc>
          <w:tcPr>
            <w:tcW w:w="1231" w:type="dxa"/>
          </w:tcPr>
          <w:p w14:paraId="1A074978" w14:textId="77777777" w:rsidR="00E41F88" w:rsidRPr="000C0B6C" w:rsidRDefault="00E41F88" w:rsidP="00E41F88"/>
        </w:tc>
        <w:tc>
          <w:tcPr>
            <w:tcW w:w="8139" w:type="dxa"/>
            <w:gridSpan w:val="2"/>
          </w:tcPr>
          <w:p w14:paraId="249A3E43" w14:textId="77777777" w:rsidR="00E41F88" w:rsidRPr="000C0B6C" w:rsidRDefault="00E41F88" w:rsidP="00E41F88">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21DDA"/>
    <w:multiLevelType w:val="hybridMultilevel"/>
    <w:tmpl w:val="694270B4"/>
    <w:lvl w:ilvl="0" w:tplc="E4E47E14">
      <w:start w:val="5"/>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865DD"/>
    <w:rsid w:val="00117496"/>
    <w:rsid w:val="001A5E76"/>
    <w:rsid w:val="001E10EB"/>
    <w:rsid w:val="001F315B"/>
    <w:rsid w:val="00236608"/>
    <w:rsid w:val="00262913"/>
    <w:rsid w:val="002A695C"/>
    <w:rsid w:val="002E2BBF"/>
    <w:rsid w:val="00331E62"/>
    <w:rsid w:val="00334544"/>
    <w:rsid w:val="003B08FB"/>
    <w:rsid w:val="003C03C8"/>
    <w:rsid w:val="00455C27"/>
    <w:rsid w:val="0047514D"/>
    <w:rsid w:val="004E3E6E"/>
    <w:rsid w:val="00504926"/>
    <w:rsid w:val="0053118E"/>
    <w:rsid w:val="005324AB"/>
    <w:rsid w:val="005D2AAE"/>
    <w:rsid w:val="005D654F"/>
    <w:rsid w:val="006060BF"/>
    <w:rsid w:val="006125AA"/>
    <w:rsid w:val="0069468A"/>
    <w:rsid w:val="00790F3D"/>
    <w:rsid w:val="008E7015"/>
    <w:rsid w:val="00967D53"/>
    <w:rsid w:val="00A2620F"/>
    <w:rsid w:val="00A51FA4"/>
    <w:rsid w:val="00AF4AD0"/>
    <w:rsid w:val="00B51493"/>
    <w:rsid w:val="00B956D9"/>
    <w:rsid w:val="00BD481F"/>
    <w:rsid w:val="00BF11B4"/>
    <w:rsid w:val="00CE71BD"/>
    <w:rsid w:val="00D93CCA"/>
    <w:rsid w:val="00DB160D"/>
    <w:rsid w:val="00DB20C0"/>
    <w:rsid w:val="00E41F88"/>
    <w:rsid w:val="00E815B7"/>
    <w:rsid w:val="00EA1939"/>
    <w:rsid w:val="00F6786B"/>
    <w:rsid w:val="00FC34E4"/>
    <w:rsid w:val="00FF00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EA1939"/>
    <w:pPr>
      <w:ind w:leftChars="400" w:left="840"/>
    </w:pPr>
  </w:style>
  <w:style w:type="character" w:styleId="UnresolvedMention">
    <w:name w:val="Unresolved Mention"/>
    <w:basedOn w:val="DefaultParagraphFont"/>
    <w:uiPriority w:val="99"/>
    <w:semiHidden/>
    <w:unhideWhenUsed/>
    <w:rsid w:val="00BF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iges.or.j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Andre Mader</cp:lastModifiedBy>
  <cp:revision>3</cp:revision>
  <dcterms:created xsi:type="dcterms:W3CDTF">2020-07-08T00:00:00Z</dcterms:created>
  <dcterms:modified xsi:type="dcterms:W3CDTF">2020-08-15T16:59:00Z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