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6F" w:rsidRDefault="00AA726F" w:rsidP="00E034BA">
      <w:pPr>
        <w:ind w:right="44"/>
        <w:jc w:val="both"/>
        <w:rPr>
          <w:sz w:val="22"/>
          <w:szCs w:val="22"/>
          <w:lang w:val="fr-FR"/>
        </w:rPr>
      </w:pPr>
    </w:p>
    <w:p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rsidR="00AA726F" w:rsidRDefault="00AA726F" w:rsidP="00DB71FC">
      <w:pPr>
        <w:ind w:left="360"/>
        <w:jc w:val="both"/>
        <w:rPr>
          <w:sz w:val="22"/>
          <w:szCs w:val="22"/>
        </w:rPr>
      </w:pPr>
    </w:p>
    <w:p w:rsidR="00EC787C" w:rsidRDefault="00EC787C" w:rsidP="00EC787C">
      <w:pPr>
        <w:pStyle w:val="ListParagraph"/>
        <w:rPr>
          <w:sz w:val="22"/>
          <w:szCs w:val="22"/>
        </w:rPr>
      </w:pPr>
    </w:p>
    <w:p w:rsidR="00624FAA" w:rsidRDefault="00624FAA" w:rsidP="005D2E65">
      <w:pPr>
        <w:pStyle w:val="Default"/>
        <w:jc w:val="center"/>
        <w:rPr>
          <w:b/>
          <w:sz w:val="22"/>
          <w:szCs w:val="22"/>
          <w:u w:val="single"/>
        </w:rPr>
      </w:pPr>
      <w:r>
        <w:rPr>
          <w:b/>
          <w:sz w:val="22"/>
          <w:szCs w:val="22"/>
          <w:u w:val="single"/>
        </w:rPr>
        <w:t>TEMPLATE FOR COMMENTS</w:t>
      </w:r>
    </w:p>
    <w:p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rsidTr="005D2E65">
        <w:trPr>
          <w:trHeight w:val="242"/>
        </w:trPr>
        <w:tc>
          <w:tcPr>
            <w:tcW w:w="9606" w:type="dxa"/>
            <w:gridSpan w:val="6"/>
          </w:tcPr>
          <w:p w:rsidR="005D2E65" w:rsidRPr="000C0B6C" w:rsidRDefault="005D2E65" w:rsidP="00642AC0">
            <w:pPr>
              <w:jc w:val="center"/>
              <w:rPr>
                <w:b/>
              </w:rPr>
            </w:pPr>
            <w:r>
              <w:rPr>
                <w:b/>
              </w:rPr>
              <w:t>Review comments on the draft monitoring framework for the post-2020 global biodiversity framework</w:t>
            </w:r>
          </w:p>
        </w:tc>
      </w:tr>
      <w:tr w:rsidR="005D2E65" w:rsidRPr="000C0B6C" w:rsidTr="005D2E65">
        <w:trPr>
          <w:trHeight w:val="233"/>
        </w:trPr>
        <w:tc>
          <w:tcPr>
            <w:tcW w:w="9606" w:type="dxa"/>
            <w:gridSpan w:val="6"/>
            <w:shd w:val="clear" w:color="auto" w:fill="C0C0C0"/>
          </w:tcPr>
          <w:p w:rsidR="005D2E65" w:rsidRPr="000C0B6C" w:rsidRDefault="005D2E65" w:rsidP="00690111">
            <w:pPr>
              <w:jc w:val="center"/>
              <w:rPr>
                <w:i/>
              </w:rPr>
            </w:pPr>
            <w:r w:rsidRPr="000C0B6C">
              <w:rPr>
                <w:i/>
              </w:rPr>
              <w:t>Contact information</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rsidR="005D2E65" w:rsidRPr="000C0B6C" w:rsidRDefault="004B7F67" w:rsidP="00690111">
            <w:r>
              <w:t>SEIDLER</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rsidR="005D2E65" w:rsidRPr="000C0B6C" w:rsidRDefault="004B7F67" w:rsidP="00690111">
            <w:r>
              <w:t>REINMAR</w:t>
            </w:r>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rsidR="005D2E65" w:rsidRPr="000C0B6C" w:rsidRDefault="005D2E65" w:rsidP="00690111"/>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rsidR="005D2E65" w:rsidRPr="000C0B6C" w:rsidRDefault="004B7F67" w:rsidP="00690111">
            <w:r>
              <w:t>ATREE-USA</w:t>
            </w:r>
          </w:p>
        </w:tc>
      </w:tr>
      <w:tr w:rsidR="005D2E65" w:rsidRPr="00E66419"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rsidR="005D2E65" w:rsidRPr="00E66419" w:rsidRDefault="004B7F67" w:rsidP="00690111">
            <w:pPr>
              <w:rPr>
                <w:lang w:val="es-ES"/>
              </w:rPr>
            </w:pPr>
            <w:r>
              <w:rPr>
                <w:lang w:val="es-ES"/>
              </w:rPr>
              <w:t>27 Old Turnpike Rd, Box 114</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rsidR="005D2E65" w:rsidRPr="000C0B6C" w:rsidRDefault="004B7F67" w:rsidP="00690111">
            <w:r>
              <w:t>Cornish, NH 03746</w:t>
            </w:r>
            <w:r w:rsidR="00F50B9D">
              <w:t>-0114</w:t>
            </w:r>
            <w:bookmarkStart w:id="0" w:name="_GoBack"/>
            <w:bookmarkEnd w:id="0"/>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rsidR="005D2E65" w:rsidRPr="000C0B6C" w:rsidRDefault="004B7F67" w:rsidP="00690111">
            <w:r>
              <w:t>USA</w:t>
            </w:r>
          </w:p>
        </w:tc>
      </w:tr>
      <w:tr w:rsidR="005D2E65" w:rsidRPr="000C0B6C" w:rsidTr="005D2E65">
        <w:trPr>
          <w:trHeight w:val="233"/>
        </w:trPr>
        <w:tc>
          <w:tcPr>
            <w:tcW w:w="2802" w:type="dxa"/>
            <w:gridSpan w:val="4"/>
          </w:tcPr>
          <w:p w:rsidR="005D2E65" w:rsidRPr="000C0B6C" w:rsidRDefault="005D2E65" w:rsidP="00690111">
            <w:pPr>
              <w:pStyle w:val="CommentSubject"/>
              <w:rPr>
                <w:sz w:val="22"/>
                <w:szCs w:val="22"/>
              </w:rPr>
            </w:pPr>
            <w:r w:rsidRPr="000C0B6C">
              <w:rPr>
                <w:sz w:val="22"/>
                <w:szCs w:val="22"/>
              </w:rPr>
              <w:t>E-mail:</w:t>
            </w:r>
          </w:p>
        </w:tc>
        <w:tc>
          <w:tcPr>
            <w:tcW w:w="6804" w:type="dxa"/>
            <w:gridSpan w:val="2"/>
          </w:tcPr>
          <w:p w:rsidR="005D2E65" w:rsidRPr="000C0B6C" w:rsidRDefault="004B7F67" w:rsidP="00690111">
            <w:r>
              <w:t>Reinmar.seidler@gmail.com</w:t>
            </w:r>
          </w:p>
        </w:tc>
      </w:tr>
      <w:tr w:rsidR="005D2E65" w:rsidRPr="000C0B6C" w:rsidTr="005D2E65">
        <w:trPr>
          <w:trHeight w:val="224"/>
        </w:trPr>
        <w:tc>
          <w:tcPr>
            <w:tcW w:w="817" w:type="dxa"/>
            <w:shd w:val="clear" w:color="auto" w:fill="C0C0C0"/>
          </w:tcPr>
          <w:p w:rsidR="005D2E65" w:rsidRPr="000C0B6C" w:rsidRDefault="005D2E65" w:rsidP="00690111">
            <w:pPr>
              <w:jc w:val="center"/>
              <w:rPr>
                <w:b/>
                <w:i/>
                <w:highlight w:val="lightGray"/>
              </w:rPr>
            </w:pPr>
          </w:p>
        </w:tc>
        <w:tc>
          <w:tcPr>
            <w:tcW w:w="815" w:type="dxa"/>
            <w:shd w:val="clear" w:color="auto" w:fill="C0C0C0"/>
          </w:tcPr>
          <w:p w:rsidR="005D2E65" w:rsidRPr="000C0B6C" w:rsidRDefault="005D2E65" w:rsidP="00690111">
            <w:pPr>
              <w:jc w:val="center"/>
              <w:rPr>
                <w:b/>
                <w:i/>
                <w:highlight w:val="lightGray"/>
              </w:rPr>
            </w:pPr>
          </w:p>
        </w:tc>
        <w:tc>
          <w:tcPr>
            <w:tcW w:w="7974" w:type="dxa"/>
            <w:gridSpan w:val="4"/>
            <w:shd w:val="clear" w:color="auto" w:fill="C0C0C0"/>
          </w:tcPr>
          <w:p w:rsidR="005D2E65" w:rsidRPr="000C0B6C" w:rsidRDefault="005D2E65" w:rsidP="00690111">
            <w:pPr>
              <w:jc w:val="center"/>
              <w:rPr>
                <w:b/>
                <w:i/>
              </w:rPr>
            </w:pPr>
            <w:r w:rsidRPr="000C0B6C">
              <w:rPr>
                <w:b/>
                <w:i/>
                <w:highlight w:val="lightGray"/>
              </w:rPr>
              <w:t>Comments</w:t>
            </w:r>
          </w:p>
        </w:tc>
      </w:tr>
      <w:tr w:rsidR="005D2E65" w:rsidRPr="000C0B6C" w:rsidTr="005D2E65">
        <w:trPr>
          <w:trHeight w:val="224"/>
        </w:trPr>
        <w:tc>
          <w:tcPr>
            <w:tcW w:w="817" w:type="dxa"/>
          </w:tcPr>
          <w:p w:rsidR="005D2E65" w:rsidRPr="000C0B6C" w:rsidRDefault="005D2E65" w:rsidP="00690111">
            <w:pPr>
              <w:rPr>
                <w:b/>
                <w:sz w:val="22"/>
                <w:szCs w:val="22"/>
              </w:rPr>
            </w:pPr>
            <w:r>
              <w:rPr>
                <w:b/>
                <w:sz w:val="22"/>
                <w:szCs w:val="22"/>
              </w:rPr>
              <w:t>Table</w:t>
            </w:r>
          </w:p>
        </w:tc>
        <w:tc>
          <w:tcPr>
            <w:tcW w:w="815" w:type="dxa"/>
          </w:tcPr>
          <w:p w:rsidR="005D2E65" w:rsidRPr="000C0B6C" w:rsidRDefault="005D2E65" w:rsidP="00690111">
            <w:pPr>
              <w:rPr>
                <w:b/>
                <w:sz w:val="22"/>
                <w:szCs w:val="22"/>
              </w:rPr>
            </w:pPr>
            <w:r w:rsidRPr="000C0B6C">
              <w:rPr>
                <w:b/>
                <w:sz w:val="22"/>
                <w:szCs w:val="22"/>
              </w:rPr>
              <w:t>Page</w:t>
            </w:r>
          </w:p>
        </w:tc>
        <w:tc>
          <w:tcPr>
            <w:tcW w:w="974" w:type="dxa"/>
          </w:tcPr>
          <w:p w:rsidR="005D2E65" w:rsidRPr="000C0B6C" w:rsidRDefault="005D2E65" w:rsidP="00690111">
            <w:pPr>
              <w:rPr>
                <w:b/>
              </w:rPr>
            </w:pPr>
            <w:r>
              <w:rPr>
                <w:b/>
                <w:sz w:val="22"/>
                <w:szCs w:val="22"/>
              </w:rPr>
              <w:t>Column letter</w:t>
            </w:r>
          </w:p>
        </w:tc>
        <w:tc>
          <w:tcPr>
            <w:tcW w:w="1215" w:type="dxa"/>
            <w:gridSpan w:val="2"/>
          </w:tcPr>
          <w:p w:rsidR="005D2E65" w:rsidRPr="000C0B6C" w:rsidRDefault="005D2E65" w:rsidP="00211568">
            <w:pPr>
              <w:rPr>
                <w:b/>
              </w:rPr>
            </w:pPr>
            <w:r>
              <w:rPr>
                <w:b/>
              </w:rPr>
              <w:t>Row number</w:t>
            </w:r>
          </w:p>
        </w:tc>
        <w:tc>
          <w:tcPr>
            <w:tcW w:w="5785" w:type="dxa"/>
          </w:tcPr>
          <w:p w:rsidR="005D2E65" w:rsidRPr="000C0B6C" w:rsidRDefault="005D2E65" w:rsidP="00690111">
            <w:pPr>
              <w:rPr>
                <w:b/>
              </w:rPr>
            </w:pPr>
            <w:r w:rsidRPr="000C0B6C">
              <w:rPr>
                <w:b/>
                <w:sz w:val="22"/>
                <w:szCs w:val="22"/>
              </w:rPr>
              <w:t>Comment</w:t>
            </w:r>
          </w:p>
        </w:tc>
      </w:tr>
      <w:tr w:rsidR="005D2E65" w:rsidRPr="000C0B6C" w:rsidTr="005D2E65">
        <w:trPr>
          <w:trHeight w:val="233"/>
        </w:trPr>
        <w:tc>
          <w:tcPr>
            <w:tcW w:w="817" w:type="dxa"/>
          </w:tcPr>
          <w:p w:rsidR="005D2E65" w:rsidRPr="00F7272D" w:rsidRDefault="005D2E65" w:rsidP="005D2E65">
            <w:pPr>
              <w:rPr>
                <w:highlight w:val="lightGray"/>
              </w:rPr>
            </w:pPr>
            <w:r w:rsidRPr="00F7272D">
              <w:rPr>
                <w:highlight w:val="lightGray"/>
              </w:rPr>
              <w:t>2</w:t>
            </w:r>
          </w:p>
        </w:tc>
        <w:tc>
          <w:tcPr>
            <w:tcW w:w="815" w:type="dxa"/>
          </w:tcPr>
          <w:p w:rsidR="005D2E65" w:rsidRPr="00F7272D" w:rsidRDefault="005D2E65" w:rsidP="005D2E65">
            <w:pPr>
              <w:rPr>
                <w:highlight w:val="lightGray"/>
              </w:rPr>
            </w:pPr>
            <w:r w:rsidRPr="00F7272D">
              <w:rPr>
                <w:highlight w:val="lightGray"/>
              </w:rPr>
              <w:t>12</w:t>
            </w:r>
          </w:p>
        </w:tc>
        <w:tc>
          <w:tcPr>
            <w:tcW w:w="974" w:type="dxa"/>
          </w:tcPr>
          <w:p w:rsidR="005D2E65" w:rsidRPr="00F7272D" w:rsidRDefault="005D2E65" w:rsidP="005D2E65">
            <w:pPr>
              <w:rPr>
                <w:highlight w:val="lightGray"/>
              </w:rPr>
            </w:pPr>
            <w:r w:rsidRPr="00F7272D">
              <w:rPr>
                <w:highlight w:val="lightGray"/>
              </w:rPr>
              <w:t>C</w:t>
            </w:r>
          </w:p>
        </w:tc>
        <w:tc>
          <w:tcPr>
            <w:tcW w:w="1215" w:type="dxa"/>
            <w:gridSpan w:val="2"/>
          </w:tcPr>
          <w:p w:rsidR="005D2E65" w:rsidRPr="00F7272D" w:rsidRDefault="005D2E65" w:rsidP="005D2E65">
            <w:pPr>
              <w:rPr>
                <w:highlight w:val="lightGray"/>
              </w:rPr>
            </w:pPr>
            <w:r w:rsidRPr="00F7272D">
              <w:rPr>
                <w:highlight w:val="lightGray"/>
              </w:rPr>
              <w:t>38</w:t>
            </w:r>
          </w:p>
        </w:tc>
        <w:tc>
          <w:tcPr>
            <w:tcW w:w="5785" w:type="dxa"/>
          </w:tcPr>
          <w:p w:rsidR="005D2E65" w:rsidRPr="00F7272D" w:rsidRDefault="005D2E65" w:rsidP="005D2E65">
            <w:pPr>
              <w:rPr>
                <w:highlight w:val="lightGray"/>
              </w:rPr>
            </w:pPr>
            <w:r w:rsidRPr="00F7272D">
              <w:rPr>
                <w:sz w:val="22"/>
                <w:szCs w:val="22"/>
                <w:highlight w:val="lightGray"/>
              </w:rPr>
              <w:t>This is an example of a specific comment on Table 2, Page 12, columns C and  line 38</w:t>
            </w:r>
          </w:p>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tc>
      </w:tr>
      <w:tr w:rsidR="006B639A" w:rsidRPr="000C0B6C" w:rsidTr="005D2E65">
        <w:trPr>
          <w:trHeight w:val="224"/>
        </w:trPr>
        <w:tc>
          <w:tcPr>
            <w:tcW w:w="817" w:type="dxa"/>
          </w:tcPr>
          <w:p w:rsidR="006B639A" w:rsidRPr="000C0B6C" w:rsidRDefault="006B639A" w:rsidP="005D2E65"/>
        </w:tc>
        <w:tc>
          <w:tcPr>
            <w:tcW w:w="815" w:type="dxa"/>
          </w:tcPr>
          <w:p w:rsidR="006B639A" w:rsidRPr="000C0B6C" w:rsidRDefault="006B639A" w:rsidP="005D2E65"/>
        </w:tc>
        <w:tc>
          <w:tcPr>
            <w:tcW w:w="974" w:type="dxa"/>
          </w:tcPr>
          <w:p w:rsidR="006B639A" w:rsidRPr="000C0B6C" w:rsidRDefault="006B639A" w:rsidP="005D2E65"/>
        </w:tc>
        <w:tc>
          <w:tcPr>
            <w:tcW w:w="1215" w:type="dxa"/>
            <w:gridSpan w:val="2"/>
          </w:tcPr>
          <w:p w:rsidR="006B639A" w:rsidRPr="000C0B6C" w:rsidRDefault="006B639A" w:rsidP="005D2E65"/>
        </w:tc>
        <w:tc>
          <w:tcPr>
            <w:tcW w:w="5785" w:type="dxa"/>
          </w:tcPr>
          <w:p w:rsidR="006B639A" w:rsidRPr="000C0B6C" w:rsidRDefault="006B639A" w:rsidP="005D2E65"/>
        </w:tc>
      </w:tr>
      <w:tr w:rsidR="006B639A" w:rsidRPr="000C0B6C" w:rsidTr="005D2E65">
        <w:trPr>
          <w:trHeight w:val="224"/>
        </w:trPr>
        <w:tc>
          <w:tcPr>
            <w:tcW w:w="817" w:type="dxa"/>
          </w:tcPr>
          <w:p w:rsidR="006B639A" w:rsidRPr="000C0B6C" w:rsidRDefault="006B639A" w:rsidP="005D2E65"/>
        </w:tc>
        <w:tc>
          <w:tcPr>
            <w:tcW w:w="815" w:type="dxa"/>
          </w:tcPr>
          <w:p w:rsidR="006B639A" w:rsidRPr="000C0B6C" w:rsidRDefault="006B639A" w:rsidP="005D2E65"/>
        </w:tc>
        <w:tc>
          <w:tcPr>
            <w:tcW w:w="974" w:type="dxa"/>
          </w:tcPr>
          <w:p w:rsidR="006B639A" w:rsidRPr="000C0B6C" w:rsidRDefault="006B639A" w:rsidP="005D2E65"/>
        </w:tc>
        <w:tc>
          <w:tcPr>
            <w:tcW w:w="1215" w:type="dxa"/>
            <w:gridSpan w:val="2"/>
          </w:tcPr>
          <w:p w:rsidR="006B639A" w:rsidRPr="000C0B6C" w:rsidRDefault="006B639A" w:rsidP="005D2E65"/>
        </w:tc>
        <w:tc>
          <w:tcPr>
            <w:tcW w:w="5785" w:type="dxa"/>
          </w:tcPr>
          <w:p w:rsidR="006B639A" w:rsidRPr="000C0B6C" w:rsidRDefault="006B639A" w:rsidP="005D2E65"/>
        </w:tc>
      </w:tr>
      <w:tr w:rsidR="006B639A" w:rsidRPr="000C0B6C" w:rsidTr="006356D3">
        <w:trPr>
          <w:trHeight w:val="224"/>
        </w:trPr>
        <w:tc>
          <w:tcPr>
            <w:tcW w:w="9606" w:type="dxa"/>
            <w:gridSpan w:val="6"/>
          </w:tcPr>
          <w:p w:rsidR="006B639A" w:rsidRPr="006B639A" w:rsidRDefault="006B639A" w:rsidP="005D2E65">
            <w:pPr>
              <w:rPr>
                <w:b/>
              </w:rPr>
            </w:pPr>
            <w:r w:rsidRPr="006B639A">
              <w:rPr>
                <w:b/>
              </w:rPr>
              <w:t>GENERAL COMMENTS</w:t>
            </w:r>
          </w:p>
        </w:tc>
      </w:tr>
      <w:tr w:rsidR="006B639A" w:rsidRPr="000C0B6C" w:rsidTr="005D2E65">
        <w:trPr>
          <w:trHeight w:val="224"/>
        </w:trPr>
        <w:tc>
          <w:tcPr>
            <w:tcW w:w="817" w:type="dxa"/>
          </w:tcPr>
          <w:p w:rsidR="006B639A" w:rsidRPr="000C0B6C" w:rsidRDefault="006B639A" w:rsidP="005D2E65"/>
        </w:tc>
        <w:tc>
          <w:tcPr>
            <w:tcW w:w="815" w:type="dxa"/>
          </w:tcPr>
          <w:p w:rsidR="006B639A" w:rsidRPr="000C0B6C" w:rsidRDefault="006B639A" w:rsidP="005D2E65">
            <w:r>
              <w:t>0</w:t>
            </w:r>
          </w:p>
        </w:tc>
        <w:tc>
          <w:tcPr>
            <w:tcW w:w="974" w:type="dxa"/>
          </w:tcPr>
          <w:p w:rsidR="006B639A" w:rsidRPr="000C0B6C" w:rsidRDefault="006B639A" w:rsidP="005D2E65"/>
        </w:tc>
        <w:tc>
          <w:tcPr>
            <w:tcW w:w="1215" w:type="dxa"/>
            <w:gridSpan w:val="2"/>
          </w:tcPr>
          <w:p w:rsidR="006B639A" w:rsidRPr="000C0B6C" w:rsidRDefault="006B639A" w:rsidP="005D2E65">
            <w:r>
              <w:t xml:space="preserve">0 </w:t>
            </w:r>
          </w:p>
        </w:tc>
        <w:tc>
          <w:tcPr>
            <w:tcW w:w="5785" w:type="dxa"/>
          </w:tcPr>
          <w:p w:rsidR="00CC2309" w:rsidRDefault="00771A33" w:rsidP="00771A33">
            <w:r w:rsidRPr="004B7F67">
              <w:rPr>
                <w:highlight w:val="yellow"/>
              </w:rPr>
              <w:t>A</w:t>
            </w:r>
            <w:r w:rsidR="004B7F67" w:rsidRPr="004B7F67">
              <w:rPr>
                <w:highlight w:val="yellow"/>
              </w:rPr>
              <w:t>TREE-USA</w:t>
            </w:r>
            <w:r w:rsidR="004B7F67">
              <w:t xml:space="preserve"> </w:t>
            </w:r>
            <w:r w:rsidR="00463795">
              <w:t>recalls</w:t>
            </w:r>
            <w:r w:rsidR="00C62216">
              <w:t xml:space="preserve"> </w:t>
            </w:r>
            <w:r w:rsidR="00463795">
              <w:t>to all CBD parties the</w:t>
            </w:r>
            <w:r w:rsidR="00517111">
              <w:t xml:space="preserve"> CBD Mountain Programme</w:t>
            </w:r>
            <w:r w:rsidR="00463795">
              <w:t xml:space="preserve">. As the instruments for a Post 2020 global framework are being designed, the CBD </w:t>
            </w:r>
            <w:r>
              <w:t>M</w:t>
            </w:r>
            <w:r w:rsidR="00463795">
              <w:t>ountain Programme</w:t>
            </w:r>
            <w:r w:rsidR="00517111">
              <w:t xml:space="preserve"> </w:t>
            </w:r>
            <w:r>
              <w:t>should</w:t>
            </w:r>
            <w:r w:rsidR="00C62216">
              <w:t xml:space="preserve"> be reintroduced and implemented in a programmatic way through the Post 2020 Global Framework</w:t>
            </w:r>
            <w:r w:rsidR="00CC2309">
              <w:t xml:space="preserve">. </w:t>
            </w:r>
            <w:r w:rsidR="00463795">
              <w:t xml:space="preserve"> Th</w:t>
            </w:r>
            <w:r w:rsidR="00CC2309">
              <w:t>e goals</w:t>
            </w:r>
            <w:r w:rsidR="00463795">
              <w:t xml:space="preserve"> and actions</w:t>
            </w:r>
            <w:r w:rsidR="00CC2309">
              <w:t xml:space="preserve"> of the CBD Mountain Programme </w:t>
            </w:r>
            <w:r w:rsidR="00463795">
              <w:t xml:space="preserve">appear highly relevant for </w:t>
            </w:r>
            <w:r w:rsidR="005310B7">
              <w:t xml:space="preserve">the </w:t>
            </w:r>
            <w:r w:rsidR="00CC2309">
              <w:t xml:space="preserve">Post 2020 </w:t>
            </w:r>
            <w:r w:rsidR="005310B7">
              <w:t>Monitoring Framewor</w:t>
            </w:r>
            <w:r w:rsidR="00463795">
              <w:t>k</w:t>
            </w:r>
            <w:r>
              <w:t>.</w:t>
            </w:r>
          </w:p>
          <w:p w:rsidR="00463795" w:rsidRDefault="00463795" w:rsidP="005D2E65"/>
          <w:p w:rsidR="00C62216" w:rsidRPr="00CC2309" w:rsidRDefault="005310B7" w:rsidP="005D2E65">
            <w:pPr>
              <w:rPr>
                <w:b/>
              </w:rPr>
            </w:pPr>
            <w:r w:rsidRPr="00CC2309">
              <w:rPr>
                <w:b/>
              </w:rPr>
              <w:t>Element 1</w:t>
            </w:r>
            <w:r w:rsidR="00463795">
              <w:rPr>
                <w:b/>
              </w:rPr>
              <w:t xml:space="preserve"> of the Mountain Programme:</w:t>
            </w:r>
            <w:r w:rsidRPr="00CC2309">
              <w:rPr>
                <w:b/>
              </w:rPr>
              <w:t xml:space="preserve"> Direct Actions for </w:t>
            </w:r>
            <w:r w:rsidR="00463795" w:rsidRPr="00CC2309">
              <w:rPr>
                <w:b/>
              </w:rPr>
              <w:t>Conservation, Sustainable</w:t>
            </w:r>
            <w:r w:rsidRPr="00CC2309">
              <w:rPr>
                <w:b/>
              </w:rPr>
              <w:t xml:space="preserve"> Use and Benefit-sharing</w:t>
            </w:r>
          </w:p>
          <w:p w:rsidR="005310B7" w:rsidRDefault="004B7F67" w:rsidP="00771A33">
            <w:r w:rsidRPr="004B7F67">
              <w:rPr>
                <w:highlight w:val="yellow"/>
              </w:rPr>
              <w:t>ATREE-USA</w:t>
            </w:r>
            <w:r w:rsidR="00771A33">
              <w:t xml:space="preserve"> </w:t>
            </w:r>
            <w:r w:rsidR="005310B7">
              <w:t xml:space="preserve">recommends </w:t>
            </w:r>
            <w:r w:rsidR="00771A33">
              <w:t xml:space="preserve">to </w:t>
            </w:r>
            <w:r w:rsidR="005310B7">
              <w:t xml:space="preserve">the CBD </w:t>
            </w:r>
            <w:r w:rsidR="00CC2309">
              <w:t xml:space="preserve">Parties </w:t>
            </w:r>
            <w:r w:rsidR="005310B7">
              <w:t xml:space="preserve">to take into account the Mountain Programme, its main components, goals, and actions, in order to </w:t>
            </w:r>
            <w:r w:rsidR="005310B7" w:rsidRPr="00463795">
              <w:rPr>
                <w:u w:val="single"/>
              </w:rPr>
              <w:t>promote the development of adequate indicators related to</w:t>
            </w:r>
            <w:r w:rsidR="00463795">
              <w:rPr>
                <w:u w:val="single"/>
              </w:rPr>
              <w:t xml:space="preserve"> Element 1</w:t>
            </w:r>
            <w:r w:rsidR="005310B7" w:rsidRPr="00463795">
              <w:rPr>
                <w:u w:val="single"/>
              </w:rPr>
              <w:t>, and to accept new indicators that might be currently developed as monitoring elements of the Post 2020 Global Biodiversity Framework</w:t>
            </w:r>
            <w:r w:rsidR="005310B7">
              <w:t xml:space="preserve">. </w:t>
            </w:r>
          </w:p>
          <w:p w:rsidR="008F2FFE" w:rsidRDefault="008F2FFE" w:rsidP="008F2FFE"/>
          <w:p w:rsidR="009F62C7" w:rsidRDefault="004B7F67" w:rsidP="00771A33">
            <w:r w:rsidRPr="004B7F67">
              <w:rPr>
                <w:highlight w:val="yellow"/>
              </w:rPr>
              <w:t>ATREE-USA</w:t>
            </w:r>
            <w:r w:rsidR="00771A33">
              <w:t xml:space="preserve"> </w:t>
            </w:r>
            <w:r w:rsidR="008F2FFE" w:rsidRPr="00622EAE">
              <w:rPr>
                <w:b/>
                <w:bCs/>
              </w:rPr>
              <w:t xml:space="preserve">recommends </w:t>
            </w:r>
            <w:r w:rsidR="00463795" w:rsidRPr="00622EAE">
              <w:rPr>
                <w:b/>
                <w:bCs/>
              </w:rPr>
              <w:t xml:space="preserve">to </w:t>
            </w:r>
            <w:r w:rsidR="008F2FFE" w:rsidRPr="00622EAE">
              <w:rPr>
                <w:b/>
                <w:bCs/>
              </w:rPr>
              <w:t>reintroduce the</w:t>
            </w:r>
            <w:r w:rsidR="00463795" w:rsidRPr="00622EAE">
              <w:rPr>
                <w:b/>
                <w:bCs/>
              </w:rPr>
              <w:t xml:space="preserve"> specific</w:t>
            </w:r>
            <w:r w:rsidR="008F2FFE" w:rsidRPr="00622EAE">
              <w:rPr>
                <w:b/>
                <w:bCs/>
              </w:rPr>
              <w:t xml:space="preserve"> actions </w:t>
            </w:r>
            <w:r w:rsidR="00463795" w:rsidRPr="00622EAE">
              <w:rPr>
                <w:b/>
                <w:bCs/>
              </w:rPr>
              <w:t>of Element 2 and 3</w:t>
            </w:r>
            <w:r w:rsidR="008F2FFE" w:rsidRPr="00622EAE">
              <w:rPr>
                <w:b/>
                <w:bCs/>
              </w:rPr>
              <w:t xml:space="preserve"> that</w:t>
            </w:r>
            <w:r w:rsidR="00CC2309" w:rsidRPr="00622EAE">
              <w:rPr>
                <w:b/>
                <w:bCs/>
              </w:rPr>
              <w:t xml:space="preserve"> </w:t>
            </w:r>
            <w:r w:rsidR="008F2FFE" w:rsidRPr="00622EAE">
              <w:rPr>
                <w:b/>
                <w:bCs/>
              </w:rPr>
              <w:t>relate to indicators</w:t>
            </w:r>
            <w:r w:rsidR="009F62C7" w:rsidRPr="00622EAE">
              <w:rPr>
                <w:b/>
                <w:bCs/>
              </w:rPr>
              <w:t>,</w:t>
            </w:r>
            <w:r w:rsidR="00463795" w:rsidRPr="00622EAE">
              <w:rPr>
                <w:b/>
                <w:bCs/>
              </w:rPr>
              <w:t xml:space="preserve"> and </w:t>
            </w:r>
            <w:r w:rsidR="00771A33" w:rsidRPr="00622EAE">
              <w:rPr>
                <w:b/>
                <w:bCs/>
              </w:rPr>
              <w:t xml:space="preserve">to </w:t>
            </w:r>
            <w:r w:rsidR="00463795" w:rsidRPr="00622EAE">
              <w:rPr>
                <w:b/>
                <w:bCs/>
              </w:rPr>
              <w:t>include these indicators systematically in the implementation documents of the post 2020 global framework.</w:t>
            </w:r>
            <w:r w:rsidR="008F2FFE" w:rsidRPr="00622EAE">
              <w:rPr>
                <w:b/>
                <w:bCs/>
              </w:rPr>
              <w:br/>
            </w:r>
          </w:p>
          <w:p w:rsidR="008F2FFE" w:rsidRDefault="00622EAE" w:rsidP="00622EAE">
            <w:r>
              <w:rPr>
                <w:b/>
              </w:rPr>
              <w:t xml:space="preserve">Regarding </w:t>
            </w:r>
            <w:r w:rsidR="009F62C7" w:rsidRPr="00CC2309">
              <w:rPr>
                <w:b/>
              </w:rPr>
              <w:t>E</w:t>
            </w:r>
            <w:r w:rsidR="008F2FFE" w:rsidRPr="00CC2309">
              <w:rPr>
                <w:b/>
              </w:rPr>
              <w:t>lement 2</w:t>
            </w:r>
            <w:r w:rsidR="00771A33">
              <w:rPr>
                <w:b/>
              </w:rPr>
              <w:t xml:space="preserve"> </w:t>
            </w:r>
            <w:r w:rsidR="00CC2309" w:rsidRPr="00CC2309">
              <w:rPr>
                <w:b/>
              </w:rPr>
              <w:t xml:space="preserve">- </w:t>
            </w:r>
            <w:r w:rsidR="009F62C7" w:rsidRPr="00CC2309">
              <w:rPr>
                <w:b/>
              </w:rPr>
              <w:t>Means of implementation for conservation, sustainable use and benefit-sharing</w:t>
            </w:r>
            <w:r w:rsidR="009F62C7">
              <w:t xml:space="preserve">, we </w:t>
            </w:r>
            <w:r>
              <w:t>recommend to</w:t>
            </w:r>
            <w:r w:rsidR="009F62C7">
              <w:t xml:space="preserve"> the action:</w:t>
            </w:r>
          </w:p>
          <w:p w:rsidR="009F62C7" w:rsidRPr="00463795" w:rsidRDefault="008F2FFE" w:rsidP="008F2FFE">
            <w:r>
              <w:t xml:space="preserve"> “ 2.1.5. </w:t>
            </w:r>
            <w:r w:rsidRPr="009F62C7">
              <w:rPr>
                <w:u w:val="single"/>
              </w:rPr>
              <w:t>Develop performance indicators</w:t>
            </w:r>
            <w:r>
              <w:t xml:space="preserve"> and </w:t>
            </w:r>
            <w:r w:rsidRPr="00463795">
              <w:rPr>
                <w:u w:val="single"/>
              </w:rPr>
              <w:t>report on the integration of conservation and sustainable</w:t>
            </w:r>
            <w:r>
              <w:t xml:space="preserve"> </w:t>
            </w:r>
            <w:r w:rsidRPr="00D14A88">
              <w:t>use of mountain biological diversity into institutional programmes, including sectoral policies, legal and economic frameworks.</w:t>
            </w:r>
            <w:r w:rsidR="009F62C7" w:rsidRPr="00463795">
              <w:t>”</w:t>
            </w:r>
          </w:p>
          <w:p w:rsidR="008F2FFE" w:rsidRDefault="008F2FFE" w:rsidP="008F2FFE">
            <w:r>
              <w:t xml:space="preserve"> </w:t>
            </w:r>
          </w:p>
          <w:p w:rsidR="009F62C7" w:rsidRDefault="00622EAE" w:rsidP="00E65430">
            <w:r w:rsidRPr="00622EAE">
              <w:rPr>
                <w:b/>
                <w:bCs/>
              </w:rPr>
              <w:t>Regarding</w:t>
            </w:r>
            <w:r w:rsidR="009F62C7" w:rsidRPr="00CC2309">
              <w:rPr>
                <w:b/>
              </w:rPr>
              <w:t xml:space="preserve"> Element 3 of the CBD mountain Programme</w:t>
            </w:r>
            <w:r w:rsidR="00CC2309">
              <w:rPr>
                <w:b/>
              </w:rPr>
              <w:t>-</w:t>
            </w:r>
            <w:r w:rsidR="009F62C7" w:rsidRPr="00CC2309">
              <w:rPr>
                <w:b/>
              </w:rPr>
              <w:t>Supporting Actions for conservation, sustainable use and benefit sharing</w:t>
            </w:r>
            <w:r w:rsidR="009F62C7">
              <w:t xml:space="preserve"> that </w:t>
            </w:r>
            <w:r w:rsidR="00463795">
              <w:t>contains concrete proposals</w:t>
            </w:r>
            <w:r w:rsidR="009F62C7">
              <w:t xml:space="preserve"> relevant for the indicator</w:t>
            </w:r>
            <w:r w:rsidR="00463795">
              <w:t>s</w:t>
            </w:r>
            <w:r w:rsidR="009F62C7">
              <w:t xml:space="preserve"> and Post 2020 monitoring framework as we find</w:t>
            </w:r>
            <w:r w:rsidR="00463795">
              <w:t>, under Goal 3.2 and 3.3. (t</w:t>
            </w:r>
            <w:r w:rsidR="009F62C7">
              <w:t>o improve knowledge on and methods for the assessment and monitoring of the status and trends of mountain biological diversity, based on available information</w:t>
            </w:r>
            <w:r w:rsidR="00463795">
              <w:t xml:space="preserve">), </w:t>
            </w:r>
            <w:r w:rsidRPr="00622EAE">
              <w:rPr>
                <w:b/>
                <w:bCs/>
              </w:rPr>
              <w:t xml:space="preserve">we recommend </w:t>
            </w:r>
            <w:r w:rsidR="00463795" w:rsidRPr="00622EAE">
              <w:rPr>
                <w:b/>
                <w:bCs/>
              </w:rPr>
              <w:t>the following actions</w:t>
            </w:r>
            <w:r>
              <w:rPr>
                <w:b/>
                <w:bCs/>
              </w:rPr>
              <w:t xml:space="preserve"> – </w:t>
            </w:r>
            <w:r w:rsidR="00E65430" w:rsidRPr="00622EAE">
              <w:rPr>
                <w:b/>
                <w:bCs/>
              </w:rPr>
              <w:t>all</w:t>
            </w:r>
            <w:r w:rsidR="00E65430">
              <w:rPr>
                <w:b/>
                <w:bCs/>
              </w:rPr>
              <w:t xml:space="preserve"> </w:t>
            </w:r>
            <w:r>
              <w:rPr>
                <w:b/>
                <w:bCs/>
              </w:rPr>
              <w:t xml:space="preserve">taken from the CBD Programme of Work on </w:t>
            </w:r>
            <w:r w:rsidR="00E65430">
              <w:rPr>
                <w:b/>
                <w:bCs/>
              </w:rPr>
              <w:t>M</w:t>
            </w:r>
            <w:r>
              <w:rPr>
                <w:b/>
                <w:bCs/>
              </w:rPr>
              <w:t xml:space="preserve">ountains: </w:t>
            </w:r>
          </w:p>
          <w:p w:rsidR="009F62C7" w:rsidRDefault="009F62C7" w:rsidP="009F62C7">
            <w:r>
              <w:t xml:space="preserve">3.2.1. </w:t>
            </w:r>
            <w:r w:rsidR="00E65430">
              <w:t>Develop</w:t>
            </w:r>
            <w:r>
              <w:t xml:space="preserve"> key </w:t>
            </w:r>
            <w:r w:rsidRPr="009F62C7">
              <w:rPr>
                <w:u w:val="single"/>
              </w:rPr>
              <w:t xml:space="preserve">abiotic, biotic and socio-economic indicators </w:t>
            </w:r>
            <w:r>
              <w:t>of status and change of mountain ecosystems.</w:t>
            </w:r>
          </w:p>
          <w:p w:rsidR="009F62C7" w:rsidRDefault="009F62C7" w:rsidP="009F62C7">
            <w:r>
              <w:t xml:space="preserve">3.2.2. Develop and select international, regional and national criteria </w:t>
            </w:r>
            <w:r w:rsidRPr="00463795">
              <w:rPr>
                <w:u w:val="single"/>
              </w:rPr>
              <w:t>and, where appropriate, quantifiable indicators for mountain biological diversity</w:t>
            </w:r>
            <w:r>
              <w:t>, taking</w:t>
            </w:r>
            <w:r w:rsidR="00463795">
              <w:t xml:space="preserve"> </w:t>
            </w:r>
            <w:r>
              <w:t>into account the work of the Convention on monitoring and indicators and the knowledge held by indigenous and local communities, together with other experience of sustainable mountain management.</w:t>
            </w:r>
          </w:p>
          <w:p w:rsidR="009F62C7" w:rsidRPr="00463795" w:rsidRDefault="009F62C7" w:rsidP="009F62C7">
            <w:pPr>
              <w:rPr>
                <w:u w:val="single"/>
              </w:rPr>
            </w:pPr>
            <w:r>
              <w:t xml:space="preserve">3.2.3. </w:t>
            </w:r>
            <w:r w:rsidRPr="009F62C7">
              <w:rPr>
                <w:u w:val="single"/>
              </w:rPr>
              <w:t>Develop methodologies for assigning value to the ecological services</w:t>
            </w:r>
            <w:r>
              <w:t xml:space="preserve"> provided by land management systems in order to develop economic-incentive mechanisms for compensating the </w:t>
            </w:r>
            <w:r w:rsidRPr="00463795">
              <w:rPr>
                <w:u w:val="single"/>
              </w:rPr>
              <w:t>poor and vulnerable mountain communities.</w:t>
            </w:r>
          </w:p>
          <w:p w:rsidR="009F62C7" w:rsidRDefault="009F62C7" w:rsidP="009F62C7">
            <w:r>
              <w:t>3.2.4. Assess and address the changing status of both local and long-range pollution and global climate change issues with special relevance to mountain ecosystems.</w:t>
            </w:r>
          </w:p>
          <w:p w:rsidR="008F2FFE" w:rsidRDefault="009F62C7" w:rsidP="008F2FFE">
            <w:r>
              <w:t xml:space="preserve">3.2.5. Assess and address </w:t>
            </w:r>
            <w:r w:rsidRPr="00463795">
              <w:rPr>
                <w:u w:val="single"/>
              </w:rPr>
              <w:t>fragmentation and impacts on biodiversity, by changing land-use management practices, e.g., land abandonment, mining</w:t>
            </w:r>
            <w:r>
              <w:t>.”</w:t>
            </w:r>
          </w:p>
          <w:p w:rsidR="009F62C7" w:rsidRPr="00463795" w:rsidRDefault="009F62C7" w:rsidP="009F62C7">
            <w:pPr>
              <w:rPr>
                <w:u w:val="single"/>
              </w:rPr>
            </w:pPr>
            <w:r>
              <w:t xml:space="preserve">3.2.6. Assess and address the </w:t>
            </w:r>
            <w:r w:rsidRPr="00463795">
              <w:rPr>
                <w:u w:val="single"/>
              </w:rPr>
              <w:t>positive and the negative impacts of tourism and outdoor activities in mountain ecosystems.</w:t>
            </w:r>
          </w:p>
          <w:p w:rsidR="009F62C7" w:rsidRDefault="009F62C7" w:rsidP="009F62C7">
            <w:r>
              <w:t>3.2.7. Assess and address natural dynamic processes in mountain ecosystems and the need to preserve areas for natural dynamic processes.</w:t>
            </w:r>
          </w:p>
          <w:p w:rsidR="009F62C7" w:rsidRDefault="009F62C7" w:rsidP="00463795">
            <w:pPr>
              <w:jc w:val="both"/>
            </w:pPr>
            <w:r>
              <w:t xml:space="preserve">3.2.8. </w:t>
            </w:r>
            <w:r w:rsidRPr="004D0228">
              <w:rPr>
                <w:u w:val="single"/>
              </w:rPr>
              <w:t>Develop monitoring systems based on key national and subnational indicators of changes in mountain ecosystem structure and function taking into account existing monitoring expert knowledge and systems as well as relevant work and processes on indicators</w:t>
            </w:r>
            <w:r>
              <w:t>.</w:t>
            </w:r>
          </w:p>
          <w:p w:rsidR="009F62C7" w:rsidRDefault="009F62C7" w:rsidP="009F62C7"/>
          <w:p w:rsidR="009F62C7" w:rsidRDefault="009F62C7" w:rsidP="00463795">
            <w:pPr>
              <w:jc w:val="both"/>
            </w:pPr>
            <w:r>
              <w:t>Goal 3.3. To improve the infrastructure for data and information management for accurate assessment and monitoring of mountain biological diversity and develop associated databases</w:t>
            </w:r>
          </w:p>
          <w:p w:rsidR="009F62C7" w:rsidRDefault="009F62C7" w:rsidP="009F62C7">
            <w:r>
              <w:t>Actions</w:t>
            </w:r>
          </w:p>
          <w:p w:rsidR="009F62C7" w:rsidRPr="004D0228" w:rsidRDefault="009F62C7" w:rsidP="00463795">
            <w:pPr>
              <w:jc w:val="both"/>
              <w:rPr>
                <w:u w:val="single"/>
              </w:rPr>
            </w:pPr>
            <w:r>
              <w:t xml:space="preserve">3.3.1. Enhance and improve the technical capacity at a </w:t>
            </w:r>
            <w:r w:rsidRPr="004D0228">
              <w:rPr>
                <w:u w:val="single"/>
              </w:rPr>
              <w:t>national level to monitor mountain biological diversity, benefiting from the opportunities offered by the clearing-house mechanism of the Convention on Biological Diversity, including the development of associated databases as required at the global scale to facilitate exchange.</w:t>
            </w:r>
          </w:p>
          <w:p w:rsidR="009F62C7" w:rsidRDefault="009F62C7" w:rsidP="00463795">
            <w:pPr>
              <w:jc w:val="both"/>
            </w:pPr>
            <w:r>
              <w:t>3.3.2. Promote open access as Parties consider appropriate, to existing information on biodiversity and related databases and sharing through the clearing-house mechanism of the Convention on Biological Diversity and other appropriate means.</w:t>
            </w:r>
          </w:p>
          <w:p w:rsidR="009F62C7" w:rsidRDefault="009F62C7" w:rsidP="00463795">
            <w:pPr>
              <w:jc w:val="both"/>
            </w:pPr>
            <w:r>
              <w:t>3.3.3. Encourage mapping and inventory of biodiversity and of land-use changes, using analogue and digital databases (remote-sensing, geographic information system) for scientific purposes and for supporting decision-making.</w:t>
            </w:r>
          </w:p>
          <w:p w:rsidR="004D0228" w:rsidRDefault="004D0228" w:rsidP="008F2FFE"/>
          <w:p w:rsidR="004D0228" w:rsidRDefault="004D0228" w:rsidP="008F2FFE"/>
          <w:p w:rsidR="009F62C7" w:rsidRDefault="00E65430" w:rsidP="008F2FFE">
            <w:r>
              <w:t>I</w:t>
            </w:r>
            <w:r w:rsidR="009F62C7">
              <w:t>t is also paramount that the existing and available indicators</w:t>
            </w:r>
            <w:r w:rsidR="004D0228">
              <w:t xml:space="preserve">, such as the </w:t>
            </w:r>
            <w:r>
              <w:t>Mountain Green Cover Index</w:t>
            </w:r>
            <w:r w:rsidR="004D0228">
              <w:t xml:space="preserve"> </w:t>
            </w:r>
            <w:r w:rsidR="009F62C7">
              <w:t>appear clearly in the document Monitoring framework for the post-2020 Biodiversity framework.</w:t>
            </w:r>
          </w:p>
          <w:p w:rsidR="009F62C7" w:rsidRPr="000C0B6C" w:rsidRDefault="009F62C7" w:rsidP="008F2FFE"/>
        </w:tc>
      </w:tr>
      <w:tr w:rsidR="006B639A" w:rsidRPr="000C0B6C" w:rsidTr="005D2E65">
        <w:trPr>
          <w:trHeight w:val="224"/>
        </w:trPr>
        <w:tc>
          <w:tcPr>
            <w:tcW w:w="817" w:type="dxa"/>
          </w:tcPr>
          <w:p w:rsidR="006B639A" w:rsidRPr="000C0B6C" w:rsidRDefault="006B639A" w:rsidP="005D2E65"/>
        </w:tc>
        <w:tc>
          <w:tcPr>
            <w:tcW w:w="815" w:type="dxa"/>
          </w:tcPr>
          <w:p w:rsidR="006B639A" w:rsidRPr="000C0B6C" w:rsidRDefault="006B639A" w:rsidP="005D2E65"/>
        </w:tc>
        <w:tc>
          <w:tcPr>
            <w:tcW w:w="974" w:type="dxa"/>
          </w:tcPr>
          <w:p w:rsidR="006B639A" w:rsidRPr="000C0B6C" w:rsidRDefault="006B639A" w:rsidP="005D2E65"/>
        </w:tc>
        <w:tc>
          <w:tcPr>
            <w:tcW w:w="1215" w:type="dxa"/>
            <w:gridSpan w:val="2"/>
          </w:tcPr>
          <w:p w:rsidR="006B639A" w:rsidRPr="000C0B6C" w:rsidRDefault="006B639A" w:rsidP="005D2E65"/>
        </w:tc>
        <w:tc>
          <w:tcPr>
            <w:tcW w:w="5785" w:type="dxa"/>
          </w:tcPr>
          <w:p w:rsidR="006B639A" w:rsidRPr="000C0B6C" w:rsidRDefault="006B639A" w:rsidP="005D2E65"/>
        </w:tc>
      </w:tr>
      <w:tr w:rsidR="00FF5C8A" w:rsidRPr="000C0B6C" w:rsidTr="00B3763C">
        <w:trPr>
          <w:trHeight w:val="224"/>
        </w:trPr>
        <w:tc>
          <w:tcPr>
            <w:tcW w:w="9606" w:type="dxa"/>
            <w:gridSpan w:val="6"/>
          </w:tcPr>
          <w:p w:rsidR="00FF5C8A" w:rsidRPr="00FF5C8A" w:rsidRDefault="00FF5C8A" w:rsidP="005D2E65">
            <w:pPr>
              <w:rPr>
                <w:b/>
              </w:rPr>
            </w:pPr>
            <w:r>
              <w:rPr>
                <w:b/>
              </w:rPr>
              <w:t>TABLE 1</w:t>
            </w:r>
          </w:p>
        </w:tc>
      </w:tr>
      <w:tr w:rsidR="005D2E65" w:rsidRPr="000C0B6C" w:rsidTr="005D2E65">
        <w:trPr>
          <w:trHeight w:val="224"/>
        </w:trPr>
        <w:tc>
          <w:tcPr>
            <w:tcW w:w="817" w:type="dxa"/>
          </w:tcPr>
          <w:p w:rsidR="005D2E65" w:rsidRPr="000C0B6C" w:rsidRDefault="00E66419" w:rsidP="005D2E65">
            <w:r>
              <w:t>1</w:t>
            </w:r>
          </w:p>
        </w:tc>
        <w:tc>
          <w:tcPr>
            <w:tcW w:w="815" w:type="dxa"/>
          </w:tcPr>
          <w:p w:rsidR="005D2E65" w:rsidRPr="000C0B6C" w:rsidRDefault="00E66419" w:rsidP="005D2E65">
            <w:r>
              <w:t>2</w:t>
            </w:r>
          </w:p>
        </w:tc>
        <w:tc>
          <w:tcPr>
            <w:tcW w:w="974" w:type="dxa"/>
          </w:tcPr>
          <w:p w:rsidR="005D2E65" w:rsidRPr="000C0B6C" w:rsidRDefault="00E66419" w:rsidP="005D2E65">
            <w:r>
              <w:t>C</w:t>
            </w:r>
          </w:p>
        </w:tc>
        <w:tc>
          <w:tcPr>
            <w:tcW w:w="1215" w:type="dxa"/>
            <w:gridSpan w:val="2"/>
          </w:tcPr>
          <w:p w:rsidR="005D2E65" w:rsidRPr="000C0B6C" w:rsidRDefault="00E66419" w:rsidP="005D2E65">
            <w:r>
              <w:t>5</w:t>
            </w:r>
          </w:p>
        </w:tc>
        <w:tc>
          <w:tcPr>
            <w:tcW w:w="5785" w:type="dxa"/>
          </w:tcPr>
          <w:p w:rsidR="005D2E65" w:rsidRPr="000C0B6C" w:rsidRDefault="00FF5C8A" w:rsidP="005D2E65">
            <w:r>
              <w:t xml:space="preserve">We propose to insert the </w:t>
            </w:r>
            <w:r w:rsidR="00E66419">
              <w:t xml:space="preserve">Mountain Green Cover Index indicator </w:t>
            </w:r>
            <w:r>
              <w:t xml:space="preserve">as element of monitoring the increased extent of natural Ecosystems. It </w:t>
            </w:r>
            <w:r w:rsidR="00E66419">
              <w:t xml:space="preserve">should appear, maybe as a new </w:t>
            </w:r>
            <w:r w:rsidR="00614C66">
              <w:t>r</w:t>
            </w:r>
            <w:r w:rsidR="00E66419">
              <w:t xml:space="preserve">ow </w:t>
            </w:r>
            <w:r w:rsidR="00517111">
              <w:t xml:space="preserve">3 </w:t>
            </w:r>
            <w:r w:rsidR="00E66419">
              <w:t>immediately after Tree Cover Loss</w:t>
            </w:r>
            <w:r>
              <w:t>.</w:t>
            </w:r>
          </w:p>
        </w:tc>
      </w:tr>
      <w:tr w:rsidR="00FF5C8A" w:rsidRPr="000C0B6C" w:rsidTr="005D2E65">
        <w:trPr>
          <w:trHeight w:val="224"/>
        </w:trPr>
        <w:tc>
          <w:tcPr>
            <w:tcW w:w="817" w:type="dxa"/>
          </w:tcPr>
          <w:p w:rsidR="00FF5C8A" w:rsidRDefault="00FF5C8A" w:rsidP="005D2E65">
            <w:r>
              <w:t>1</w:t>
            </w:r>
          </w:p>
        </w:tc>
        <w:tc>
          <w:tcPr>
            <w:tcW w:w="815" w:type="dxa"/>
          </w:tcPr>
          <w:p w:rsidR="00FF5C8A" w:rsidRDefault="00FF5C8A" w:rsidP="005D2E65">
            <w:r>
              <w:t>2</w:t>
            </w:r>
          </w:p>
        </w:tc>
        <w:tc>
          <w:tcPr>
            <w:tcW w:w="974" w:type="dxa"/>
          </w:tcPr>
          <w:p w:rsidR="00FF5C8A" w:rsidRDefault="00FF5C8A" w:rsidP="005D2E65">
            <w:r>
              <w:t>C</w:t>
            </w:r>
          </w:p>
        </w:tc>
        <w:tc>
          <w:tcPr>
            <w:tcW w:w="1215" w:type="dxa"/>
            <w:gridSpan w:val="2"/>
          </w:tcPr>
          <w:p w:rsidR="00FF5C8A" w:rsidRDefault="00FF5C8A" w:rsidP="005D2E65">
            <w:r>
              <w:t>13</w:t>
            </w:r>
          </w:p>
        </w:tc>
        <w:tc>
          <w:tcPr>
            <w:tcW w:w="5785" w:type="dxa"/>
          </w:tcPr>
          <w:p w:rsidR="00FF5C8A" w:rsidRDefault="00FF5C8A" w:rsidP="005D2E65">
            <w:r>
              <w:t>We propose to insert the Mountain Green Cover Index, as it is an indicator that can also be used to monitor the evolution of wetlands. It could appear a s new Row, after the current row 14 “change on the extent of</w:t>
            </w:r>
            <w:r w:rsidR="00F377A3">
              <w:t xml:space="preserve"> wetland as a portion of total mountain area</w:t>
            </w:r>
            <w:r>
              <w:t xml:space="preserve">”. </w:t>
            </w:r>
          </w:p>
        </w:tc>
      </w:tr>
      <w:tr w:rsidR="005D2E65" w:rsidRPr="000C0B6C" w:rsidTr="005D2E65">
        <w:trPr>
          <w:trHeight w:val="224"/>
        </w:trPr>
        <w:tc>
          <w:tcPr>
            <w:tcW w:w="817" w:type="dxa"/>
          </w:tcPr>
          <w:p w:rsidR="005D2E65" w:rsidRPr="000C0B6C" w:rsidRDefault="00E66419" w:rsidP="005D2E65">
            <w:r>
              <w:t>1</w:t>
            </w:r>
          </w:p>
        </w:tc>
        <w:tc>
          <w:tcPr>
            <w:tcW w:w="815" w:type="dxa"/>
          </w:tcPr>
          <w:p w:rsidR="005D2E65" w:rsidRPr="000C0B6C" w:rsidRDefault="00E66419" w:rsidP="005D2E65">
            <w:r>
              <w:t>5</w:t>
            </w:r>
          </w:p>
        </w:tc>
        <w:tc>
          <w:tcPr>
            <w:tcW w:w="974" w:type="dxa"/>
          </w:tcPr>
          <w:p w:rsidR="005D2E65" w:rsidRPr="000C0B6C" w:rsidRDefault="00614C66" w:rsidP="005D2E65">
            <w:r>
              <w:t>C</w:t>
            </w:r>
          </w:p>
        </w:tc>
        <w:tc>
          <w:tcPr>
            <w:tcW w:w="1215" w:type="dxa"/>
            <w:gridSpan w:val="2"/>
          </w:tcPr>
          <w:p w:rsidR="005D2E65" w:rsidRPr="000C0B6C" w:rsidRDefault="00614C66" w:rsidP="005D2E65">
            <w:r>
              <w:t>46-47</w:t>
            </w:r>
          </w:p>
        </w:tc>
        <w:tc>
          <w:tcPr>
            <w:tcW w:w="5785" w:type="dxa"/>
          </w:tcPr>
          <w:p w:rsidR="005D2E65" w:rsidRPr="000C0B6C" w:rsidRDefault="00E66419" w:rsidP="00614C66">
            <w:r>
              <w:t>The Indicator on Mountain Diversity Coverage Area should be added</w:t>
            </w:r>
            <w:r w:rsidR="00614C66">
              <w:t xml:space="preserve"> </w:t>
            </w:r>
            <w:r w:rsidR="00FF5C8A">
              <w:t>to</w:t>
            </w:r>
            <w:r w:rsidR="00614C66">
              <w:t xml:space="preserve"> be an indicator for monitoring elements of the “Trends in areas of particular importance for biodiversity conserved”</w:t>
            </w:r>
            <w:r w:rsidR="00FF5C8A">
              <w:t>.</w:t>
            </w:r>
          </w:p>
        </w:tc>
      </w:tr>
      <w:tr w:rsidR="00FF5C8A" w:rsidRPr="000C0B6C" w:rsidTr="00B3763C">
        <w:trPr>
          <w:trHeight w:val="224"/>
        </w:trPr>
        <w:tc>
          <w:tcPr>
            <w:tcW w:w="9606" w:type="dxa"/>
            <w:gridSpan w:val="6"/>
          </w:tcPr>
          <w:p w:rsidR="00FF5C8A" w:rsidRDefault="00FF5C8A" w:rsidP="00614C66">
            <w:r>
              <w:rPr>
                <w:b/>
              </w:rPr>
              <w:t>TABLE 2</w:t>
            </w:r>
            <w:r>
              <w:t xml:space="preserve"> </w:t>
            </w:r>
          </w:p>
        </w:tc>
      </w:tr>
      <w:tr w:rsidR="009C449A" w:rsidRPr="000C0B6C" w:rsidTr="005D2E65">
        <w:trPr>
          <w:trHeight w:val="224"/>
        </w:trPr>
        <w:tc>
          <w:tcPr>
            <w:tcW w:w="817" w:type="dxa"/>
          </w:tcPr>
          <w:p w:rsidR="009C449A" w:rsidRDefault="009C449A" w:rsidP="005D2E65">
            <w:r>
              <w:t>2</w:t>
            </w:r>
          </w:p>
        </w:tc>
        <w:tc>
          <w:tcPr>
            <w:tcW w:w="815" w:type="dxa"/>
          </w:tcPr>
          <w:p w:rsidR="009C449A" w:rsidRDefault="009C449A" w:rsidP="005D2E65">
            <w:r>
              <w:t>8</w:t>
            </w:r>
          </w:p>
        </w:tc>
        <w:tc>
          <w:tcPr>
            <w:tcW w:w="974" w:type="dxa"/>
          </w:tcPr>
          <w:p w:rsidR="009C449A" w:rsidRDefault="009C449A" w:rsidP="005D2E65">
            <w:r>
              <w:t>D</w:t>
            </w:r>
          </w:p>
        </w:tc>
        <w:tc>
          <w:tcPr>
            <w:tcW w:w="1215" w:type="dxa"/>
            <w:gridSpan w:val="2"/>
          </w:tcPr>
          <w:p w:rsidR="009C449A" w:rsidRDefault="009C449A" w:rsidP="005D2E65">
            <w:r>
              <w:t>10</w:t>
            </w:r>
          </w:p>
        </w:tc>
        <w:tc>
          <w:tcPr>
            <w:tcW w:w="5785" w:type="dxa"/>
          </w:tcPr>
          <w:p w:rsidR="009C449A" w:rsidRDefault="009C449A" w:rsidP="009C449A">
            <w:r>
              <w:t>The availability of baseline data and frequency of update for the MGCI is currently changing and is now:</w:t>
            </w:r>
            <w:r>
              <w:br/>
              <w:t xml:space="preserve">2000, 2010, 2015, 2018. This information should be indicated accurately in all the other cases where the </w:t>
            </w:r>
            <w:r w:rsidR="00E65430">
              <w:t>Mountain Green Cover Index</w:t>
            </w:r>
            <w:r>
              <w:t xml:space="preserve"> is mentioned. </w:t>
            </w:r>
          </w:p>
        </w:tc>
      </w:tr>
      <w:tr w:rsidR="005D2E65" w:rsidRPr="000C0B6C" w:rsidTr="005D2E65">
        <w:trPr>
          <w:trHeight w:val="224"/>
        </w:trPr>
        <w:tc>
          <w:tcPr>
            <w:tcW w:w="817" w:type="dxa"/>
          </w:tcPr>
          <w:p w:rsidR="005D2E65" w:rsidRPr="000C0B6C" w:rsidRDefault="00F7272D" w:rsidP="005D2E65">
            <w:r>
              <w:t>2</w:t>
            </w:r>
          </w:p>
        </w:tc>
        <w:tc>
          <w:tcPr>
            <w:tcW w:w="815" w:type="dxa"/>
          </w:tcPr>
          <w:p w:rsidR="005D2E65" w:rsidRPr="000C0B6C" w:rsidRDefault="007464E7" w:rsidP="005D2E65">
            <w:r>
              <w:t>22</w:t>
            </w:r>
          </w:p>
        </w:tc>
        <w:tc>
          <w:tcPr>
            <w:tcW w:w="974" w:type="dxa"/>
          </w:tcPr>
          <w:p w:rsidR="005D2E65" w:rsidRPr="000C0B6C" w:rsidRDefault="007464E7" w:rsidP="005D2E65">
            <w:r>
              <w:t>C</w:t>
            </w:r>
          </w:p>
        </w:tc>
        <w:tc>
          <w:tcPr>
            <w:tcW w:w="1215" w:type="dxa"/>
            <w:gridSpan w:val="2"/>
          </w:tcPr>
          <w:p w:rsidR="005D2E65" w:rsidRPr="000C0B6C" w:rsidRDefault="007464E7" w:rsidP="005D2E65">
            <w:r>
              <w:t>140</w:t>
            </w:r>
          </w:p>
        </w:tc>
        <w:tc>
          <w:tcPr>
            <w:tcW w:w="5785" w:type="dxa"/>
          </w:tcPr>
          <w:p w:rsidR="007464E7" w:rsidRPr="00FF5C8A" w:rsidRDefault="007464E7" w:rsidP="00E65430">
            <w:r>
              <w:t>Option 1.- We propose a new row (</w:t>
            </w:r>
            <w:r w:rsidR="00FF5C8A">
              <w:t xml:space="preserve">currently </w:t>
            </w:r>
            <w:r>
              <w:t xml:space="preserve">140) that should </w:t>
            </w:r>
            <w:r w:rsidR="00E65430">
              <w:t>read</w:t>
            </w:r>
            <w:r>
              <w:t xml:space="preserve"> “trends in contribution to human health and well-being from Mountain Ecosystems”. </w:t>
            </w:r>
            <w:r w:rsidR="00FF5C8A">
              <w:t xml:space="preserve">Mountains do represent </w:t>
            </w:r>
            <w:r w:rsidR="00E65430">
              <w:t xml:space="preserve">about </w:t>
            </w:r>
            <w:r w:rsidR="00FF5C8A">
              <w:t>25% of the tourist destinations but are also increasingly recommended as destination by health practitioners (</w:t>
            </w:r>
            <w:r w:rsidR="00E65430">
              <w:t xml:space="preserve">for </w:t>
            </w:r>
            <w:r w:rsidR="00FF5C8A">
              <w:t>allergies, quality of air, exercise, mental conditions)</w:t>
            </w:r>
            <w:r w:rsidR="00E65430">
              <w:t>.</w:t>
            </w:r>
            <w:r w:rsidR="00FF5C8A">
              <w:t xml:space="preserve"> </w:t>
            </w:r>
            <w:r w:rsidR="00E65430">
              <w:t xml:space="preserve">Mountains </w:t>
            </w:r>
            <w:r w:rsidR="00FF5C8A">
              <w:t>also host a large number of sacred/religious locations (pilgrimages, temples, sacred mountains, sacred volcanos, etc.</w:t>
            </w:r>
            <w:r w:rsidR="00E65430">
              <w:t>)</w:t>
            </w:r>
            <w:r w:rsidR="00FF5C8A">
              <w:t xml:space="preserve"> Covid-19 crisis has increased this trend </w:t>
            </w:r>
            <w:r w:rsidR="00E65430">
              <w:t xml:space="preserve">of seeing mountains as healthy destinations </w:t>
            </w:r>
            <w:r w:rsidR="00FF5C8A">
              <w:t xml:space="preserve">and it is likely that </w:t>
            </w:r>
            <w:r w:rsidR="00E65430">
              <w:t>these</w:t>
            </w:r>
            <w:r w:rsidR="00FF5C8A">
              <w:t xml:space="preserve"> role</w:t>
            </w:r>
            <w:r w:rsidR="00E65430">
              <w:t>s</w:t>
            </w:r>
            <w:r w:rsidR="00FF5C8A">
              <w:t xml:space="preserve"> and function</w:t>
            </w:r>
            <w:r w:rsidR="00E65430">
              <w:t>s</w:t>
            </w:r>
            <w:r w:rsidR="00FF5C8A">
              <w:t xml:space="preserve"> </w:t>
            </w:r>
            <w:r w:rsidR="00E65430">
              <w:t>will increase.</w:t>
            </w:r>
            <w:r w:rsidR="00FF5C8A">
              <w:t xml:space="preserve"> </w:t>
            </w:r>
          </w:p>
        </w:tc>
      </w:tr>
      <w:tr w:rsidR="005D2E65" w:rsidRPr="000C0B6C" w:rsidTr="005D2E65">
        <w:trPr>
          <w:trHeight w:val="224"/>
        </w:trPr>
        <w:tc>
          <w:tcPr>
            <w:tcW w:w="817" w:type="dxa"/>
          </w:tcPr>
          <w:p w:rsidR="005D2E65" w:rsidRPr="000C0B6C" w:rsidRDefault="007464E7" w:rsidP="005D2E65">
            <w:r>
              <w:t>2</w:t>
            </w:r>
          </w:p>
        </w:tc>
        <w:tc>
          <w:tcPr>
            <w:tcW w:w="815" w:type="dxa"/>
          </w:tcPr>
          <w:p w:rsidR="005D2E65" w:rsidRPr="000C0B6C" w:rsidRDefault="007464E7" w:rsidP="005D2E65">
            <w:r>
              <w:t>22</w:t>
            </w:r>
          </w:p>
        </w:tc>
        <w:tc>
          <w:tcPr>
            <w:tcW w:w="974" w:type="dxa"/>
          </w:tcPr>
          <w:p w:rsidR="005D2E65" w:rsidRPr="000C0B6C" w:rsidRDefault="007464E7" w:rsidP="005D2E65">
            <w:r>
              <w:t>B</w:t>
            </w:r>
          </w:p>
        </w:tc>
        <w:tc>
          <w:tcPr>
            <w:tcW w:w="1215" w:type="dxa"/>
            <w:gridSpan w:val="2"/>
          </w:tcPr>
          <w:p w:rsidR="005D2E65" w:rsidRPr="000C0B6C" w:rsidRDefault="007464E7" w:rsidP="005D2E65">
            <w:r>
              <w:t>135</w:t>
            </w:r>
          </w:p>
        </w:tc>
        <w:tc>
          <w:tcPr>
            <w:tcW w:w="5785" w:type="dxa"/>
          </w:tcPr>
          <w:p w:rsidR="005D2E65" w:rsidRDefault="007464E7" w:rsidP="005D2E65">
            <w:r>
              <w:t xml:space="preserve">Option 2- We propose to draft it as </w:t>
            </w:r>
          </w:p>
          <w:p w:rsidR="007464E7" w:rsidRPr="000C0B6C" w:rsidRDefault="007464E7" w:rsidP="005D2E65">
            <w:r>
              <w:t>“Trends in contribution to human health and well being from other terrestrial ecosystem, in particular</w:t>
            </w:r>
            <w:r w:rsidR="00F7272D">
              <w:t xml:space="preserve"> fragile</w:t>
            </w:r>
            <w:r>
              <w:t xml:space="preserve"> mountain ecosystems.”</w:t>
            </w:r>
          </w:p>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tc>
      </w:tr>
      <w:tr w:rsidR="005D2E65" w:rsidRPr="000C0B6C" w:rsidTr="005D2E65">
        <w:trPr>
          <w:trHeight w:val="224"/>
        </w:trPr>
        <w:tc>
          <w:tcPr>
            <w:tcW w:w="817" w:type="dxa"/>
          </w:tcPr>
          <w:p w:rsidR="005D2E65" w:rsidRPr="000C0B6C" w:rsidRDefault="005D2E65" w:rsidP="005D2E65"/>
        </w:tc>
        <w:tc>
          <w:tcPr>
            <w:tcW w:w="815" w:type="dxa"/>
          </w:tcPr>
          <w:p w:rsidR="005D2E65" w:rsidRPr="000C0B6C" w:rsidRDefault="005D2E65" w:rsidP="005D2E65"/>
        </w:tc>
        <w:tc>
          <w:tcPr>
            <w:tcW w:w="974" w:type="dxa"/>
          </w:tcPr>
          <w:p w:rsidR="005D2E65" w:rsidRPr="000C0B6C" w:rsidRDefault="005D2E65" w:rsidP="005D2E65"/>
        </w:tc>
        <w:tc>
          <w:tcPr>
            <w:tcW w:w="1215" w:type="dxa"/>
            <w:gridSpan w:val="2"/>
          </w:tcPr>
          <w:p w:rsidR="005D2E65" w:rsidRPr="000C0B6C" w:rsidRDefault="005D2E65" w:rsidP="005D2E65"/>
        </w:tc>
        <w:tc>
          <w:tcPr>
            <w:tcW w:w="5785" w:type="dxa"/>
          </w:tcPr>
          <w:p w:rsidR="005D2E65" w:rsidRPr="000C0B6C" w:rsidRDefault="005D2E65" w:rsidP="005D2E65">
            <w:r w:rsidRPr="000C0B6C">
              <w:rPr>
                <w:sz w:val="22"/>
                <w:szCs w:val="22"/>
              </w:rPr>
              <w:t>Additional rows can be added to this table by selecting “Table” followed by “insert” and “rows below”</w:t>
            </w:r>
          </w:p>
        </w:tc>
      </w:tr>
    </w:tbl>
    <w:p w:rsidR="00AA726F" w:rsidRPr="00532BBA" w:rsidRDefault="00AA726F" w:rsidP="00DB71FC">
      <w:pPr>
        <w:pStyle w:val="Default"/>
        <w:jc w:val="center"/>
        <w:rPr>
          <w:b/>
          <w:sz w:val="22"/>
          <w:szCs w:val="22"/>
          <w:u w:val="single"/>
        </w:rPr>
      </w:pPr>
    </w:p>
    <w:p w:rsidR="00AA726F" w:rsidRPr="00624FAA" w:rsidRDefault="00624FAA" w:rsidP="00DB71FC">
      <w:pPr>
        <w:jc w:val="both"/>
        <w:rPr>
          <w:i/>
          <w:szCs w:val="22"/>
        </w:rPr>
      </w:pPr>
      <w:r w:rsidRPr="00624FAA">
        <w:rPr>
          <w:i/>
          <w:sz w:val="22"/>
          <w:szCs w:val="22"/>
        </w:rPr>
        <w:t xml:space="preserve">Comments should be sent by e-mail to </w:t>
      </w:r>
      <w:hyperlink r:id="rId8"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p>
    <w:sectPr w:rsidR="00AA726F" w:rsidRPr="00624FAA" w:rsidSect="00A312D8">
      <w:headerReference w:type="first" r:id="rId9"/>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DB" w:rsidRDefault="004525DB">
      <w:r>
        <w:separator/>
      </w:r>
    </w:p>
  </w:endnote>
  <w:endnote w:type="continuationSeparator" w:id="0">
    <w:p w:rsidR="004525DB" w:rsidRDefault="0045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DB" w:rsidRDefault="004525DB">
      <w:r>
        <w:separator/>
      </w:r>
    </w:p>
  </w:footnote>
  <w:footnote w:type="continuationSeparator" w:id="0">
    <w:p w:rsidR="004525DB" w:rsidRDefault="00452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BAE"/>
    <w:rsid w:val="0000434A"/>
    <w:rsid w:val="0001655B"/>
    <w:rsid w:val="00020CB7"/>
    <w:rsid w:val="0002384F"/>
    <w:rsid w:val="00053583"/>
    <w:rsid w:val="00060F26"/>
    <w:rsid w:val="00082816"/>
    <w:rsid w:val="00090581"/>
    <w:rsid w:val="000968B8"/>
    <w:rsid w:val="000A1EAF"/>
    <w:rsid w:val="000B6228"/>
    <w:rsid w:val="000C0B6C"/>
    <w:rsid w:val="0011369D"/>
    <w:rsid w:val="001208DE"/>
    <w:rsid w:val="00131A78"/>
    <w:rsid w:val="00153018"/>
    <w:rsid w:val="00170A3F"/>
    <w:rsid w:val="001771FC"/>
    <w:rsid w:val="001A7B51"/>
    <w:rsid w:val="001B7642"/>
    <w:rsid w:val="001D3754"/>
    <w:rsid w:val="001E3E11"/>
    <w:rsid w:val="001F34E8"/>
    <w:rsid w:val="00203867"/>
    <w:rsid w:val="00211568"/>
    <w:rsid w:val="002225AC"/>
    <w:rsid w:val="002324A3"/>
    <w:rsid w:val="002337AC"/>
    <w:rsid w:val="00244FE0"/>
    <w:rsid w:val="00247402"/>
    <w:rsid w:val="00290379"/>
    <w:rsid w:val="00290B46"/>
    <w:rsid w:val="00293F53"/>
    <w:rsid w:val="00296B90"/>
    <w:rsid w:val="00297A07"/>
    <w:rsid w:val="002A5D51"/>
    <w:rsid w:val="002A6DA8"/>
    <w:rsid w:val="002B01B5"/>
    <w:rsid w:val="002D065D"/>
    <w:rsid w:val="00305B1F"/>
    <w:rsid w:val="00312698"/>
    <w:rsid w:val="00323670"/>
    <w:rsid w:val="003249B9"/>
    <w:rsid w:val="00332A6E"/>
    <w:rsid w:val="00333F18"/>
    <w:rsid w:val="00335407"/>
    <w:rsid w:val="0033656C"/>
    <w:rsid w:val="00384EB6"/>
    <w:rsid w:val="003A5533"/>
    <w:rsid w:val="003D6BBF"/>
    <w:rsid w:val="003E0BA2"/>
    <w:rsid w:val="003E63A9"/>
    <w:rsid w:val="003F5EC1"/>
    <w:rsid w:val="00404BD3"/>
    <w:rsid w:val="00414177"/>
    <w:rsid w:val="0043164D"/>
    <w:rsid w:val="004525DB"/>
    <w:rsid w:val="00454CE8"/>
    <w:rsid w:val="00463795"/>
    <w:rsid w:val="004710AE"/>
    <w:rsid w:val="00487C28"/>
    <w:rsid w:val="00492A55"/>
    <w:rsid w:val="00495268"/>
    <w:rsid w:val="004B7F67"/>
    <w:rsid w:val="004D0228"/>
    <w:rsid w:val="004E0928"/>
    <w:rsid w:val="004E4BCF"/>
    <w:rsid w:val="004F1EB4"/>
    <w:rsid w:val="00506FCD"/>
    <w:rsid w:val="00517111"/>
    <w:rsid w:val="005310B7"/>
    <w:rsid w:val="00532BBA"/>
    <w:rsid w:val="005469ED"/>
    <w:rsid w:val="0055668B"/>
    <w:rsid w:val="005824FC"/>
    <w:rsid w:val="00585692"/>
    <w:rsid w:val="00590627"/>
    <w:rsid w:val="005932D5"/>
    <w:rsid w:val="005C3F60"/>
    <w:rsid w:val="005D2E65"/>
    <w:rsid w:val="005D5557"/>
    <w:rsid w:val="005E2407"/>
    <w:rsid w:val="005E3B4B"/>
    <w:rsid w:val="005F0260"/>
    <w:rsid w:val="005F5515"/>
    <w:rsid w:val="00600804"/>
    <w:rsid w:val="006056FD"/>
    <w:rsid w:val="00614C66"/>
    <w:rsid w:val="00622EAE"/>
    <w:rsid w:val="00624C82"/>
    <w:rsid w:val="00624FAA"/>
    <w:rsid w:val="00626CE8"/>
    <w:rsid w:val="006356D3"/>
    <w:rsid w:val="00642AC0"/>
    <w:rsid w:val="006545D8"/>
    <w:rsid w:val="00661157"/>
    <w:rsid w:val="006618C3"/>
    <w:rsid w:val="00665BC7"/>
    <w:rsid w:val="00690111"/>
    <w:rsid w:val="006B639A"/>
    <w:rsid w:val="006D1753"/>
    <w:rsid w:val="006D5291"/>
    <w:rsid w:val="006F40ED"/>
    <w:rsid w:val="006F4D56"/>
    <w:rsid w:val="007464E7"/>
    <w:rsid w:val="00750EDF"/>
    <w:rsid w:val="00757A3C"/>
    <w:rsid w:val="00771A33"/>
    <w:rsid w:val="0079367D"/>
    <w:rsid w:val="007A24E9"/>
    <w:rsid w:val="007C0C1B"/>
    <w:rsid w:val="007D13B8"/>
    <w:rsid w:val="007F04C6"/>
    <w:rsid w:val="00801D1A"/>
    <w:rsid w:val="00804363"/>
    <w:rsid w:val="00822516"/>
    <w:rsid w:val="00832E1E"/>
    <w:rsid w:val="00840313"/>
    <w:rsid w:val="00854338"/>
    <w:rsid w:val="008911E7"/>
    <w:rsid w:val="008A2175"/>
    <w:rsid w:val="008B0624"/>
    <w:rsid w:val="008B1C69"/>
    <w:rsid w:val="008D46F4"/>
    <w:rsid w:val="008E5267"/>
    <w:rsid w:val="008E5DA6"/>
    <w:rsid w:val="008F2FFE"/>
    <w:rsid w:val="00945444"/>
    <w:rsid w:val="00947BAE"/>
    <w:rsid w:val="00985B44"/>
    <w:rsid w:val="00990C4C"/>
    <w:rsid w:val="009B53FD"/>
    <w:rsid w:val="009C0234"/>
    <w:rsid w:val="009C449A"/>
    <w:rsid w:val="009D0254"/>
    <w:rsid w:val="009D02A0"/>
    <w:rsid w:val="009E5F12"/>
    <w:rsid w:val="009E7EB7"/>
    <w:rsid w:val="009F28E0"/>
    <w:rsid w:val="009F62C7"/>
    <w:rsid w:val="00A2000C"/>
    <w:rsid w:val="00A312D8"/>
    <w:rsid w:val="00A35A86"/>
    <w:rsid w:val="00A62047"/>
    <w:rsid w:val="00AA45C5"/>
    <w:rsid w:val="00AA726F"/>
    <w:rsid w:val="00AC73F7"/>
    <w:rsid w:val="00AD5D83"/>
    <w:rsid w:val="00AE6FEC"/>
    <w:rsid w:val="00AF6208"/>
    <w:rsid w:val="00B0290E"/>
    <w:rsid w:val="00B02B94"/>
    <w:rsid w:val="00B06B2E"/>
    <w:rsid w:val="00B3763C"/>
    <w:rsid w:val="00B411D0"/>
    <w:rsid w:val="00B65D31"/>
    <w:rsid w:val="00B721FB"/>
    <w:rsid w:val="00B76BE3"/>
    <w:rsid w:val="00B93D50"/>
    <w:rsid w:val="00BC09B3"/>
    <w:rsid w:val="00BC3D9A"/>
    <w:rsid w:val="00C0100A"/>
    <w:rsid w:val="00C115A2"/>
    <w:rsid w:val="00C60611"/>
    <w:rsid w:val="00C62216"/>
    <w:rsid w:val="00C65EF1"/>
    <w:rsid w:val="00C73F78"/>
    <w:rsid w:val="00C813ED"/>
    <w:rsid w:val="00C9464F"/>
    <w:rsid w:val="00CA3CDA"/>
    <w:rsid w:val="00CB31A6"/>
    <w:rsid w:val="00CB6CB9"/>
    <w:rsid w:val="00CC2309"/>
    <w:rsid w:val="00CF16C6"/>
    <w:rsid w:val="00D14A88"/>
    <w:rsid w:val="00D17C13"/>
    <w:rsid w:val="00D5253A"/>
    <w:rsid w:val="00D72B8D"/>
    <w:rsid w:val="00D8033C"/>
    <w:rsid w:val="00D9146A"/>
    <w:rsid w:val="00D9467E"/>
    <w:rsid w:val="00DB71FC"/>
    <w:rsid w:val="00DC1FCD"/>
    <w:rsid w:val="00DC466F"/>
    <w:rsid w:val="00DC7317"/>
    <w:rsid w:val="00DD3897"/>
    <w:rsid w:val="00E034BA"/>
    <w:rsid w:val="00E14C4F"/>
    <w:rsid w:val="00E30301"/>
    <w:rsid w:val="00E47EE6"/>
    <w:rsid w:val="00E542DB"/>
    <w:rsid w:val="00E6426D"/>
    <w:rsid w:val="00E65430"/>
    <w:rsid w:val="00E66419"/>
    <w:rsid w:val="00E74140"/>
    <w:rsid w:val="00E77899"/>
    <w:rsid w:val="00E80F46"/>
    <w:rsid w:val="00E86A51"/>
    <w:rsid w:val="00EA18E2"/>
    <w:rsid w:val="00EC787C"/>
    <w:rsid w:val="00EF0A16"/>
    <w:rsid w:val="00EF306B"/>
    <w:rsid w:val="00F16439"/>
    <w:rsid w:val="00F35F42"/>
    <w:rsid w:val="00F377A3"/>
    <w:rsid w:val="00F50B9D"/>
    <w:rsid w:val="00F54888"/>
    <w:rsid w:val="00F55E0E"/>
    <w:rsid w:val="00F60126"/>
    <w:rsid w:val="00F61250"/>
    <w:rsid w:val="00F7272D"/>
    <w:rsid w:val="00F763ED"/>
    <w:rsid w:val="00F91F01"/>
    <w:rsid w:val="00FD7120"/>
    <w:rsid w:val="00FE0B76"/>
    <w:rsid w:val="00FF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FC"/>
    <w:rPr>
      <w:sz w:val="24"/>
      <w:szCs w:val="24"/>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Mencisenseresoldre">
    <w:name w:val="Menció sense resoldre"/>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BCA3-5C04-4900-A73A-D36A1E77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4</Pages>
  <Words>1104</Words>
  <Characters>6293</Characters>
  <Application>Microsoft Office Word</Application>
  <DocSecurity>0</DocSecurity>
  <Lines>52</Lines>
  <Paragraphs>14</Paragraphs>
  <ScaleCrop>false</ScaleCrop>
  <HeadingPairs>
    <vt:vector size="6" baseType="variant">
      <vt:variant>
        <vt:lpstr>Title</vt:lpstr>
      </vt:variant>
      <vt:variant>
        <vt:i4>1</vt:i4>
      </vt:variant>
      <vt:variant>
        <vt:lpstr>Títol</vt:lpstr>
      </vt:variant>
      <vt:variant>
        <vt:i4>1</vt:i4>
      </vt:variant>
      <vt:variant>
        <vt:lpstr>Titolo</vt:lpstr>
      </vt:variant>
      <vt:variant>
        <vt:i4>1</vt:i4>
      </vt:variant>
    </vt:vector>
  </HeadingPairs>
  <TitlesOfParts>
    <vt:vector size="3" baseType="lpstr">
      <vt:lpstr>Guidelines for the review of the technical background documents</vt:lpstr>
      <vt:lpstr>Guidelines for the review of the technical background documents</vt:lpstr>
      <vt:lpstr>Guidelines for the review of the technical background documents</vt:lpstr>
    </vt:vector>
  </TitlesOfParts>
  <LinksUpToDate>false</LinksUpToDate>
  <CharactersWithSpaces>7383</CharactersWithSpaces>
  <SharedDoc>false</SharedDoc>
  <HLinks>
    <vt:vector size="30" baseType="variant">
      <vt:variant>
        <vt:i4>7405656</vt:i4>
      </vt:variant>
      <vt:variant>
        <vt:i4>6</vt:i4>
      </vt:variant>
      <vt:variant>
        <vt:i4>0</vt:i4>
      </vt:variant>
      <vt:variant>
        <vt:i4>5</vt:i4>
      </vt:variant>
      <vt:variant>
        <vt:lpwstr>mailto:secretariat@cbd.int</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dc:description/>
  <cp:lastModifiedBy/>
  <cp:revision>1</cp:revision>
  <dcterms:created xsi:type="dcterms:W3CDTF">2020-07-28T15:42:00Z</dcterms:created>
  <dcterms:modified xsi:type="dcterms:W3CDTF">2020-07-28T15:47:00Z</dcterms:modified>
</cp:coreProperties>
</file>