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018" w:rsidRDefault="00332770" w:rsidP="00CB414D">
      <w:pPr>
        <w:jc w:val="center"/>
      </w:pPr>
      <w:r>
        <w:rPr>
          <w:noProof/>
          <w:lang w:val="es-CR"/>
        </w:rPr>
        <w:drawing>
          <wp:inline distT="0" distB="0" distL="0" distR="0">
            <wp:extent cx="2566920" cy="256692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566920" cy="2566920"/>
                    </a:xfrm>
                    <a:prstGeom prst="rect">
                      <a:avLst/>
                    </a:prstGeom>
                    <a:ln/>
                  </pic:spPr>
                </pic:pic>
              </a:graphicData>
            </a:graphic>
          </wp:inline>
        </w:drawing>
      </w:r>
    </w:p>
    <w:p w:rsidR="007A1018" w:rsidRDefault="007A1018">
      <w:pPr>
        <w:jc w:val="both"/>
      </w:pPr>
    </w:p>
    <w:p w:rsidR="007A1018" w:rsidRDefault="007A1018">
      <w:pPr>
        <w:jc w:val="both"/>
      </w:pPr>
    </w:p>
    <w:p w:rsidR="007A1018" w:rsidRDefault="007A1018">
      <w:pPr>
        <w:jc w:val="both"/>
        <w:rPr>
          <w:sz w:val="48"/>
          <w:szCs w:val="48"/>
        </w:rPr>
      </w:pPr>
    </w:p>
    <w:p w:rsidR="007A1018" w:rsidRDefault="00332770" w:rsidP="00CB414D">
      <w:pPr>
        <w:jc w:val="center"/>
        <w:rPr>
          <w:sz w:val="48"/>
          <w:szCs w:val="48"/>
        </w:rPr>
      </w:pPr>
      <w:r>
        <w:rPr>
          <w:sz w:val="48"/>
          <w:szCs w:val="48"/>
        </w:rPr>
        <w:t>SUBMISION DE LA REPUBLICA DE</w:t>
      </w:r>
    </w:p>
    <w:p w:rsidR="007A1018" w:rsidRDefault="00332770" w:rsidP="00CB414D">
      <w:pPr>
        <w:jc w:val="center"/>
        <w:rPr>
          <w:sz w:val="48"/>
          <w:szCs w:val="48"/>
        </w:rPr>
      </w:pPr>
      <w:r>
        <w:rPr>
          <w:sz w:val="48"/>
          <w:szCs w:val="48"/>
        </w:rPr>
        <w:t>COSTA RICA</w:t>
      </w:r>
    </w:p>
    <w:p w:rsidR="005401A0" w:rsidRDefault="00F64702" w:rsidP="00CB414D">
      <w:pPr>
        <w:jc w:val="center"/>
        <w:rPr>
          <w:sz w:val="36"/>
          <w:szCs w:val="36"/>
        </w:rPr>
      </w:pPr>
      <w:r>
        <w:rPr>
          <w:sz w:val="36"/>
          <w:szCs w:val="36"/>
        </w:rPr>
        <w:t xml:space="preserve">Documento </w:t>
      </w:r>
      <w:r w:rsidRPr="00F64702">
        <w:rPr>
          <w:sz w:val="36"/>
          <w:szCs w:val="36"/>
        </w:rPr>
        <w:t>CBD/SBSTTA/24/3/Add.2</w:t>
      </w:r>
      <w:r w:rsidR="00332770">
        <w:rPr>
          <w:sz w:val="36"/>
          <w:szCs w:val="36"/>
        </w:rPr>
        <w:t xml:space="preserve"> </w:t>
      </w:r>
    </w:p>
    <w:p w:rsidR="007A1018" w:rsidRDefault="00332770" w:rsidP="00CB414D">
      <w:pPr>
        <w:jc w:val="center"/>
        <w:rPr>
          <w:sz w:val="36"/>
          <w:szCs w:val="36"/>
        </w:rPr>
      </w:pPr>
      <w:proofErr w:type="spellStart"/>
      <w:r>
        <w:rPr>
          <w:sz w:val="36"/>
          <w:szCs w:val="36"/>
        </w:rPr>
        <w:t>Item</w:t>
      </w:r>
      <w:proofErr w:type="spellEnd"/>
      <w:r>
        <w:rPr>
          <w:sz w:val="36"/>
          <w:szCs w:val="36"/>
        </w:rPr>
        <w:t xml:space="preserve"> 3 Agenda en la Reunión XXIV del Órgano Subsidiario Científico, Técnico y Tecnológico</w:t>
      </w:r>
    </w:p>
    <w:p w:rsidR="007A1018" w:rsidRDefault="00332770" w:rsidP="00CB414D">
      <w:pPr>
        <w:jc w:val="center"/>
        <w:rPr>
          <w:sz w:val="36"/>
          <w:szCs w:val="36"/>
        </w:rPr>
      </w:pPr>
      <w:r>
        <w:rPr>
          <w:sz w:val="36"/>
          <w:szCs w:val="36"/>
        </w:rPr>
        <w:t>“</w:t>
      </w:r>
      <w:r w:rsidR="00F64702" w:rsidRPr="00F64702">
        <w:rPr>
          <w:sz w:val="36"/>
          <w:szCs w:val="36"/>
        </w:rPr>
        <w:t>Marco mundial de la diversidad biológica posterior a 2020</w:t>
      </w:r>
      <w:r>
        <w:rPr>
          <w:sz w:val="36"/>
          <w:szCs w:val="36"/>
        </w:rPr>
        <w:t>”</w:t>
      </w:r>
    </w:p>
    <w:p w:rsidR="007A1018" w:rsidRDefault="007A1018" w:rsidP="00CB414D">
      <w:pPr>
        <w:jc w:val="center"/>
        <w:rPr>
          <w:sz w:val="48"/>
          <w:szCs w:val="48"/>
        </w:rPr>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7A1018">
      <w:pPr>
        <w:jc w:val="both"/>
      </w:pPr>
    </w:p>
    <w:p w:rsidR="007A1018" w:rsidRDefault="00332770">
      <w:pPr>
        <w:jc w:val="both"/>
      </w:pPr>
      <w:r>
        <w:rPr>
          <w:noProof/>
          <w:lang w:val="es-CR"/>
        </w:rPr>
        <mc:AlternateContent>
          <mc:Choice Requires="wpg">
            <w:drawing>
              <wp:anchor distT="0" distB="0" distL="114300" distR="114300" simplePos="0" relativeHeight="251658240" behindDoc="0" locked="0" layoutInCell="1" hidden="0" allowOverlap="1">
                <wp:simplePos x="0" y="0"/>
                <wp:positionH relativeFrom="column">
                  <wp:posOffset>-4457699</wp:posOffset>
                </wp:positionH>
                <wp:positionV relativeFrom="paragraph">
                  <wp:posOffset>495300</wp:posOffset>
                </wp:positionV>
                <wp:extent cx="3006475" cy="38100"/>
                <wp:effectExtent l="0" t="0" r="0" b="0"/>
                <wp:wrapNone/>
                <wp:docPr id="1" name="Conector recto de flecha 1"/>
                <wp:cNvGraphicFramePr/>
                <a:graphic xmlns:a="http://schemas.openxmlformats.org/drawingml/2006/main">
                  <a:graphicData uri="http://schemas.microsoft.com/office/word/2010/wordprocessingShape">
                    <wps:wsp>
                      <wps:cNvCnPr/>
                      <wps:spPr>
                        <a:xfrm>
                          <a:off x="3842763" y="3780000"/>
                          <a:ext cx="3006475" cy="0"/>
                        </a:xfrm>
                        <a:prstGeom prst="straightConnector1">
                          <a:avLst/>
                        </a:prstGeom>
                        <a:noFill/>
                        <a:ln w="38100" cap="flat" cmpd="sng">
                          <a:solidFill>
                            <a:schemeClr val="lt2"/>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-4457699</wp:posOffset>
                </wp:positionH>
                <wp:positionV relativeFrom="paragraph">
                  <wp:posOffset>495300</wp:posOffset>
                </wp:positionV>
                <wp:extent cx="3006475" cy="38100"/>
                <wp:effectExtent b="0" l="0" r="0" t="0"/>
                <wp:wrapNone/>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006475" cy="38100"/>
                        </a:xfrm>
                        <a:prstGeom prst="rect"/>
                        <a:ln/>
                      </pic:spPr>
                    </pic:pic>
                  </a:graphicData>
                </a:graphic>
              </wp:anchor>
            </w:drawing>
          </mc:Fallback>
        </mc:AlternateContent>
      </w:r>
    </w:p>
    <w:p w:rsidR="007A1018" w:rsidRDefault="007A1018">
      <w:pPr>
        <w:jc w:val="both"/>
      </w:pPr>
    </w:p>
    <w:p w:rsidR="007A1018" w:rsidRDefault="00332770">
      <w:pPr>
        <w:jc w:val="both"/>
      </w:pPr>
      <w:r>
        <w:tab/>
      </w:r>
      <w:r>
        <w:tab/>
      </w:r>
      <w:r>
        <w:tab/>
      </w:r>
      <w:r>
        <w:tab/>
      </w:r>
    </w:p>
    <w:p w:rsidR="007A1018" w:rsidRDefault="007A1018">
      <w:pPr>
        <w:jc w:val="both"/>
      </w:pPr>
    </w:p>
    <w:p w:rsidR="007A1018" w:rsidRDefault="00332770">
      <w:pPr>
        <w:jc w:val="both"/>
      </w:pPr>
      <w:r>
        <w:rPr>
          <w:noProof/>
          <w:lang w:val="es-CR"/>
        </w:rPr>
        <w:drawing>
          <wp:inline distT="0" distB="0" distL="0" distR="0">
            <wp:extent cx="2154204" cy="513864"/>
            <wp:effectExtent l="0" t="0" r="0" b="0"/>
            <wp:docPr id="4" name="image3.jpg" descr="CBD &amp; WHO « Biodiversity &amp; Community Health"/>
            <wp:cNvGraphicFramePr/>
            <a:graphic xmlns:a="http://schemas.openxmlformats.org/drawingml/2006/main">
              <a:graphicData uri="http://schemas.openxmlformats.org/drawingml/2006/picture">
                <pic:pic xmlns:pic="http://schemas.openxmlformats.org/drawingml/2006/picture">
                  <pic:nvPicPr>
                    <pic:cNvPr id="0" name="image3.jpg" descr="CBD &amp; WHO « Biodiversity &amp; Community Health"/>
                    <pic:cNvPicPr preferRelativeResize="0"/>
                  </pic:nvPicPr>
                  <pic:blipFill>
                    <a:blip r:embed="rId9"/>
                    <a:srcRect/>
                    <a:stretch>
                      <a:fillRect/>
                    </a:stretch>
                  </pic:blipFill>
                  <pic:spPr>
                    <a:xfrm>
                      <a:off x="0" y="0"/>
                      <a:ext cx="2154204" cy="513864"/>
                    </a:xfrm>
                    <a:prstGeom prst="rect">
                      <a:avLst/>
                    </a:prstGeom>
                    <a:ln/>
                  </pic:spPr>
                </pic:pic>
              </a:graphicData>
            </a:graphic>
          </wp:inline>
        </w:drawing>
      </w:r>
      <w:r>
        <w:rPr>
          <w:noProof/>
          <w:lang w:val="es-CR"/>
        </w:rPr>
        <w:drawing>
          <wp:inline distT="0" distB="0" distL="0" distR="0">
            <wp:extent cx="2108200" cy="8382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108200" cy="838200"/>
                    </a:xfrm>
                    <a:prstGeom prst="rect">
                      <a:avLst/>
                    </a:prstGeom>
                    <a:ln/>
                  </pic:spPr>
                </pic:pic>
              </a:graphicData>
            </a:graphic>
          </wp:inline>
        </w:drawing>
      </w:r>
    </w:p>
    <w:p w:rsidR="007A1018" w:rsidRDefault="007A1018">
      <w:pPr>
        <w:jc w:val="both"/>
      </w:pPr>
    </w:p>
    <w:p w:rsidR="007A1018" w:rsidRDefault="007A1018">
      <w:pPr>
        <w:jc w:val="both"/>
      </w:pPr>
    </w:p>
    <w:p w:rsidR="007A1018" w:rsidRDefault="007A1018">
      <w:pPr>
        <w:jc w:val="both"/>
      </w:pPr>
    </w:p>
    <w:p w:rsidR="007A1018" w:rsidRDefault="00332770" w:rsidP="005401A0">
      <w:pPr>
        <w:jc w:val="both"/>
      </w:pPr>
      <w:r>
        <w:t>Costa Rica agradece la oportunidad de compartir su visión respecto a</w:t>
      </w:r>
      <w:r w:rsidR="00691AE3">
        <w:t>l</w:t>
      </w:r>
      <w:r>
        <w:t xml:space="preserve"> doc</w:t>
      </w:r>
      <w:r w:rsidR="00FB6C67">
        <w:t>umen</w:t>
      </w:r>
      <w:r w:rsidR="00691AE3">
        <w:t xml:space="preserve">to </w:t>
      </w:r>
      <w:r w:rsidR="00691AE3" w:rsidRPr="00691AE3">
        <w:t>CBD/SBSTTA/24/3/Add.2</w:t>
      </w:r>
      <w:r w:rsidR="00691AE3">
        <w:t>, señalado en la notificación</w:t>
      </w:r>
      <w:r>
        <w:t xml:space="preserve"> </w:t>
      </w:r>
      <w:r w:rsidR="00691AE3">
        <w:t>2021-012</w:t>
      </w:r>
      <w:r>
        <w:t>, a saber: “</w:t>
      </w:r>
      <w:r w:rsidR="005401A0">
        <w:t>Información científica y técnica para apoyar el examen de los objetivos y metas propuestos en el borrador preliminar actualizado del Marco Mundial de la Diversidad Biológica posterior a 2020</w:t>
      </w:r>
      <w:r w:rsidR="00691AE3">
        <w:t>”</w:t>
      </w:r>
      <w:r>
        <w:t>.</w:t>
      </w:r>
    </w:p>
    <w:p w:rsidR="007A1018" w:rsidRDefault="007A1018">
      <w:pPr>
        <w:jc w:val="both"/>
      </w:pPr>
    </w:p>
    <w:p w:rsidR="007A1018" w:rsidRDefault="00332770">
      <w:pPr>
        <w:jc w:val="both"/>
      </w:pPr>
      <w:r>
        <w:t xml:space="preserve">Respecto a </w:t>
      </w:r>
      <w:r w:rsidR="00691AE3">
        <w:t xml:space="preserve">esta sumisión, </w:t>
      </w:r>
      <w:r>
        <w:t>consideramos oportuno hacer las siguientes consideraciones generales:</w:t>
      </w:r>
    </w:p>
    <w:p w:rsidR="007A1018" w:rsidRDefault="007A1018">
      <w:pPr>
        <w:jc w:val="both"/>
      </w:pPr>
    </w:p>
    <w:p w:rsidR="007A1018" w:rsidRPr="00191D38" w:rsidRDefault="00332770" w:rsidP="00191D38">
      <w:pPr>
        <w:pStyle w:val="Prrafodelista"/>
        <w:numPr>
          <w:ilvl w:val="0"/>
          <w:numId w:val="3"/>
        </w:numPr>
        <w:jc w:val="both"/>
        <w:rPr>
          <w:lang w:val="es-CR"/>
        </w:rPr>
      </w:pPr>
      <w:r w:rsidRPr="00191D38">
        <w:rPr>
          <w:lang w:val="es-CR"/>
        </w:rPr>
        <w:t xml:space="preserve">Las recomendaciones técnicas que Costa Rica plantea en este documento no necesariamente representan aceptación de </w:t>
      </w:r>
      <w:r w:rsidR="00191D38" w:rsidRPr="00191D38">
        <w:rPr>
          <w:lang w:val="es-CR"/>
        </w:rPr>
        <w:t>lo siguiente:</w:t>
      </w:r>
      <w:r w:rsidR="00191D38">
        <w:rPr>
          <w:lang w:val="es-CR"/>
        </w:rPr>
        <w:t xml:space="preserve"> objetivos, </w:t>
      </w:r>
      <w:r w:rsidR="007A3253" w:rsidRPr="00191D38">
        <w:rPr>
          <w:lang w:val="es-CR"/>
        </w:rPr>
        <w:t xml:space="preserve">metas, </w:t>
      </w:r>
      <w:r w:rsidRPr="00191D38">
        <w:rPr>
          <w:lang w:val="es-CR"/>
        </w:rPr>
        <w:t>la estructura general de articulación entre metas e in</w:t>
      </w:r>
      <w:r w:rsidR="00191D38">
        <w:rPr>
          <w:lang w:val="es-CR"/>
        </w:rPr>
        <w:t xml:space="preserve">dicadores, </w:t>
      </w:r>
      <w:r w:rsidRPr="00191D38">
        <w:rPr>
          <w:lang w:val="es-CR"/>
        </w:rPr>
        <w:t>componentes de las metas</w:t>
      </w:r>
      <w:r w:rsidR="00191D38">
        <w:rPr>
          <w:lang w:val="es-CR"/>
        </w:rPr>
        <w:t xml:space="preserve"> 2030</w:t>
      </w:r>
      <w:r w:rsidRPr="00191D38">
        <w:rPr>
          <w:lang w:val="es-CR"/>
        </w:rPr>
        <w:t xml:space="preserve">. </w:t>
      </w:r>
    </w:p>
    <w:p w:rsidR="007A1018" w:rsidRDefault="007A1018">
      <w:pPr>
        <w:jc w:val="both"/>
      </w:pPr>
    </w:p>
    <w:p w:rsidR="007A1018" w:rsidRDefault="00332770" w:rsidP="00191D38">
      <w:pPr>
        <w:pStyle w:val="Prrafodelista"/>
        <w:numPr>
          <w:ilvl w:val="0"/>
          <w:numId w:val="3"/>
        </w:numPr>
        <w:jc w:val="both"/>
      </w:pPr>
      <w:r>
        <w:t xml:space="preserve">Costa Rica desea aprovechar la oportunidad para recordarle a las Partes, la importancia de la incorporación </w:t>
      </w:r>
      <w:r w:rsidR="00191D38">
        <w:t xml:space="preserve">y reconocimiento </w:t>
      </w:r>
      <w:proofErr w:type="gramStart"/>
      <w:r w:rsidR="00191D38">
        <w:t>del</w:t>
      </w:r>
      <w:proofErr w:type="gramEnd"/>
      <w:r w:rsidR="00191D38">
        <w:t xml:space="preserve"> rol </w:t>
      </w:r>
      <w:r>
        <w:t xml:space="preserve">de los pueblos indígenas y comunidades locales en los diferentes ámbitos del Post 2020.  </w:t>
      </w:r>
    </w:p>
    <w:p w:rsidR="007A1018" w:rsidRDefault="007A1018">
      <w:pPr>
        <w:jc w:val="both"/>
      </w:pPr>
    </w:p>
    <w:p w:rsidR="00191D38" w:rsidRDefault="00191D38" w:rsidP="00191D38">
      <w:pPr>
        <w:pStyle w:val="Prrafodelista"/>
        <w:numPr>
          <w:ilvl w:val="0"/>
          <w:numId w:val="3"/>
        </w:numPr>
        <w:jc w:val="both"/>
      </w:pPr>
      <w:r>
        <w:t xml:space="preserve">Costa Rica desea aprovechar esta oportunidad para resaltar la importancia de incluir en el </w:t>
      </w:r>
      <w:proofErr w:type="gramStart"/>
      <w:r>
        <w:t>marco</w:t>
      </w:r>
      <w:proofErr w:type="gramEnd"/>
      <w:r>
        <w:t xml:space="preserve"> estratégico una meta específica para género, y los indicadores respectivos. En género los indicadores permiten verificar si existe inequidad o equidad entre hombres y mujeres, dónde y cómo ocurren las diferenciaciones de género, y cómo varían con el tiempo.  Los indicadores de género ofrecen la posibilidad de generar información sistemática y robusta para que los tomadores de decisiones ajusten las políticas públicas para ver los avances en la equidad de género. </w:t>
      </w:r>
      <w:r w:rsidRPr="00191D38">
        <w:rPr>
          <w:lang w:val="es-CR"/>
        </w:rPr>
        <w:t xml:space="preserve">Los indicadores de equidad permiten </w:t>
      </w:r>
      <w:r w:rsidRPr="00191D38">
        <w:rPr>
          <w:lang w:val="es-CR"/>
        </w:rPr>
        <w:t xml:space="preserve">evaluar, entre otros aspectos, </w:t>
      </w:r>
      <w:r w:rsidRPr="00191D38">
        <w:rPr>
          <w:lang w:val="es-CR"/>
        </w:rPr>
        <w:t xml:space="preserve">la equidad de género de una comunidad con relación a otras comunidades, provincias, regiones o países, -cambios en las relaciones de poder y en las condiciones de vida entre mujeres y hombres a través del tiempo, -el acceso, uso y control de los recursos, y la distribución de costos y beneficios, etc. </w:t>
      </w:r>
      <w:r>
        <w:t xml:space="preserve">De </w:t>
      </w:r>
      <w:proofErr w:type="spellStart"/>
      <w:r>
        <w:t>ahí</w:t>
      </w:r>
      <w:proofErr w:type="spellEnd"/>
      <w:r>
        <w:t xml:space="preserve"> que, a lo largo de todos los foros de las negociaciones </w:t>
      </w:r>
      <w:proofErr w:type="gramStart"/>
      <w:r>
        <w:t>del</w:t>
      </w:r>
      <w:proofErr w:type="gramEnd"/>
      <w:r>
        <w:t xml:space="preserve"> Post 2020 en el CBD, nuestro país continuará haciendo un especial énfasis en el tema de género.   </w:t>
      </w:r>
      <w:proofErr w:type="gramStart"/>
      <w:r>
        <w:t>En este sentido, se recalca el apoyo del país a la siguiente meta: “Asegurar, monitorear y reportar en i-equidad en acceso a recursos biológicos, ii-distribución justa y equitativa de los beneficios de los recursos relevantes y iii-mujeres y niñas con igual involucramiento y liderazgo en todos los niveles de toma de decisiones y procesos de gobernanza en apoyo de los objetivos del Convenio.”</w:t>
      </w:r>
      <w:proofErr w:type="gramEnd"/>
    </w:p>
    <w:p w:rsidR="00191D38" w:rsidRDefault="00191D38">
      <w:pPr>
        <w:jc w:val="both"/>
      </w:pPr>
    </w:p>
    <w:p w:rsidR="001A45D9" w:rsidRDefault="001A45D9">
      <w:pPr>
        <w:jc w:val="both"/>
      </w:pPr>
      <w:bookmarkStart w:id="0" w:name="_gjdgxs" w:colFirst="0" w:colLast="0"/>
      <w:bookmarkEnd w:id="0"/>
    </w:p>
    <w:p w:rsidR="001A45D9" w:rsidRDefault="001A45D9" w:rsidP="001A45D9">
      <w:pPr>
        <w:ind w:right="44"/>
        <w:jc w:val="both"/>
        <w:rPr>
          <w:sz w:val="22"/>
          <w:szCs w:val="22"/>
          <w:lang w:val="fr-FR"/>
        </w:rPr>
      </w:pPr>
    </w:p>
    <w:p w:rsidR="001A45D9" w:rsidRPr="008F5DC5" w:rsidRDefault="001A45D9" w:rsidP="001A45D9">
      <w:pPr>
        <w:pStyle w:val="Prrafodelista"/>
        <w:rPr>
          <w:sz w:val="22"/>
          <w:szCs w:val="22"/>
          <w:lang w:val="es-CR"/>
        </w:rPr>
      </w:pPr>
    </w:p>
    <w:p w:rsidR="001A45D9" w:rsidRDefault="001A45D9" w:rsidP="001A45D9">
      <w:pPr>
        <w:pStyle w:val="Default"/>
        <w:jc w:val="center"/>
        <w:rPr>
          <w:b/>
          <w:sz w:val="22"/>
          <w:szCs w:val="22"/>
          <w:u w:val="single"/>
        </w:rPr>
      </w:pPr>
      <w:r>
        <w:rPr>
          <w:b/>
          <w:sz w:val="22"/>
          <w:szCs w:val="22"/>
          <w:u w:val="single"/>
        </w:rPr>
        <w:t>TEMPLATE FOR COMMENTS</w:t>
      </w:r>
    </w:p>
    <w:p w:rsidR="001A45D9" w:rsidRPr="00532BBA" w:rsidRDefault="001A45D9" w:rsidP="001A45D9">
      <w:pPr>
        <w:pStyle w:val="Default"/>
        <w:jc w:val="center"/>
        <w:rPr>
          <w:b/>
          <w:sz w:val="22"/>
          <w:szCs w:val="22"/>
          <w:u w:val="singl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305"/>
        <w:gridCol w:w="2004"/>
        <w:gridCol w:w="5225"/>
      </w:tblGrid>
      <w:tr w:rsidR="00F64702" w:rsidRPr="000C0B6C" w:rsidTr="00F64702">
        <w:trPr>
          <w:trHeight w:val="233"/>
        </w:trPr>
        <w:tc>
          <w:tcPr>
            <w:tcW w:w="9351" w:type="dxa"/>
            <w:gridSpan w:val="4"/>
            <w:shd w:val="clear" w:color="auto" w:fill="C0C0C0"/>
          </w:tcPr>
          <w:p w:rsidR="00F64702" w:rsidRPr="000C0B6C" w:rsidRDefault="00F64702" w:rsidP="00317D6E">
            <w:pPr>
              <w:jc w:val="center"/>
              <w:rPr>
                <w:i/>
              </w:rPr>
            </w:pPr>
            <w:proofErr w:type="spellStart"/>
            <w:r w:rsidRPr="000C0B6C">
              <w:rPr>
                <w:i/>
              </w:rPr>
              <w:t>Contact</w:t>
            </w:r>
            <w:proofErr w:type="spellEnd"/>
            <w:r w:rsidRPr="000C0B6C">
              <w:rPr>
                <w:i/>
              </w:rPr>
              <w:t xml:space="preserve"> </w:t>
            </w:r>
            <w:proofErr w:type="spellStart"/>
            <w:r w:rsidRPr="000C0B6C">
              <w:rPr>
                <w:i/>
              </w:rPr>
              <w:t>information</w:t>
            </w:r>
            <w:proofErr w:type="spellEnd"/>
          </w:p>
        </w:tc>
      </w:tr>
      <w:tr w:rsidR="00F64702" w:rsidRPr="000C0B6C" w:rsidTr="003E1FF7">
        <w:trPr>
          <w:trHeight w:val="27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225" w:type="dxa"/>
          </w:tcPr>
          <w:p w:rsidR="00F64702" w:rsidRPr="000C0B6C" w:rsidRDefault="00F64702" w:rsidP="00317D6E">
            <w:r>
              <w:t>Saborío</w:t>
            </w:r>
            <w:r>
              <w:t xml:space="preserve"> Rodríguez</w:t>
            </w:r>
          </w:p>
        </w:tc>
      </w:tr>
      <w:tr w:rsidR="00F64702" w:rsidRPr="000C0B6C" w:rsidTr="003E1FF7">
        <w:trPr>
          <w:trHeight w:val="27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225" w:type="dxa"/>
          </w:tcPr>
          <w:p w:rsidR="00F64702" w:rsidRPr="000C0B6C" w:rsidRDefault="00F64702" w:rsidP="00317D6E">
            <w:r>
              <w:t>Guido</w:t>
            </w:r>
            <w:r>
              <w:t xml:space="preserve"> Alonso</w:t>
            </w:r>
          </w:p>
        </w:tc>
      </w:tr>
      <w:tr w:rsidR="00F64702" w:rsidRPr="000C0B6C" w:rsidTr="003E1FF7">
        <w:trPr>
          <w:trHeight w:val="28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225" w:type="dxa"/>
          </w:tcPr>
          <w:p w:rsidR="00F64702" w:rsidRPr="000C0B6C" w:rsidRDefault="00F64702" w:rsidP="00317D6E">
            <w:r>
              <w:t>Gobierno de Costa Rica</w:t>
            </w:r>
          </w:p>
        </w:tc>
      </w:tr>
      <w:tr w:rsidR="00F64702" w:rsidRPr="000C0B6C" w:rsidTr="003E1FF7">
        <w:trPr>
          <w:trHeight w:val="27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225" w:type="dxa"/>
          </w:tcPr>
          <w:p w:rsidR="00F64702" w:rsidRPr="000C0B6C" w:rsidRDefault="00F64702" w:rsidP="00317D6E">
            <w:r>
              <w:t>Ministerio de Ambiente</w:t>
            </w:r>
            <w:r>
              <w:t xml:space="preserve"> y Energía</w:t>
            </w:r>
          </w:p>
        </w:tc>
      </w:tr>
      <w:tr w:rsidR="00F64702" w:rsidRPr="000C0B6C" w:rsidTr="003E1FF7">
        <w:trPr>
          <w:trHeight w:val="28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225" w:type="dxa"/>
          </w:tcPr>
          <w:p w:rsidR="00F64702" w:rsidRPr="000C0B6C" w:rsidRDefault="00F64702" w:rsidP="00317D6E">
            <w:r>
              <w:t xml:space="preserve">Barrio Gonzalez </w:t>
            </w:r>
            <w:proofErr w:type="spellStart"/>
            <w:r>
              <w:t>Lahman</w:t>
            </w:r>
            <w:r>
              <w:t>n</w:t>
            </w:r>
            <w:proofErr w:type="spellEnd"/>
          </w:p>
        </w:tc>
      </w:tr>
      <w:tr w:rsidR="00F64702" w:rsidRPr="000C0B6C" w:rsidTr="003E1FF7">
        <w:trPr>
          <w:trHeight w:val="27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225" w:type="dxa"/>
          </w:tcPr>
          <w:p w:rsidR="00F64702" w:rsidRPr="000C0B6C" w:rsidRDefault="00F64702" w:rsidP="00317D6E">
            <w:r>
              <w:t>San José</w:t>
            </w:r>
          </w:p>
        </w:tc>
      </w:tr>
      <w:tr w:rsidR="00F64702" w:rsidRPr="000C0B6C" w:rsidTr="003E1FF7">
        <w:trPr>
          <w:trHeight w:val="280"/>
        </w:trPr>
        <w:tc>
          <w:tcPr>
            <w:tcW w:w="4126" w:type="dxa"/>
            <w:gridSpan w:val="3"/>
          </w:tcPr>
          <w:p w:rsidR="00F64702" w:rsidRPr="000C0B6C" w:rsidRDefault="00F64702" w:rsidP="00317D6E">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225" w:type="dxa"/>
          </w:tcPr>
          <w:p w:rsidR="00F64702" w:rsidRPr="000C0B6C" w:rsidRDefault="00F64702" w:rsidP="00317D6E">
            <w:r>
              <w:t>Costa Rica</w:t>
            </w:r>
          </w:p>
        </w:tc>
      </w:tr>
      <w:tr w:rsidR="00F64702" w:rsidRPr="00F64702" w:rsidTr="003E1FF7">
        <w:trPr>
          <w:trHeight w:val="233"/>
        </w:trPr>
        <w:tc>
          <w:tcPr>
            <w:tcW w:w="4126" w:type="dxa"/>
            <w:gridSpan w:val="3"/>
          </w:tcPr>
          <w:p w:rsidR="00F64702" w:rsidRPr="000C0B6C" w:rsidRDefault="00F64702" w:rsidP="00317D6E">
            <w:pPr>
              <w:pStyle w:val="Asuntodelcomentario"/>
              <w:rPr>
                <w:sz w:val="22"/>
                <w:szCs w:val="22"/>
              </w:rPr>
            </w:pPr>
            <w:r w:rsidRPr="000C0B6C">
              <w:rPr>
                <w:sz w:val="22"/>
                <w:szCs w:val="22"/>
              </w:rPr>
              <w:t>E-mail:</w:t>
            </w:r>
          </w:p>
        </w:tc>
        <w:tc>
          <w:tcPr>
            <w:tcW w:w="5225" w:type="dxa"/>
          </w:tcPr>
          <w:p w:rsidR="00F64702" w:rsidRPr="00F64702" w:rsidRDefault="00F64702" w:rsidP="00317D6E">
            <w:pPr>
              <w:rPr>
                <w:lang w:val="en-US"/>
              </w:rPr>
            </w:pPr>
            <w:r w:rsidRPr="00F64702">
              <w:rPr>
                <w:lang w:val="en-US"/>
              </w:rPr>
              <w:t>guido.saborio@sinac.go.cr</w:t>
            </w:r>
          </w:p>
        </w:tc>
      </w:tr>
      <w:tr w:rsidR="00F64702" w:rsidRPr="000C0B6C" w:rsidTr="00F64702">
        <w:trPr>
          <w:trHeight w:val="224"/>
        </w:trPr>
        <w:tc>
          <w:tcPr>
            <w:tcW w:w="9351" w:type="dxa"/>
            <w:gridSpan w:val="4"/>
            <w:shd w:val="clear" w:color="auto" w:fill="C0C0C0"/>
          </w:tcPr>
          <w:p w:rsidR="00F64702" w:rsidRPr="000C0B6C" w:rsidRDefault="00F64702" w:rsidP="00317D6E">
            <w:pPr>
              <w:jc w:val="center"/>
              <w:rPr>
                <w:b/>
                <w:i/>
              </w:rPr>
            </w:pPr>
            <w:r>
              <w:rPr>
                <w:b/>
                <w:i/>
              </w:rPr>
              <w:t xml:space="preserve">General </w:t>
            </w:r>
            <w:proofErr w:type="spellStart"/>
            <w:r>
              <w:rPr>
                <w:b/>
                <w:i/>
              </w:rPr>
              <w:t>comments</w:t>
            </w:r>
            <w:proofErr w:type="spellEnd"/>
          </w:p>
        </w:tc>
      </w:tr>
      <w:tr w:rsidR="00F64702" w:rsidRPr="008A59A4" w:rsidTr="00F64702">
        <w:trPr>
          <w:trHeight w:val="224"/>
        </w:trPr>
        <w:tc>
          <w:tcPr>
            <w:tcW w:w="9351" w:type="dxa"/>
            <w:gridSpan w:val="4"/>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El Marco Mundial de Diversidad Biológica, en su “borrador preliminar actualizado” mantiene una estructura compleja, difícil de entender, monitorear y comunicar. Esto se evidencia en el documento en revisión, en donde se dedican dos secciones completas (III y IV) para proporcionar información que ayude, entre otros, a “</w:t>
            </w:r>
            <w:r w:rsidRPr="00191D38">
              <w:rPr>
                <w:rFonts w:ascii="Arial" w:hAnsi="Arial" w:cs="Arial"/>
                <w:i/>
                <w:sz w:val="22"/>
                <w:szCs w:val="22"/>
                <w:lang w:val="es-CR"/>
              </w:rPr>
              <w:t>determinar de qué manera las metas propuestas se relacionan con los objetivos propuestos</w:t>
            </w:r>
            <w:r w:rsidR="00191D38" w:rsidRPr="00191D38">
              <w:rPr>
                <w:rFonts w:ascii="Arial" w:hAnsi="Arial" w:cs="Arial"/>
                <w:sz w:val="22"/>
                <w:szCs w:val="22"/>
                <w:lang w:val="es-CR"/>
              </w:rPr>
              <w:t>…</w:t>
            </w:r>
            <w:r w:rsidRPr="00191D38">
              <w:rPr>
                <w:rFonts w:ascii="Arial" w:hAnsi="Arial" w:cs="Arial"/>
                <w:sz w:val="22"/>
                <w:szCs w:val="22"/>
                <w:lang w:val="es-CR"/>
              </w:rPr>
              <w:t xml:space="preserve">”. Esto es una evidencia clara de que el documento no articula de forma sencilla cómo las 20 Metas propuestas para el 2030, aportan a los 4 Objetivos planteados para el 2050. </w:t>
            </w:r>
          </w:p>
          <w:p w:rsidR="00F64702" w:rsidRPr="00191D38" w:rsidRDefault="00F64702" w:rsidP="00317D6E">
            <w:pPr>
              <w:rPr>
                <w:rFonts w:ascii="Arial" w:hAnsi="Arial" w:cs="Arial"/>
                <w:sz w:val="22"/>
                <w:szCs w:val="22"/>
                <w:lang w:val="es-CR"/>
              </w:rPr>
            </w:pPr>
          </w:p>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Una restructuración del marco conceptual propuesto es urgente, de forma tal que el nuevo Marco Mundial de la Diversidad Biológica post 2020 este bien articulado, y por lo tanto sea fácil de monitorear y comunicar, aspectos claves si queremos que el mismo sea exitoso.</w:t>
            </w:r>
          </w:p>
          <w:p w:rsidR="00F64702" w:rsidRPr="00191D38" w:rsidRDefault="00F64702" w:rsidP="00317D6E">
            <w:pPr>
              <w:rPr>
                <w:rFonts w:ascii="Arial" w:hAnsi="Arial" w:cs="Arial"/>
                <w:b/>
                <w:sz w:val="22"/>
                <w:szCs w:val="22"/>
                <w:lang w:val="es-CR"/>
              </w:rPr>
            </w:pPr>
          </w:p>
        </w:tc>
      </w:tr>
      <w:tr w:rsidR="003E1FF7" w:rsidRPr="008A59A4" w:rsidTr="00F64702">
        <w:trPr>
          <w:trHeight w:val="224"/>
        </w:trPr>
        <w:tc>
          <w:tcPr>
            <w:tcW w:w="9351" w:type="dxa"/>
            <w:gridSpan w:val="4"/>
          </w:tcPr>
          <w:p w:rsidR="003E1FF7" w:rsidRPr="00191D38" w:rsidRDefault="003E1FF7" w:rsidP="00317D6E">
            <w:pPr>
              <w:rPr>
                <w:rFonts w:ascii="Arial" w:hAnsi="Arial" w:cs="Arial"/>
                <w:sz w:val="22"/>
                <w:szCs w:val="22"/>
                <w:lang w:val="es-CR"/>
              </w:rPr>
            </w:pPr>
            <w:r>
              <w:rPr>
                <w:rFonts w:ascii="Arial" w:hAnsi="Arial" w:cs="Arial"/>
                <w:sz w:val="22"/>
                <w:szCs w:val="22"/>
                <w:lang w:val="es-CR"/>
              </w:rPr>
              <w:t>Se considera que los océanos en general no están bien representados en el documento en revisión. Se recomienda que los océanos sean reflejados explícitamente en las Metas que correspondan</w:t>
            </w:r>
            <w:r w:rsidR="009C2881">
              <w:rPr>
                <w:rFonts w:ascii="Arial" w:hAnsi="Arial" w:cs="Arial"/>
                <w:sz w:val="22"/>
                <w:szCs w:val="22"/>
                <w:lang w:val="es-CR"/>
              </w:rPr>
              <w:t xml:space="preserve"> y particularmente en la Meta 2</w:t>
            </w:r>
            <w:r>
              <w:rPr>
                <w:rFonts w:ascii="Arial" w:hAnsi="Arial" w:cs="Arial"/>
                <w:sz w:val="22"/>
                <w:szCs w:val="22"/>
                <w:lang w:val="es-CR"/>
              </w:rPr>
              <w:t>.</w:t>
            </w:r>
            <w:bookmarkStart w:id="1" w:name="_GoBack"/>
            <w:bookmarkEnd w:id="1"/>
          </w:p>
        </w:tc>
      </w:tr>
      <w:tr w:rsidR="00F64702" w:rsidRPr="00F64702" w:rsidTr="00F64702">
        <w:trPr>
          <w:trHeight w:val="224"/>
        </w:trPr>
        <w:tc>
          <w:tcPr>
            <w:tcW w:w="9351" w:type="dxa"/>
            <w:gridSpan w:val="4"/>
          </w:tcPr>
          <w:p w:rsidR="00F64702" w:rsidRPr="00191D38" w:rsidRDefault="00F64702" w:rsidP="00317D6E">
            <w:pPr>
              <w:rPr>
                <w:rFonts w:ascii="Arial" w:hAnsi="Arial" w:cs="Arial"/>
                <w:b/>
                <w:sz w:val="22"/>
                <w:szCs w:val="22"/>
                <w:lang w:val="en-US"/>
              </w:rPr>
            </w:pPr>
            <w:proofErr w:type="spellStart"/>
            <w:r w:rsidRPr="003E1FF7">
              <w:rPr>
                <w:rFonts w:ascii="Arial" w:hAnsi="Arial" w:cs="Arial"/>
                <w:color w:val="212121"/>
                <w:sz w:val="22"/>
                <w:szCs w:val="22"/>
                <w:lang w:val="es-CR"/>
              </w:rPr>
              <w:t>With</w:t>
            </w:r>
            <w:proofErr w:type="spellEnd"/>
            <w:r w:rsidRPr="003E1FF7">
              <w:rPr>
                <w:rFonts w:ascii="Arial" w:hAnsi="Arial" w:cs="Arial"/>
                <w:color w:val="212121"/>
                <w:sz w:val="22"/>
                <w:szCs w:val="22"/>
                <w:lang w:val="es-CR"/>
              </w:rPr>
              <w:t xml:space="preserve"> </w:t>
            </w:r>
            <w:proofErr w:type="spellStart"/>
            <w:r w:rsidRPr="003E1FF7">
              <w:rPr>
                <w:rFonts w:ascii="Arial" w:hAnsi="Arial" w:cs="Arial"/>
                <w:color w:val="212121"/>
                <w:sz w:val="22"/>
                <w:szCs w:val="22"/>
                <w:lang w:val="es-CR"/>
              </w:rPr>
              <w:t>regards</w:t>
            </w:r>
            <w:proofErr w:type="spellEnd"/>
            <w:r w:rsidRPr="003E1FF7">
              <w:rPr>
                <w:rFonts w:ascii="Arial" w:hAnsi="Arial" w:cs="Arial"/>
                <w:color w:val="212121"/>
                <w:sz w:val="22"/>
                <w:szCs w:val="22"/>
                <w:lang w:val="es-CR"/>
              </w:rPr>
              <w:t xml:space="preserve"> </w:t>
            </w:r>
            <w:proofErr w:type="spellStart"/>
            <w:r w:rsidRPr="003E1FF7">
              <w:rPr>
                <w:rFonts w:ascii="Arial" w:hAnsi="Arial" w:cs="Arial"/>
                <w:color w:val="212121"/>
                <w:sz w:val="22"/>
                <w:szCs w:val="22"/>
                <w:lang w:val="es-CR"/>
              </w:rPr>
              <w:t>with</w:t>
            </w:r>
            <w:proofErr w:type="spellEnd"/>
            <w:r w:rsidRPr="003E1FF7">
              <w:rPr>
                <w:rFonts w:ascii="Arial" w:hAnsi="Arial" w:cs="Arial"/>
                <w:color w:val="212121"/>
                <w:sz w:val="22"/>
                <w:szCs w:val="22"/>
                <w:lang w:val="es-CR"/>
              </w:rPr>
              <w:t xml:space="preserve"> </w:t>
            </w:r>
            <w:proofErr w:type="spellStart"/>
            <w:r w:rsidRPr="003E1FF7">
              <w:rPr>
                <w:rFonts w:ascii="Arial" w:hAnsi="Arial" w:cs="Arial"/>
                <w:color w:val="212121"/>
                <w:sz w:val="22"/>
                <w:szCs w:val="22"/>
                <w:lang w:val="es-CR"/>
              </w:rPr>
              <w:t>the</w:t>
            </w:r>
            <w:proofErr w:type="spellEnd"/>
            <w:r w:rsidRPr="003E1FF7">
              <w:rPr>
                <w:rFonts w:ascii="Arial" w:hAnsi="Arial" w:cs="Arial"/>
                <w:color w:val="212121"/>
                <w:sz w:val="22"/>
                <w:szCs w:val="22"/>
                <w:lang w:val="es-CR"/>
              </w:rPr>
              <w:t xml:space="preserve"> </w:t>
            </w:r>
            <w:proofErr w:type="spellStart"/>
            <w:r w:rsidRPr="003E1FF7">
              <w:rPr>
                <w:rFonts w:ascii="Arial" w:hAnsi="Arial" w:cs="Arial"/>
                <w:color w:val="212121"/>
                <w:sz w:val="22"/>
                <w:szCs w:val="22"/>
                <w:lang w:val="es-CR"/>
              </w:rPr>
              <w:t>contributions</w:t>
            </w:r>
            <w:proofErr w:type="spellEnd"/>
            <w:r w:rsidRPr="003E1FF7">
              <w:rPr>
                <w:rFonts w:ascii="Arial" w:hAnsi="Arial" w:cs="Arial"/>
                <w:color w:val="212121"/>
                <w:sz w:val="22"/>
                <w:szCs w:val="22"/>
                <w:lang w:val="es-CR"/>
              </w:rPr>
              <w:t xml:space="preserve"> of Target 2 to </w:t>
            </w:r>
            <w:proofErr w:type="spellStart"/>
            <w:r w:rsidRPr="003E1FF7">
              <w:rPr>
                <w:rFonts w:ascii="Arial" w:hAnsi="Arial" w:cs="Arial"/>
                <w:color w:val="212121"/>
                <w:sz w:val="22"/>
                <w:szCs w:val="22"/>
                <w:lang w:val="es-CR"/>
              </w:rPr>
              <w:t>achieve</w:t>
            </w:r>
            <w:proofErr w:type="spellEnd"/>
            <w:r w:rsidRPr="003E1FF7">
              <w:rPr>
                <w:rFonts w:ascii="Arial" w:hAnsi="Arial" w:cs="Arial"/>
                <w:color w:val="212121"/>
                <w:sz w:val="22"/>
                <w:szCs w:val="22"/>
                <w:lang w:val="es-CR"/>
              </w:rPr>
              <w:t xml:space="preserve"> </w:t>
            </w:r>
            <w:proofErr w:type="spellStart"/>
            <w:r w:rsidRPr="003E1FF7">
              <w:rPr>
                <w:rFonts w:ascii="Arial" w:hAnsi="Arial" w:cs="Arial"/>
                <w:color w:val="212121"/>
                <w:sz w:val="22"/>
                <w:szCs w:val="22"/>
                <w:lang w:val="es-CR"/>
              </w:rPr>
              <w:t>Goal</w:t>
            </w:r>
            <w:proofErr w:type="spellEnd"/>
            <w:r w:rsidRPr="003E1FF7">
              <w:rPr>
                <w:rFonts w:ascii="Arial" w:hAnsi="Arial" w:cs="Arial"/>
                <w:color w:val="212121"/>
                <w:sz w:val="22"/>
                <w:szCs w:val="22"/>
                <w:lang w:val="es-CR"/>
              </w:rPr>
              <w:t xml:space="preserve"> A </w:t>
            </w:r>
            <w:proofErr w:type="spellStart"/>
            <w:r w:rsidRPr="003E1FF7">
              <w:rPr>
                <w:rFonts w:ascii="Arial" w:hAnsi="Arial" w:cs="Arial"/>
                <w:color w:val="212121"/>
                <w:sz w:val="22"/>
                <w:szCs w:val="22"/>
                <w:lang w:val="es-CR"/>
              </w:rPr>
              <w:t>mentioned</w:t>
            </w:r>
            <w:proofErr w:type="spellEnd"/>
            <w:r w:rsidRPr="003E1FF7">
              <w:rPr>
                <w:rFonts w:ascii="Arial" w:hAnsi="Arial" w:cs="Arial"/>
                <w:color w:val="212121"/>
                <w:sz w:val="22"/>
                <w:szCs w:val="22"/>
                <w:lang w:val="es-CR"/>
              </w:rPr>
              <w:t xml:space="preserve"> in </w:t>
            </w:r>
            <w:proofErr w:type="spellStart"/>
            <w:r w:rsidRPr="003E1FF7">
              <w:rPr>
                <w:rFonts w:ascii="Arial" w:hAnsi="Arial" w:cs="Arial"/>
                <w:color w:val="212121"/>
                <w:sz w:val="22"/>
                <w:szCs w:val="22"/>
                <w:lang w:val="es-CR"/>
              </w:rPr>
              <w:t>paragr</w:t>
            </w:r>
            <w:r w:rsidRPr="00191D38">
              <w:rPr>
                <w:rFonts w:ascii="Arial" w:hAnsi="Arial" w:cs="Arial"/>
                <w:color w:val="212121"/>
                <w:sz w:val="22"/>
                <w:szCs w:val="22"/>
                <w:lang w:val="en-US"/>
              </w:rPr>
              <w:t>aphs</w:t>
            </w:r>
            <w:proofErr w:type="spellEnd"/>
            <w:r w:rsidRPr="00191D38">
              <w:rPr>
                <w:rFonts w:ascii="Arial" w:hAnsi="Arial" w:cs="Arial"/>
                <w:color w:val="212121"/>
                <w:sz w:val="22"/>
                <w:szCs w:val="22"/>
                <w:lang w:val="en-US"/>
              </w:rPr>
              <w:t xml:space="preserve"> 22, 28 and 33, we believe it does not represent the potential impact that Target 2 could have increasing the area, connectivity and integrity of natural ecosystems. We believe that the contributions of the Target 2 to Goal A </w:t>
            </w:r>
            <w:proofErr w:type="gramStart"/>
            <w:r w:rsidRPr="00191D38">
              <w:rPr>
                <w:rFonts w:ascii="Arial" w:hAnsi="Arial" w:cs="Arial"/>
                <w:color w:val="212121"/>
                <w:sz w:val="22"/>
                <w:szCs w:val="22"/>
                <w:lang w:val="en-US"/>
              </w:rPr>
              <w:t>should be better reflected</w:t>
            </w:r>
            <w:proofErr w:type="gramEnd"/>
            <w:r w:rsidRPr="00191D38">
              <w:rPr>
                <w:rFonts w:ascii="Arial" w:hAnsi="Arial" w:cs="Arial"/>
                <w:color w:val="212121"/>
                <w:sz w:val="22"/>
                <w:szCs w:val="22"/>
                <w:lang w:val="en-US"/>
              </w:rPr>
              <w:t>.</w:t>
            </w:r>
          </w:p>
        </w:tc>
      </w:tr>
      <w:tr w:rsidR="00F64702" w:rsidRPr="008A59A4" w:rsidTr="00F64702">
        <w:trPr>
          <w:trHeight w:val="224"/>
        </w:trPr>
        <w:tc>
          <w:tcPr>
            <w:tcW w:w="9351" w:type="dxa"/>
            <w:gridSpan w:val="4"/>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 xml:space="preserve">Las especies exóticas invasoras son una de las principales causas de la perdida de la diversidad biológica </w:t>
            </w:r>
            <w:proofErr w:type="gramStart"/>
            <w:r w:rsidRPr="00191D38">
              <w:rPr>
                <w:rFonts w:ascii="Arial" w:hAnsi="Arial" w:cs="Arial"/>
                <w:sz w:val="22"/>
                <w:szCs w:val="22"/>
                <w:lang w:val="es-CR"/>
              </w:rPr>
              <w:t>y</w:t>
            </w:r>
            <w:proofErr w:type="gramEnd"/>
            <w:r w:rsidRPr="00191D38">
              <w:rPr>
                <w:rFonts w:ascii="Arial" w:hAnsi="Arial" w:cs="Arial"/>
                <w:sz w:val="22"/>
                <w:szCs w:val="22"/>
                <w:lang w:val="es-CR"/>
              </w:rPr>
              <w:t xml:space="preserve"> por lo tanto, procurar la disminución de sus impactos debería ser una de las prioridades en el Marco Mundial de la Diversidad Biológica post 2020.</w:t>
            </w:r>
          </w:p>
          <w:p w:rsidR="00F64702" w:rsidRPr="00191D38" w:rsidRDefault="00F64702" w:rsidP="00317D6E">
            <w:pPr>
              <w:rPr>
                <w:rFonts w:ascii="Arial" w:hAnsi="Arial" w:cs="Arial"/>
                <w:sz w:val="22"/>
                <w:szCs w:val="22"/>
                <w:lang w:val="es-CR"/>
              </w:rPr>
            </w:pPr>
          </w:p>
          <w:p w:rsidR="00F64702" w:rsidRPr="00191D38" w:rsidRDefault="00F64702" w:rsidP="00191D38">
            <w:pPr>
              <w:rPr>
                <w:rFonts w:ascii="Arial" w:hAnsi="Arial" w:cs="Arial"/>
                <w:sz w:val="22"/>
                <w:szCs w:val="22"/>
                <w:lang w:val="es-CR"/>
              </w:rPr>
            </w:pPr>
            <w:r w:rsidRPr="00191D38">
              <w:rPr>
                <w:rFonts w:ascii="Arial" w:hAnsi="Arial" w:cs="Arial"/>
                <w:sz w:val="22"/>
                <w:szCs w:val="22"/>
                <w:lang w:val="es-CR"/>
              </w:rPr>
              <w:t xml:space="preserve">Sin embargo, este tema no se encuentra bien representado en el Marco Mundial de la Diversidad Biológica propuesto, siendo directamente atendido solo </w:t>
            </w:r>
            <w:r w:rsidR="00191D38" w:rsidRPr="00191D38">
              <w:rPr>
                <w:rFonts w:ascii="Arial" w:hAnsi="Arial" w:cs="Arial"/>
                <w:sz w:val="22"/>
                <w:szCs w:val="22"/>
                <w:lang w:val="es-CR"/>
              </w:rPr>
              <w:t>mediante</w:t>
            </w:r>
            <w:r w:rsidRPr="00191D38">
              <w:rPr>
                <w:rFonts w:ascii="Arial" w:hAnsi="Arial" w:cs="Arial"/>
                <w:sz w:val="22"/>
                <w:szCs w:val="22"/>
                <w:lang w:val="es-CR"/>
              </w:rPr>
              <w:t xml:space="preserve"> la Meta 5. Además, a lo largo el documento en revisión, se indican en varias ocasiones como la Meta 5 aporta al alcance de otras Metas propuestas, pero no se indica la relación inversa. </w:t>
            </w:r>
          </w:p>
        </w:tc>
      </w:tr>
      <w:tr w:rsidR="00F64702" w:rsidRPr="008A59A4" w:rsidTr="00F64702">
        <w:trPr>
          <w:trHeight w:val="224"/>
        </w:trPr>
        <w:tc>
          <w:tcPr>
            <w:tcW w:w="9351" w:type="dxa"/>
            <w:gridSpan w:val="4"/>
          </w:tcPr>
          <w:p w:rsidR="00F64702" w:rsidRPr="00191D38" w:rsidRDefault="00F64702" w:rsidP="00317D6E">
            <w:pPr>
              <w:rPr>
                <w:rFonts w:ascii="Arial" w:hAnsi="Arial" w:cs="Arial"/>
                <w:b/>
                <w:sz w:val="22"/>
                <w:szCs w:val="22"/>
                <w:lang w:val="es-CR"/>
              </w:rPr>
            </w:pPr>
          </w:p>
        </w:tc>
      </w:tr>
      <w:tr w:rsidR="00F64702" w:rsidRPr="008A59A4" w:rsidTr="00F64702">
        <w:trPr>
          <w:trHeight w:val="224"/>
        </w:trPr>
        <w:tc>
          <w:tcPr>
            <w:tcW w:w="9351" w:type="dxa"/>
            <w:gridSpan w:val="4"/>
          </w:tcPr>
          <w:p w:rsidR="00F64702" w:rsidRPr="00191D38" w:rsidRDefault="00F64702" w:rsidP="00317D6E">
            <w:pPr>
              <w:rPr>
                <w:rFonts w:ascii="Arial" w:hAnsi="Arial" w:cs="Arial"/>
                <w:b/>
                <w:sz w:val="22"/>
                <w:szCs w:val="22"/>
                <w:lang w:val="es-CR"/>
              </w:rPr>
            </w:pPr>
          </w:p>
        </w:tc>
      </w:tr>
      <w:tr w:rsidR="00F64702" w:rsidRPr="008A59A4" w:rsidTr="00F64702">
        <w:trPr>
          <w:trHeight w:val="224"/>
        </w:trPr>
        <w:tc>
          <w:tcPr>
            <w:tcW w:w="9351" w:type="dxa"/>
            <w:gridSpan w:val="4"/>
          </w:tcPr>
          <w:p w:rsidR="00F64702" w:rsidRPr="00191D38" w:rsidRDefault="00F64702" w:rsidP="00317D6E">
            <w:pPr>
              <w:rPr>
                <w:rFonts w:ascii="Arial" w:hAnsi="Arial" w:cs="Arial"/>
                <w:b/>
                <w:sz w:val="22"/>
                <w:szCs w:val="22"/>
                <w:lang w:val="es-CR"/>
              </w:rPr>
            </w:pPr>
          </w:p>
        </w:tc>
      </w:tr>
      <w:tr w:rsidR="00F64702" w:rsidRPr="008A59A4" w:rsidTr="00F64702">
        <w:trPr>
          <w:trHeight w:val="224"/>
        </w:trPr>
        <w:tc>
          <w:tcPr>
            <w:tcW w:w="9351" w:type="dxa"/>
            <w:gridSpan w:val="4"/>
          </w:tcPr>
          <w:p w:rsidR="00F64702" w:rsidRPr="00191D38" w:rsidRDefault="00F64702" w:rsidP="00317D6E">
            <w:pPr>
              <w:rPr>
                <w:rFonts w:ascii="Arial" w:hAnsi="Arial" w:cs="Arial"/>
                <w:b/>
                <w:sz w:val="22"/>
                <w:szCs w:val="22"/>
                <w:lang w:val="es-CR"/>
              </w:rPr>
            </w:pPr>
          </w:p>
        </w:tc>
      </w:tr>
      <w:tr w:rsidR="00F64702" w:rsidRPr="008A59A4" w:rsidTr="00F64702">
        <w:trPr>
          <w:trHeight w:val="224"/>
        </w:trPr>
        <w:tc>
          <w:tcPr>
            <w:tcW w:w="9351" w:type="dxa"/>
            <w:gridSpan w:val="4"/>
          </w:tcPr>
          <w:p w:rsidR="00F64702" w:rsidRPr="00191D38" w:rsidRDefault="00F64702" w:rsidP="00317D6E">
            <w:pPr>
              <w:rPr>
                <w:rFonts w:ascii="Arial" w:hAnsi="Arial" w:cs="Arial"/>
                <w:b/>
                <w:sz w:val="22"/>
                <w:szCs w:val="22"/>
                <w:lang w:val="es-CR"/>
              </w:rPr>
            </w:pPr>
          </w:p>
        </w:tc>
      </w:tr>
      <w:tr w:rsidR="00F64702" w:rsidRPr="000C0B6C" w:rsidTr="00F64702">
        <w:trPr>
          <w:trHeight w:val="224"/>
        </w:trPr>
        <w:tc>
          <w:tcPr>
            <w:tcW w:w="9351" w:type="dxa"/>
            <w:gridSpan w:val="4"/>
            <w:shd w:val="clear" w:color="auto" w:fill="C0C0C0"/>
          </w:tcPr>
          <w:p w:rsidR="00F64702" w:rsidRPr="00191D38" w:rsidRDefault="00F64702" w:rsidP="00317D6E">
            <w:pPr>
              <w:jc w:val="center"/>
              <w:rPr>
                <w:rFonts w:ascii="Arial" w:hAnsi="Arial" w:cs="Arial"/>
                <w:b/>
                <w:i/>
                <w:sz w:val="22"/>
                <w:szCs w:val="22"/>
              </w:rPr>
            </w:pPr>
            <w:proofErr w:type="spellStart"/>
            <w:r w:rsidRPr="00191D38">
              <w:rPr>
                <w:rFonts w:ascii="Arial" w:hAnsi="Arial" w:cs="Arial"/>
                <w:b/>
                <w:i/>
                <w:sz w:val="22"/>
                <w:szCs w:val="22"/>
              </w:rPr>
              <w:t>Specific</w:t>
            </w:r>
            <w:proofErr w:type="spellEnd"/>
            <w:r w:rsidRPr="00191D38">
              <w:rPr>
                <w:rFonts w:ascii="Arial" w:hAnsi="Arial" w:cs="Arial"/>
                <w:b/>
                <w:i/>
                <w:sz w:val="22"/>
                <w:szCs w:val="22"/>
              </w:rPr>
              <w:t xml:space="preserve"> </w:t>
            </w:r>
            <w:proofErr w:type="spellStart"/>
            <w:r w:rsidRPr="00191D38">
              <w:rPr>
                <w:rFonts w:ascii="Arial" w:hAnsi="Arial" w:cs="Arial"/>
                <w:b/>
                <w:i/>
                <w:sz w:val="22"/>
                <w:szCs w:val="22"/>
              </w:rPr>
              <w:t>comments</w:t>
            </w:r>
            <w:proofErr w:type="spellEnd"/>
          </w:p>
        </w:tc>
      </w:tr>
      <w:tr w:rsidR="00F64702" w:rsidRPr="000C0B6C" w:rsidTr="003E1FF7">
        <w:trPr>
          <w:trHeight w:val="224"/>
        </w:trPr>
        <w:tc>
          <w:tcPr>
            <w:tcW w:w="817" w:type="dxa"/>
          </w:tcPr>
          <w:p w:rsidR="00F64702" w:rsidRPr="00191D38" w:rsidRDefault="00F64702" w:rsidP="00317D6E">
            <w:pPr>
              <w:rPr>
                <w:rFonts w:ascii="Arial" w:hAnsi="Arial" w:cs="Arial"/>
                <w:b/>
                <w:sz w:val="22"/>
                <w:szCs w:val="22"/>
              </w:rPr>
            </w:pPr>
            <w:r w:rsidRPr="00191D38">
              <w:rPr>
                <w:rFonts w:ascii="Arial" w:hAnsi="Arial" w:cs="Arial"/>
                <w:b/>
                <w:sz w:val="22"/>
                <w:szCs w:val="22"/>
              </w:rPr>
              <w:t xml:space="preserve">Page </w:t>
            </w:r>
          </w:p>
        </w:tc>
        <w:tc>
          <w:tcPr>
            <w:tcW w:w="1305" w:type="dxa"/>
          </w:tcPr>
          <w:p w:rsidR="00F64702" w:rsidRPr="00191D38" w:rsidRDefault="00F64702" w:rsidP="00317D6E">
            <w:pPr>
              <w:rPr>
                <w:rFonts w:ascii="Arial" w:hAnsi="Arial" w:cs="Arial"/>
                <w:b/>
                <w:sz w:val="22"/>
                <w:szCs w:val="22"/>
              </w:rPr>
            </w:pPr>
            <w:proofErr w:type="spellStart"/>
            <w:r w:rsidRPr="00191D38">
              <w:rPr>
                <w:rFonts w:ascii="Arial" w:hAnsi="Arial" w:cs="Arial"/>
                <w:b/>
                <w:sz w:val="22"/>
                <w:szCs w:val="22"/>
              </w:rPr>
              <w:t>Paragraph</w:t>
            </w:r>
            <w:proofErr w:type="spellEnd"/>
          </w:p>
        </w:tc>
        <w:tc>
          <w:tcPr>
            <w:tcW w:w="7229" w:type="dxa"/>
            <w:gridSpan w:val="2"/>
          </w:tcPr>
          <w:p w:rsidR="00F64702" w:rsidRPr="00191D38" w:rsidRDefault="00F64702" w:rsidP="00317D6E">
            <w:pPr>
              <w:rPr>
                <w:rFonts w:ascii="Arial" w:hAnsi="Arial" w:cs="Arial"/>
                <w:b/>
                <w:sz w:val="22"/>
                <w:szCs w:val="22"/>
              </w:rPr>
            </w:pPr>
            <w:proofErr w:type="spellStart"/>
            <w:r w:rsidRPr="00191D38">
              <w:rPr>
                <w:rFonts w:ascii="Arial" w:hAnsi="Arial" w:cs="Arial"/>
                <w:b/>
                <w:sz w:val="22"/>
                <w:szCs w:val="22"/>
              </w:rPr>
              <w:t>Comment</w:t>
            </w:r>
            <w:proofErr w:type="spellEnd"/>
          </w:p>
        </w:tc>
      </w:tr>
      <w:tr w:rsidR="00F64702" w:rsidRPr="008E196C" w:rsidTr="003E1FF7">
        <w:trPr>
          <w:trHeight w:val="224"/>
        </w:trPr>
        <w:tc>
          <w:tcPr>
            <w:tcW w:w="817" w:type="dxa"/>
          </w:tcPr>
          <w:p w:rsidR="00F64702" w:rsidRPr="00191D38" w:rsidRDefault="00F64702" w:rsidP="00317D6E">
            <w:pPr>
              <w:rPr>
                <w:rFonts w:ascii="Arial" w:hAnsi="Arial" w:cs="Arial"/>
                <w:b/>
                <w:sz w:val="22"/>
                <w:szCs w:val="22"/>
              </w:rPr>
            </w:pPr>
            <w:r w:rsidRPr="00191D38">
              <w:rPr>
                <w:rFonts w:ascii="Arial" w:hAnsi="Arial" w:cs="Arial"/>
                <w:b/>
                <w:sz w:val="22"/>
                <w:szCs w:val="22"/>
              </w:rPr>
              <w:t>4</w:t>
            </w:r>
          </w:p>
        </w:tc>
        <w:tc>
          <w:tcPr>
            <w:tcW w:w="1305" w:type="dxa"/>
          </w:tcPr>
          <w:p w:rsidR="00F64702" w:rsidRPr="00191D38" w:rsidRDefault="00F64702" w:rsidP="00317D6E">
            <w:pPr>
              <w:rPr>
                <w:rFonts w:ascii="Arial" w:hAnsi="Arial" w:cs="Arial"/>
                <w:b/>
                <w:sz w:val="22"/>
                <w:szCs w:val="22"/>
              </w:rPr>
            </w:pPr>
            <w:r w:rsidRPr="00191D38">
              <w:rPr>
                <w:rFonts w:ascii="Arial" w:hAnsi="Arial" w:cs="Arial"/>
                <w:b/>
                <w:sz w:val="22"/>
                <w:szCs w:val="22"/>
              </w:rPr>
              <w:t>14</w:t>
            </w:r>
          </w:p>
        </w:tc>
        <w:tc>
          <w:tcPr>
            <w:tcW w:w="7229" w:type="dxa"/>
            <w:gridSpan w:val="2"/>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 xml:space="preserve">El objetivo A propuesto, no aborda de la misma forma los tres niveles de la biodiversidad. Se asume que aumentando la superficie y disminuyendo el número de especies amenazadas se mantiene la diversidad genética, lo cual no es necesariamente correcto.  </w:t>
            </w:r>
          </w:p>
        </w:tc>
      </w:tr>
      <w:tr w:rsidR="00F64702" w:rsidRPr="008A59A4" w:rsidTr="003E1FF7">
        <w:trPr>
          <w:trHeight w:val="224"/>
        </w:trPr>
        <w:tc>
          <w:tcPr>
            <w:tcW w:w="817"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6</w:t>
            </w:r>
          </w:p>
        </w:tc>
        <w:tc>
          <w:tcPr>
            <w:tcW w:w="1305"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22</w:t>
            </w:r>
          </w:p>
        </w:tc>
        <w:tc>
          <w:tcPr>
            <w:tcW w:w="7229" w:type="dxa"/>
            <w:gridSpan w:val="2"/>
          </w:tcPr>
          <w:p w:rsidR="00F64702" w:rsidRPr="00191D38" w:rsidRDefault="00F64702" w:rsidP="00191D38">
            <w:pPr>
              <w:pStyle w:val="Default"/>
              <w:rPr>
                <w:rFonts w:ascii="Arial" w:eastAsiaTheme="minorHAnsi" w:hAnsi="Arial" w:cs="Arial"/>
                <w:sz w:val="22"/>
                <w:szCs w:val="22"/>
                <w:lang w:val="es-CR"/>
              </w:rPr>
            </w:pPr>
            <w:r w:rsidRPr="00191D38">
              <w:rPr>
                <w:rFonts w:ascii="Arial" w:hAnsi="Arial" w:cs="Arial"/>
                <w:sz w:val="22"/>
                <w:szCs w:val="22"/>
                <w:lang w:val="es-CR"/>
              </w:rPr>
              <w:t xml:space="preserve">Se difiere de la interpretación realizada con respecto a la contribución de las Metas 1 y 2 para alcanzar el Objetivo A. La Meta 1 se basa en aumentar el área marina y terrestre que está bajo modelos de planificación espacial. </w:t>
            </w:r>
            <w:r w:rsidRPr="00191D38">
              <w:rPr>
                <w:rFonts w:ascii="Arial" w:hAnsi="Arial" w:cs="Arial"/>
                <w:i/>
                <w:sz w:val="22"/>
                <w:szCs w:val="22"/>
                <w:lang w:val="es-CR"/>
              </w:rPr>
              <w:t xml:space="preserve">Sin embargo, </w:t>
            </w:r>
            <w:r w:rsidRPr="00191D38">
              <w:rPr>
                <w:rFonts w:ascii="Arial" w:eastAsiaTheme="minorHAnsi" w:hAnsi="Arial" w:cs="Arial"/>
                <w:i/>
                <w:sz w:val="22"/>
                <w:szCs w:val="22"/>
                <w:lang w:val="es-CR"/>
              </w:rPr>
              <w:t>“Actualmente, la planificación espacial se pone en práctica de manera diversa y poco uniforme en los diferentes países</w:t>
            </w:r>
            <w:r w:rsidRPr="00191D38">
              <w:rPr>
                <w:rFonts w:ascii="Arial" w:eastAsiaTheme="minorHAnsi" w:hAnsi="Arial" w:cs="Arial"/>
                <w:sz w:val="22"/>
                <w:szCs w:val="22"/>
                <w:lang w:val="es-CR"/>
              </w:rPr>
              <w:t>” (</w:t>
            </w:r>
            <w:proofErr w:type="spellStart"/>
            <w:r w:rsidRPr="00191D38">
              <w:rPr>
                <w:rFonts w:ascii="Arial" w:eastAsiaTheme="minorHAnsi" w:hAnsi="Arial" w:cs="Arial"/>
                <w:sz w:val="22"/>
                <w:szCs w:val="22"/>
                <w:lang w:val="es-CR"/>
              </w:rPr>
              <w:t>pag</w:t>
            </w:r>
            <w:proofErr w:type="spellEnd"/>
            <w:r w:rsidRPr="00191D38">
              <w:rPr>
                <w:rFonts w:ascii="Arial" w:eastAsiaTheme="minorHAnsi" w:hAnsi="Arial" w:cs="Arial"/>
                <w:sz w:val="22"/>
                <w:szCs w:val="22"/>
                <w:lang w:val="es-CR"/>
              </w:rPr>
              <w:t xml:space="preserve"> 14, párrafo 53</w:t>
            </w:r>
            <w:r w:rsidR="00191D38">
              <w:rPr>
                <w:rFonts w:ascii="Arial" w:eastAsiaTheme="minorHAnsi" w:hAnsi="Arial" w:cs="Arial"/>
                <w:sz w:val="22"/>
                <w:szCs w:val="22"/>
                <w:lang w:val="es-CR"/>
              </w:rPr>
              <w:t xml:space="preserve"> del documento en revisión</w:t>
            </w:r>
            <w:r w:rsidRPr="00191D38">
              <w:rPr>
                <w:rFonts w:ascii="Arial" w:eastAsiaTheme="minorHAnsi" w:hAnsi="Arial" w:cs="Arial"/>
                <w:sz w:val="22"/>
                <w:szCs w:val="22"/>
                <w:lang w:val="es-CR"/>
              </w:rPr>
              <w:t xml:space="preserve">), </w:t>
            </w:r>
            <w:proofErr w:type="gramStart"/>
            <w:r w:rsidRPr="00191D38">
              <w:rPr>
                <w:rFonts w:ascii="Arial" w:eastAsiaTheme="minorHAnsi" w:hAnsi="Arial" w:cs="Arial"/>
                <w:sz w:val="22"/>
                <w:szCs w:val="22"/>
                <w:lang w:val="es-CR"/>
              </w:rPr>
              <w:t>y</w:t>
            </w:r>
            <w:proofErr w:type="gramEnd"/>
            <w:r w:rsidRPr="00191D38">
              <w:rPr>
                <w:rFonts w:ascii="Arial" w:eastAsiaTheme="minorHAnsi" w:hAnsi="Arial" w:cs="Arial"/>
                <w:sz w:val="22"/>
                <w:szCs w:val="22"/>
                <w:lang w:val="es-CR"/>
              </w:rPr>
              <w:t xml:space="preserve"> por lo tanto, no se sabe c</w:t>
            </w:r>
            <w:r w:rsidR="00191D38">
              <w:rPr>
                <w:rFonts w:ascii="Arial" w:eastAsiaTheme="minorHAnsi" w:hAnsi="Arial" w:cs="Arial"/>
                <w:sz w:val="22"/>
                <w:szCs w:val="22"/>
                <w:lang w:val="es-CR"/>
              </w:rPr>
              <w:t xml:space="preserve">on certeza el potencial real </w:t>
            </w:r>
            <w:r w:rsidRPr="00191D38">
              <w:rPr>
                <w:rFonts w:ascii="Arial" w:eastAsiaTheme="minorHAnsi" w:hAnsi="Arial" w:cs="Arial"/>
                <w:sz w:val="22"/>
                <w:szCs w:val="22"/>
                <w:lang w:val="es-CR"/>
              </w:rPr>
              <w:t xml:space="preserve">que la planificación espacial pueda </w:t>
            </w:r>
            <w:r w:rsidR="00191D38">
              <w:rPr>
                <w:rFonts w:ascii="Arial" w:eastAsiaTheme="minorHAnsi" w:hAnsi="Arial" w:cs="Arial"/>
                <w:sz w:val="22"/>
                <w:szCs w:val="22"/>
                <w:lang w:val="es-CR"/>
              </w:rPr>
              <w:t xml:space="preserve">tener en </w:t>
            </w:r>
            <w:r w:rsidRPr="00191D38">
              <w:rPr>
                <w:rFonts w:ascii="Arial" w:eastAsiaTheme="minorHAnsi" w:hAnsi="Arial" w:cs="Arial"/>
                <w:sz w:val="22"/>
                <w:szCs w:val="22"/>
                <w:lang w:val="es-CR"/>
              </w:rPr>
              <w:t>aumentar la “</w:t>
            </w:r>
            <w:r w:rsidRPr="00191D38">
              <w:rPr>
                <w:rFonts w:ascii="Arial" w:hAnsi="Arial" w:cs="Arial"/>
                <w:i/>
                <w:iCs/>
                <w:sz w:val="22"/>
                <w:szCs w:val="22"/>
                <w:lang w:val="es-CR"/>
              </w:rPr>
              <w:t xml:space="preserve">superficie, conectividad e integridad de los ecosistemas naturales”. </w:t>
            </w:r>
          </w:p>
          <w:p w:rsidR="00F64702" w:rsidRPr="00191D38" w:rsidRDefault="00F64702" w:rsidP="00317D6E">
            <w:pPr>
              <w:autoSpaceDE w:val="0"/>
              <w:autoSpaceDN w:val="0"/>
              <w:adjustRightInd w:val="0"/>
              <w:rPr>
                <w:rFonts w:ascii="Arial" w:hAnsi="Arial" w:cs="Arial"/>
                <w:iCs/>
                <w:sz w:val="22"/>
                <w:szCs w:val="22"/>
                <w:lang w:val="es-CR"/>
              </w:rPr>
            </w:pPr>
            <w:r w:rsidRPr="00191D38">
              <w:rPr>
                <w:rFonts w:ascii="Arial" w:hAnsi="Arial" w:cs="Arial"/>
                <w:iCs/>
                <w:sz w:val="22"/>
                <w:szCs w:val="22"/>
                <w:lang w:val="es-CR"/>
              </w:rPr>
              <w:t>Por el contrario, la Meta 2, que se basa en aumentar la extensión de área protegida, terrestre y marina, por medio de un “</w:t>
            </w:r>
            <w:r w:rsidRPr="00191D38">
              <w:rPr>
                <w:rFonts w:ascii="Arial" w:hAnsi="Arial" w:cs="Arial"/>
                <w:i/>
                <w:sz w:val="22"/>
                <w:szCs w:val="22"/>
                <w:lang w:val="es-CR"/>
              </w:rPr>
              <w:t>sistema bien conectado y eficaz de áreas protegidas y otras medidas de conservación eficaces basadas en áreas</w:t>
            </w:r>
            <w:r w:rsidRPr="00191D38">
              <w:rPr>
                <w:rFonts w:ascii="Arial" w:hAnsi="Arial" w:cs="Arial"/>
                <w:sz w:val="22"/>
                <w:szCs w:val="22"/>
                <w:lang w:val="es-CR"/>
              </w:rPr>
              <w:t>”</w:t>
            </w:r>
            <w:r w:rsidRPr="00191D38">
              <w:rPr>
                <w:rFonts w:ascii="Arial" w:hAnsi="Arial" w:cs="Arial"/>
                <w:iCs/>
                <w:sz w:val="22"/>
                <w:szCs w:val="22"/>
                <w:lang w:val="es-CR"/>
              </w:rPr>
              <w:t xml:space="preserve">, si tendrá un impacto directo en el Objetivo A. </w:t>
            </w:r>
          </w:p>
        </w:tc>
      </w:tr>
      <w:tr w:rsidR="00F64702" w:rsidRPr="008A59A4" w:rsidTr="003E1FF7">
        <w:trPr>
          <w:trHeight w:val="233"/>
        </w:trPr>
        <w:tc>
          <w:tcPr>
            <w:tcW w:w="817"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8</w:t>
            </w:r>
          </w:p>
        </w:tc>
        <w:tc>
          <w:tcPr>
            <w:tcW w:w="1305"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33</w:t>
            </w:r>
          </w:p>
        </w:tc>
        <w:tc>
          <w:tcPr>
            <w:tcW w:w="7229" w:type="dxa"/>
            <w:gridSpan w:val="2"/>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 xml:space="preserve">Si bien las Metas mencionadas en este párrafo, contribuyen en el mantenimiento de la diversidad genética, ninguna se refiere al tema directamente. Consideramos importante establecer al menos una Meta que claramente atienda el problema de la disminución de la diversidad genética en especies silvestres y domesticadas. </w:t>
            </w:r>
          </w:p>
        </w:tc>
      </w:tr>
      <w:tr w:rsidR="00F64702" w:rsidRPr="008A59A4" w:rsidTr="003E1FF7">
        <w:trPr>
          <w:trHeight w:val="224"/>
        </w:trPr>
        <w:tc>
          <w:tcPr>
            <w:tcW w:w="817"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11</w:t>
            </w:r>
          </w:p>
        </w:tc>
        <w:tc>
          <w:tcPr>
            <w:tcW w:w="1305"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45</w:t>
            </w:r>
          </w:p>
        </w:tc>
        <w:tc>
          <w:tcPr>
            <w:tcW w:w="7229" w:type="dxa"/>
            <w:gridSpan w:val="2"/>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No se considera que las Metas 13, 19 y 20, tengan un impacto directo para alcanzar el Objetivo C. Si bien, dichas metas pueden contribuir, su cumplimiento no necesariamente asegura que “</w:t>
            </w:r>
            <w:r w:rsidRPr="00191D38">
              <w:rPr>
                <w:rFonts w:ascii="Arial" w:hAnsi="Arial" w:cs="Arial"/>
                <w:i/>
                <w:iCs/>
                <w:sz w:val="22"/>
                <w:szCs w:val="22"/>
                <w:lang w:val="es-CR"/>
              </w:rPr>
              <w:t>Los beneficios derivados de la utilización de los recursos genéticos se comparten de manera justa y equitativa “</w:t>
            </w:r>
            <w:r w:rsidRPr="00191D38">
              <w:rPr>
                <w:rFonts w:ascii="Arial" w:hAnsi="Arial" w:cs="Arial"/>
                <w:sz w:val="22"/>
                <w:szCs w:val="22"/>
                <w:lang w:val="es-CR"/>
              </w:rPr>
              <w:t xml:space="preserve"> </w:t>
            </w:r>
          </w:p>
        </w:tc>
      </w:tr>
      <w:tr w:rsidR="00F64702" w:rsidRPr="008A59A4" w:rsidTr="003E1FF7">
        <w:trPr>
          <w:trHeight w:val="224"/>
        </w:trPr>
        <w:tc>
          <w:tcPr>
            <w:tcW w:w="817"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13</w:t>
            </w:r>
          </w:p>
        </w:tc>
        <w:tc>
          <w:tcPr>
            <w:tcW w:w="1305" w:type="dxa"/>
          </w:tcPr>
          <w:p w:rsidR="00F64702" w:rsidRPr="00191D38" w:rsidRDefault="00F64702" w:rsidP="00317D6E">
            <w:pPr>
              <w:rPr>
                <w:rFonts w:ascii="Arial" w:hAnsi="Arial" w:cs="Arial"/>
                <w:sz w:val="22"/>
                <w:szCs w:val="22"/>
                <w:lang w:val="es-CR"/>
              </w:rPr>
            </w:pPr>
            <w:r w:rsidRPr="00191D38">
              <w:rPr>
                <w:rFonts w:ascii="Arial" w:hAnsi="Arial" w:cs="Arial"/>
                <w:sz w:val="22"/>
                <w:szCs w:val="22"/>
                <w:lang w:val="es-CR"/>
              </w:rPr>
              <w:t>51 a 53</w:t>
            </w:r>
          </w:p>
        </w:tc>
        <w:tc>
          <w:tcPr>
            <w:tcW w:w="7229" w:type="dxa"/>
            <w:gridSpan w:val="2"/>
          </w:tcPr>
          <w:p w:rsidR="00F64702" w:rsidRPr="00191D38" w:rsidRDefault="00F64702" w:rsidP="00317D6E">
            <w:pPr>
              <w:rPr>
                <w:rFonts w:ascii="Arial" w:hAnsi="Arial" w:cs="Arial"/>
                <w:i/>
                <w:iCs/>
                <w:sz w:val="22"/>
                <w:szCs w:val="22"/>
                <w:lang w:val="es-CR"/>
              </w:rPr>
            </w:pPr>
            <w:r w:rsidRPr="00191D38">
              <w:rPr>
                <w:rFonts w:ascii="Arial" w:hAnsi="Arial" w:cs="Arial"/>
                <w:sz w:val="22"/>
                <w:szCs w:val="22"/>
                <w:lang w:val="es-CR"/>
              </w:rPr>
              <w:t>En la Meta 1, se asume que la “planificación espacial” es una herramienta que permite retener “</w:t>
            </w:r>
            <w:r w:rsidRPr="00191D38">
              <w:rPr>
                <w:rFonts w:ascii="Arial" w:hAnsi="Arial" w:cs="Arial"/>
                <w:i/>
                <w:iCs/>
                <w:sz w:val="22"/>
                <w:szCs w:val="22"/>
                <w:lang w:val="es-CR"/>
              </w:rPr>
              <w:t xml:space="preserve">la mayoría de las zonas intactas y de naturaleza virgen existentes” </w:t>
            </w:r>
            <w:r w:rsidRPr="00191D38">
              <w:rPr>
                <w:rFonts w:ascii="Arial" w:hAnsi="Arial" w:cs="Arial"/>
                <w:iCs/>
                <w:sz w:val="22"/>
                <w:szCs w:val="22"/>
                <w:lang w:val="es-CR"/>
              </w:rPr>
              <w:t xml:space="preserve">y restaurar </w:t>
            </w:r>
            <w:r w:rsidRPr="00191D38">
              <w:rPr>
                <w:rFonts w:ascii="Arial" w:hAnsi="Arial" w:cs="Arial"/>
                <w:i/>
                <w:iCs/>
                <w:sz w:val="22"/>
                <w:szCs w:val="22"/>
                <w:lang w:val="es-CR"/>
              </w:rPr>
              <w:t>“los ecosistemas de agua dulce, marinos y terrestres naturales degradados”.</w:t>
            </w:r>
          </w:p>
          <w:p w:rsidR="00F64702" w:rsidRPr="00191D38" w:rsidRDefault="00F64702" w:rsidP="00317D6E">
            <w:pPr>
              <w:rPr>
                <w:rFonts w:ascii="Arial" w:eastAsiaTheme="minorHAnsi" w:hAnsi="Arial" w:cs="Arial"/>
                <w:color w:val="000000"/>
                <w:sz w:val="22"/>
                <w:szCs w:val="22"/>
                <w:lang w:val="es-CR"/>
              </w:rPr>
            </w:pPr>
          </w:p>
          <w:p w:rsidR="00F64702" w:rsidRPr="00191D38" w:rsidRDefault="00F64702" w:rsidP="00317D6E">
            <w:pPr>
              <w:rPr>
                <w:rFonts w:ascii="Arial" w:eastAsiaTheme="minorHAnsi" w:hAnsi="Arial" w:cs="Arial"/>
                <w:color w:val="000000"/>
                <w:sz w:val="22"/>
                <w:szCs w:val="22"/>
                <w:lang w:val="es-CR"/>
              </w:rPr>
            </w:pPr>
            <w:r w:rsidRPr="00191D38">
              <w:rPr>
                <w:rFonts w:ascii="Arial" w:eastAsiaTheme="minorHAnsi" w:hAnsi="Arial" w:cs="Arial"/>
                <w:color w:val="000000"/>
                <w:sz w:val="22"/>
                <w:szCs w:val="22"/>
                <w:lang w:val="es-CR"/>
              </w:rPr>
              <w:t>En la página 14, párrafo 53, se indica: “</w:t>
            </w:r>
            <w:r w:rsidRPr="00191D38">
              <w:rPr>
                <w:rFonts w:ascii="Arial" w:eastAsiaTheme="minorHAnsi" w:hAnsi="Arial" w:cs="Arial"/>
                <w:i/>
                <w:color w:val="000000"/>
                <w:sz w:val="22"/>
                <w:szCs w:val="22"/>
                <w:lang w:val="es-CR"/>
              </w:rPr>
              <w:t>Actualmente, la planificación espacial se pone en práctica de manera diversa y poco uniforme en los diferentes países</w:t>
            </w:r>
            <w:r w:rsidRPr="00191D38">
              <w:rPr>
                <w:rFonts w:ascii="Arial" w:eastAsiaTheme="minorHAnsi" w:hAnsi="Arial" w:cs="Arial"/>
                <w:color w:val="000000"/>
                <w:sz w:val="22"/>
                <w:szCs w:val="22"/>
                <w:lang w:val="es-CR"/>
              </w:rPr>
              <w:t>”.</w:t>
            </w:r>
          </w:p>
          <w:p w:rsidR="00F64702" w:rsidRPr="00191D38" w:rsidRDefault="00F64702" w:rsidP="00317D6E">
            <w:pPr>
              <w:rPr>
                <w:rFonts w:ascii="Arial" w:eastAsiaTheme="minorHAnsi" w:hAnsi="Arial" w:cs="Arial"/>
                <w:color w:val="000000"/>
                <w:sz w:val="22"/>
                <w:szCs w:val="22"/>
                <w:lang w:val="es-CR"/>
              </w:rPr>
            </w:pPr>
          </w:p>
          <w:p w:rsidR="00F64702" w:rsidRPr="00191D38" w:rsidRDefault="00F64702" w:rsidP="00317D6E">
            <w:pPr>
              <w:rPr>
                <w:rFonts w:ascii="Arial" w:hAnsi="Arial" w:cs="Arial"/>
                <w:iCs/>
                <w:sz w:val="22"/>
                <w:szCs w:val="22"/>
                <w:lang w:val="es-CR"/>
              </w:rPr>
            </w:pPr>
            <w:r w:rsidRPr="00191D38">
              <w:rPr>
                <w:rFonts w:ascii="Arial" w:eastAsiaTheme="minorHAnsi" w:hAnsi="Arial" w:cs="Arial"/>
                <w:color w:val="000000"/>
                <w:sz w:val="22"/>
                <w:szCs w:val="22"/>
                <w:lang w:val="es-CR"/>
              </w:rPr>
              <w:t xml:space="preserve">Por lo tanto, se considera que, dado que la planificación espacial realizada actualmente es muy variada, no es posible conocer realmente si el aumentar la superficie terrestre y marina bajo esta herramienta permitirá cumplir con la Meta propuesta.  </w:t>
            </w:r>
          </w:p>
          <w:p w:rsidR="00F64702" w:rsidRPr="00191D38" w:rsidRDefault="00F64702" w:rsidP="00317D6E">
            <w:pPr>
              <w:rPr>
                <w:rFonts w:ascii="Arial" w:hAnsi="Arial" w:cs="Arial"/>
                <w:iCs/>
                <w:sz w:val="22"/>
                <w:szCs w:val="22"/>
                <w:lang w:val="es-CR"/>
              </w:rPr>
            </w:pPr>
          </w:p>
          <w:p w:rsidR="00F64702" w:rsidRPr="00191D38" w:rsidRDefault="00F64702" w:rsidP="00317D6E">
            <w:pPr>
              <w:rPr>
                <w:rFonts w:ascii="Arial" w:hAnsi="Arial" w:cs="Arial"/>
                <w:sz w:val="22"/>
                <w:szCs w:val="22"/>
                <w:lang w:val="es-CR"/>
              </w:rPr>
            </w:pPr>
          </w:p>
        </w:tc>
      </w:tr>
      <w:tr w:rsidR="00F64702" w:rsidRPr="00F64702" w:rsidTr="003E1FF7">
        <w:trPr>
          <w:trHeight w:val="224"/>
        </w:trPr>
        <w:tc>
          <w:tcPr>
            <w:tcW w:w="817" w:type="dxa"/>
            <w:shd w:val="clear" w:color="auto" w:fill="auto"/>
          </w:tcPr>
          <w:p w:rsidR="00F64702" w:rsidRPr="00191D38" w:rsidRDefault="00F64702" w:rsidP="00317D6E">
            <w:pPr>
              <w:rPr>
                <w:rFonts w:ascii="Arial" w:hAnsi="Arial" w:cs="Arial"/>
                <w:color w:val="FFFFFF" w:themeColor="background1"/>
                <w:sz w:val="22"/>
                <w:szCs w:val="22"/>
                <w:lang w:val="es-CR"/>
              </w:rPr>
            </w:pPr>
            <w:r w:rsidRPr="00191D38">
              <w:rPr>
                <w:rFonts w:ascii="Arial" w:hAnsi="Arial" w:cs="Arial"/>
                <w:sz w:val="22"/>
                <w:szCs w:val="22"/>
              </w:rPr>
              <w:lastRenderedPageBreak/>
              <w:t xml:space="preserve">12-13 </w:t>
            </w:r>
          </w:p>
        </w:tc>
        <w:tc>
          <w:tcPr>
            <w:tcW w:w="1305" w:type="dxa"/>
            <w:shd w:val="clear" w:color="auto" w:fill="auto"/>
          </w:tcPr>
          <w:p w:rsidR="00F64702" w:rsidRPr="00191D38" w:rsidRDefault="00F64702" w:rsidP="00317D6E">
            <w:pPr>
              <w:rPr>
                <w:rFonts w:ascii="Arial" w:hAnsi="Arial" w:cs="Arial"/>
                <w:color w:val="FFFFFF" w:themeColor="background1"/>
                <w:sz w:val="22"/>
                <w:szCs w:val="22"/>
                <w:lang w:val="es-CR"/>
              </w:rPr>
            </w:pPr>
            <w:r w:rsidRPr="00191D38">
              <w:rPr>
                <w:rFonts w:ascii="Arial" w:hAnsi="Arial" w:cs="Arial"/>
                <w:sz w:val="22"/>
                <w:szCs w:val="22"/>
              </w:rPr>
              <w:t xml:space="preserve">54-56 </w:t>
            </w:r>
          </w:p>
        </w:tc>
        <w:tc>
          <w:tcPr>
            <w:tcW w:w="7229" w:type="dxa"/>
            <w:gridSpan w:val="2"/>
            <w:shd w:val="clear" w:color="auto" w:fill="auto"/>
          </w:tcPr>
          <w:p w:rsidR="00F64702" w:rsidRPr="00191D38" w:rsidRDefault="00F64702" w:rsidP="00317D6E">
            <w:pPr>
              <w:rPr>
                <w:rFonts w:ascii="Arial" w:hAnsi="Arial" w:cs="Arial"/>
                <w:color w:val="FFFFFF" w:themeColor="background1"/>
                <w:sz w:val="22"/>
                <w:szCs w:val="22"/>
                <w:lang w:val="en-US"/>
              </w:rPr>
            </w:pPr>
            <w:r w:rsidRPr="00191D38">
              <w:rPr>
                <w:rFonts w:ascii="Arial" w:hAnsi="Arial" w:cs="Arial"/>
                <w:color w:val="212121"/>
                <w:sz w:val="22"/>
                <w:szCs w:val="22"/>
                <w:lang w:val="en-US"/>
              </w:rPr>
              <w:t xml:space="preserve">There is absence regarding the scientific considerations specifically related to the ocean in this document, namely under Target 2. We realize the need for a more balance considering the information </w:t>
            </w:r>
            <w:proofErr w:type="gramStart"/>
            <w:r w:rsidRPr="00191D38">
              <w:rPr>
                <w:rFonts w:ascii="Arial" w:hAnsi="Arial" w:cs="Arial"/>
                <w:color w:val="212121"/>
                <w:sz w:val="22"/>
                <w:szCs w:val="22"/>
                <w:lang w:val="en-US"/>
              </w:rPr>
              <w:t>with regards to</w:t>
            </w:r>
            <w:proofErr w:type="gramEnd"/>
            <w:r w:rsidRPr="00191D38">
              <w:rPr>
                <w:rFonts w:ascii="Arial" w:hAnsi="Arial" w:cs="Arial"/>
                <w:color w:val="212121"/>
                <w:sz w:val="22"/>
                <w:szCs w:val="22"/>
                <w:lang w:val="en-US"/>
              </w:rPr>
              <w:t xml:space="preserve"> the ocean on Target 2, in this sense we would encourage the addition of new text laying out the scientific evidence for the protection and conservation of a minimum of at least 30% of the global ocean.</w:t>
            </w:r>
            <w:r w:rsidRPr="00191D38">
              <w:rPr>
                <w:rFonts w:ascii="Arial" w:hAnsi="Arial" w:cs="Arial"/>
                <w:sz w:val="22"/>
                <w:szCs w:val="22"/>
                <w:lang w:val="en-US"/>
              </w:rPr>
              <w:t xml:space="preserve"> </w:t>
            </w:r>
          </w:p>
        </w:tc>
      </w:tr>
      <w:tr w:rsidR="00F64702" w:rsidRPr="00F64702" w:rsidTr="003E1FF7">
        <w:trPr>
          <w:trHeight w:val="224"/>
        </w:trPr>
        <w:tc>
          <w:tcPr>
            <w:tcW w:w="817" w:type="dxa"/>
            <w:shd w:val="clear" w:color="auto" w:fill="auto"/>
          </w:tcPr>
          <w:p w:rsidR="00F64702" w:rsidRPr="00191D38" w:rsidRDefault="00F64702" w:rsidP="00317D6E">
            <w:pPr>
              <w:rPr>
                <w:rFonts w:ascii="Arial" w:hAnsi="Arial" w:cs="Arial"/>
                <w:color w:val="FFFFFF" w:themeColor="background1"/>
                <w:sz w:val="22"/>
                <w:szCs w:val="22"/>
              </w:rPr>
            </w:pPr>
            <w:r w:rsidRPr="00191D38">
              <w:rPr>
                <w:rFonts w:ascii="Arial" w:hAnsi="Arial" w:cs="Arial"/>
                <w:sz w:val="22"/>
                <w:szCs w:val="22"/>
              </w:rPr>
              <w:t>12</w:t>
            </w:r>
          </w:p>
        </w:tc>
        <w:tc>
          <w:tcPr>
            <w:tcW w:w="1305" w:type="dxa"/>
            <w:shd w:val="clear" w:color="auto" w:fill="auto"/>
          </w:tcPr>
          <w:p w:rsidR="00F64702" w:rsidRPr="00191D38" w:rsidRDefault="00F64702" w:rsidP="00317D6E">
            <w:pPr>
              <w:rPr>
                <w:rFonts w:ascii="Arial" w:hAnsi="Arial" w:cs="Arial"/>
                <w:color w:val="FFFFFF" w:themeColor="background1"/>
                <w:sz w:val="22"/>
                <w:szCs w:val="22"/>
              </w:rPr>
            </w:pPr>
            <w:r w:rsidRPr="00191D38">
              <w:rPr>
                <w:rFonts w:ascii="Arial" w:hAnsi="Arial" w:cs="Arial"/>
                <w:sz w:val="22"/>
                <w:szCs w:val="22"/>
              </w:rPr>
              <w:t>54-55</w:t>
            </w:r>
          </w:p>
        </w:tc>
        <w:tc>
          <w:tcPr>
            <w:tcW w:w="7229" w:type="dxa"/>
            <w:gridSpan w:val="2"/>
            <w:shd w:val="clear" w:color="auto" w:fill="auto"/>
          </w:tcPr>
          <w:p w:rsidR="00F64702" w:rsidRPr="00191D38" w:rsidRDefault="00F64702" w:rsidP="00317D6E">
            <w:pPr>
              <w:shd w:val="clear" w:color="auto" w:fill="FFFFFF"/>
              <w:spacing w:line="276" w:lineRule="auto"/>
              <w:rPr>
                <w:rFonts w:ascii="Arial" w:hAnsi="Arial" w:cs="Arial"/>
                <w:i/>
                <w:iCs/>
                <w:color w:val="212121"/>
                <w:sz w:val="22"/>
                <w:szCs w:val="22"/>
                <w:lang w:val="en-US"/>
              </w:rPr>
            </w:pPr>
            <w:r w:rsidRPr="00191D38">
              <w:rPr>
                <w:rFonts w:ascii="Arial" w:hAnsi="Arial" w:cs="Arial"/>
                <w:color w:val="212121"/>
                <w:sz w:val="22"/>
                <w:szCs w:val="22"/>
                <w:lang w:val="en-US"/>
              </w:rPr>
              <w:t xml:space="preserve">We welcome reference to the importance of effective and equitable management and focusing on biodiversity outcomes rather than just spatial area. We recommend that the review </w:t>
            </w:r>
            <w:r w:rsidR="003E1FF7" w:rsidRPr="00191D38">
              <w:rPr>
                <w:rFonts w:ascii="Arial" w:hAnsi="Arial" w:cs="Arial"/>
                <w:color w:val="212121"/>
                <w:sz w:val="22"/>
                <w:szCs w:val="22"/>
                <w:lang w:val="en-US"/>
              </w:rPr>
              <w:t>provide</w:t>
            </w:r>
            <w:r w:rsidRPr="00191D38">
              <w:rPr>
                <w:rFonts w:ascii="Arial" w:hAnsi="Arial" w:cs="Arial"/>
                <w:color w:val="212121"/>
                <w:sz w:val="22"/>
                <w:szCs w:val="22"/>
                <w:lang w:val="en-US"/>
              </w:rPr>
              <w:t xml:space="preserve"> information on the other qualitative aspects of protected areas, including ecological representativeness and the importance of well-connected systems.   </w:t>
            </w:r>
            <w:r w:rsidRPr="00191D38">
              <w:rPr>
                <w:rFonts w:ascii="Arial" w:hAnsi="Arial" w:cs="Arial"/>
                <w:i/>
                <w:iCs/>
                <w:color w:val="212121"/>
                <w:sz w:val="22"/>
                <w:szCs w:val="22"/>
                <w:lang w:val="en-US"/>
              </w:rPr>
              <w:t>“Moreover, many protected areas are not effectively or equitably managed.” “However, the importance of focusing on biodiversity outcomes rather than spatial area is emphasized; an increase in coverage alone will not be sufficient.”</w:t>
            </w:r>
          </w:p>
          <w:p w:rsidR="00F64702" w:rsidRPr="00191D38" w:rsidRDefault="00F64702" w:rsidP="00317D6E">
            <w:pPr>
              <w:rPr>
                <w:rFonts w:ascii="Arial" w:hAnsi="Arial" w:cs="Arial"/>
                <w:color w:val="FFFFFF" w:themeColor="background1"/>
                <w:sz w:val="22"/>
                <w:szCs w:val="22"/>
                <w:lang w:val="en-US"/>
              </w:rPr>
            </w:pPr>
          </w:p>
        </w:tc>
      </w:tr>
      <w:tr w:rsidR="00F64702" w:rsidRPr="00F64702" w:rsidTr="003E1FF7">
        <w:trPr>
          <w:trHeight w:val="224"/>
        </w:trPr>
        <w:tc>
          <w:tcPr>
            <w:tcW w:w="817" w:type="dxa"/>
            <w:shd w:val="clear" w:color="auto" w:fill="auto"/>
          </w:tcPr>
          <w:p w:rsidR="00F64702" w:rsidRPr="00191D38" w:rsidRDefault="00F64702" w:rsidP="00317D6E">
            <w:pPr>
              <w:rPr>
                <w:rFonts w:ascii="Arial" w:hAnsi="Arial" w:cs="Arial"/>
                <w:color w:val="FFFFFF" w:themeColor="background1"/>
                <w:sz w:val="22"/>
                <w:szCs w:val="22"/>
              </w:rPr>
            </w:pPr>
            <w:r w:rsidRPr="00191D38">
              <w:rPr>
                <w:rFonts w:ascii="Arial" w:hAnsi="Arial" w:cs="Arial"/>
                <w:sz w:val="22"/>
                <w:szCs w:val="22"/>
              </w:rPr>
              <w:t>13</w:t>
            </w:r>
          </w:p>
        </w:tc>
        <w:tc>
          <w:tcPr>
            <w:tcW w:w="1305" w:type="dxa"/>
            <w:shd w:val="clear" w:color="auto" w:fill="auto"/>
          </w:tcPr>
          <w:p w:rsidR="00F64702" w:rsidRPr="00191D38" w:rsidRDefault="00F64702" w:rsidP="00317D6E">
            <w:pPr>
              <w:rPr>
                <w:rFonts w:ascii="Arial" w:hAnsi="Arial" w:cs="Arial"/>
                <w:color w:val="FFFFFF" w:themeColor="background1"/>
                <w:sz w:val="22"/>
                <w:szCs w:val="22"/>
              </w:rPr>
            </w:pPr>
            <w:r w:rsidRPr="00191D38">
              <w:rPr>
                <w:rFonts w:ascii="Arial" w:hAnsi="Arial" w:cs="Arial"/>
                <w:sz w:val="22"/>
                <w:szCs w:val="22"/>
              </w:rPr>
              <w:t>55</w:t>
            </w:r>
          </w:p>
        </w:tc>
        <w:tc>
          <w:tcPr>
            <w:tcW w:w="7229" w:type="dxa"/>
            <w:gridSpan w:val="2"/>
            <w:shd w:val="clear" w:color="auto" w:fill="auto"/>
          </w:tcPr>
          <w:p w:rsidR="00F64702" w:rsidRPr="00191D38" w:rsidRDefault="00F64702" w:rsidP="00317D6E">
            <w:pPr>
              <w:shd w:val="clear" w:color="auto" w:fill="FFFFFF"/>
              <w:spacing w:line="276" w:lineRule="auto"/>
              <w:rPr>
                <w:rFonts w:ascii="Arial" w:hAnsi="Arial" w:cs="Arial"/>
                <w:color w:val="212121"/>
                <w:sz w:val="22"/>
                <w:szCs w:val="22"/>
                <w:lang w:val="en-US"/>
              </w:rPr>
            </w:pPr>
            <w:r w:rsidRPr="00191D38">
              <w:rPr>
                <w:rFonts w:ascii="Arial" w:hAnsi="Arial" w:cs="Arial"/>
                <w:color w:val="212121"/>
                <w:sz w:val="22"/>
                <w:szCs w:val="22"/>
                <w:lang w:val="en-US"/>
              </w:rPr>
              <w:t>There are extensive studies that support a target of protecting at least 30% of the planet’s land and ocean, and we are concerned that this paragraph does</w:t>
            </w:r>
            <w:r w:rsidR="003E1FF7">
              <w:rPr>
                <w:rFonts w:ascii="Arial" w:hAnsi="Arial" w:cs="Arial"/>
                <w:color w:val="212121"/>
                <w:sz w:val="22"/>
                <w:szCs w:val="22"/>
                <w:lang w:val="en-US"/>
              </w:rPr>
              <w:t xml:space="preserve"> no</w:t>
            </w:r>
            <w:r w:rsidRPr="00191D38">
              <w:rPr>
                <w:rFonts w:ascii="Arial" w:hAnsi="Arial" w:cs="Arial"/>
                <w:color w:val="212121"/>
                <w:sz w:val="22"/>
                <w:szCs w:val="22"/>
                <w:lang w:val="en-US"/>
              </w:rPr>
              <w:t>t reflect the breadth of this research. Additionally, this evidence includes numerous studies specifically related to marine conservation, so we are concerned that there is no single, explicit mention of scientific support for the marine component of this target. Lastly, there is significant research documenting the importance of expanding protected area coverage to help achieve climate goals, and we believe that it is important to highlight that data. To address these points, we request that the following studies are incorporated into and explicitly addressed in the final version of this document:</w:t>
            </w:r>
          </w:p>
          <w:p w:rsidR="00F64702" w:rsidRPr="00191D38" w:rsidRDefault="00F64702" w:rsidP="00317D6E">
            <w:pPr>
              <w:shd w:val="clear" w:color="auto" w:fill="FFFFFF"/>
              <w:spacing w:line="276" w:lineRule="auto"/>
              <w:rPr>
                <w:rFonts w:ascii="Arial" w:hAnsi="Arial" w:cs="Arial"/>
                <w:sz w:val="22"/>
                <w:szCs w:val="22"/>
                <w:lang w:val="en-US"/>
              </w:rPr>
            </w:pPr>
          </w:p>
          <w:p w:rsidR="00F64702" w:rsidRPr="00191D38" w:rsidRDefault="00F64702" w:rsidP="00317D6E">
            <w:pPr>
              <w:numPr>
                <w:ilvl w:val="0"/>
                <w:numId w:val="2"/>
              </w:numPr>
              <w:shd w:val="clear" w:color="auto" w:fill="FFFFFF"/>
              <w:spacing w:line="276" w:lineRule="auto"/>
              <w:rPr>
                <w:rFonts w:ascii="Arial" w:hAnsi="Arial" w:cs="Arial"/>
                <w:sz w:val="22"/>
                <w:szCs w:val="22"/>
                <w:highlight w:val="white"/>
                <w:lang w:val="en-US"/>
              </w:rPr>
            </w:pPr>
            <w:hyperlink r:id="rId11">
              <w:r w:rsidRPr="00191D38">
                <w:rPr>
                  <w:rFonts w:ascii="Arial" w:hAnsi="Arial" w:cs="Arial"/>
                  <w:color w:val="1155CC"/>
                  <w:sz w:val="22"/>
                  <w:szCs w:val="22"/>
                  <w:highlight w:val="white"/>
                  <w:u w:val="single"/>
                  <w:lang w:val="en-US"/>
                </w:rPr>
                <w:t>A comprehensive review of 144 studies</w:t>
              </w:r>
            </w:hyperlink>
            <w:r w:rsidRPr="00191D38">
              <w:rPr>
                <w:rFonts w:ascii="Arial" w:hAnsi="Arial" w:cs="Arial"/>
                <w:color w:val="212121"/>
                <w:sz w:val="22"/>
                <w:szCs w:val="22"/>
                <w:highlight w:val="white"/>
                <w:lang w:val="en-US"/>
              </w:rPr>
              <w:t xml:space="preserve"> found that the current spatial target is insufficient to protect biodiversity, preserve ecosystem services and achieve socio-economic priorities. On average, the data foun</w:t>
            </w:r>
            <w:r w:rsidR="001D6414">
              <w:rPr>
                <w:rFonts w:ascii="Arial" w:hAnsi="Arial" w:cs="Arial"/>
                <w:color w:val="212121"/>
                <w:sz w:val="22"/>
                <w:szCs w:val="22"/>
                <w:highlight w:val="white"/>
                <w:lang w:val="en-US"/>
              </w:rPr>
              <w:t xml:space="preserve">d that 37% of the ocean </w:t>
            </w:r>
            <w:proofErr w:type="gramStart"/>
            <w:r w:rsidR="001D6414">
              <w:rPr>
                <w:rFonts w:ascii="Arial" w:hAnsi="Arial" w:cs="Arial"/>
                <w:color w:val="212121"/>
                <w:sz w:val="22"/>
                <w:szCs w:val="22"/>
                <w:highlight w:val="white"/>
                <w:lang w:val="en-US"/>
              </w:rPr>
              <w:t xml:space="preserve">must be </w:t>
            </w:r>
            <w:r w:rsidRPr="00191D38">
              <w:rPr>
                <w:rFonts w:ascii="Arial" w:hAnsi="Arial" w:cs="Arial"/>
                <w:color w:val="212121"/>
                <w:sz w:val="22"/>
                <w:szCs w:val="22"/>
                <w:highlight w:val="white"/>
                <w:lang w:val="en-US"/>
              </w:rPr>
              <w:t>protected</w:t>
            </w:r>
            <w:proofErr w:type="gramEnd"/>
            <w:r w:rsidRPr="00191D38">
              <w:rPr>
                <w:rFonts w:ascii="Arial" w:hAnsi="Arial" w:cs="Arial"/>
                <w:color w:val="212121"/>
                <w:sz w:val="22"/>
                <w:szCs w:val="22"/>
                <w:highlight w:val="white"/>
                <w:lang w:val="en-US"/>
              </w:rPr>
              <w:t xml:space="preserve"> in order to achieve these environmental and socio-economic goals.</w:t>
            </w:r>
          </w:p>
          <w:p w:rsidR="00F64702" w:rsidRPr="00191D38" w:rsidRDefault="00F64702" w:rsidP="00317D6E">
            <w:pPr>
              <w:numPr>
                <w:ilvl w:val="0"/>
                <w:numId w:val="1"/>
              </w:numPr>
              <w:shd w:val="clear" w:color="auto" w:fill="FFFFFF"/>
              <w:spacing w:line="276" w:lineRule="auto"/>
              <w:rPr>
                <w:rFonts w:ascii="Arial" w:hAnsi="Arial" w:cs="Arial"/>
                <w:color w:val="212121"/>
                <w:sz w:val="22"/>
                <w:szCs w:val="22"/>
                <w:highlight w:val="white"/>
                <w:lang w:val="en-US"/>
              </w:rPr>
            </w:pPr>
            <w:r w:rsidRPr="00191D38">
              <w:rPr>
                <w:rFonts w:ascii="Arial" w:hAnsi="Arial" w:cs="Arial"/>
                <w:color w:val="212121"/>
                <w:sz w:val="22"/>
                <w:szCs w:val="22"/>
                <w:highlight w:val="white"/>
                <w:lang w:val="en-US"/>
              </w:rPr>
              <w:t xml:space="preserve">A group of </w:t>
            </w:r>
            <w:hyperlink r:id="rId12">
              <w:r w:rsidRPr="00191D38">
                <w:rPr>
                  <w:rFonts w:ascii="Arial" w:hAnsi="Arial" w:cs="Arial"/>
                  <w:color w:val="1155CC"/>
                  <w:sz w:val="22"/>
                  <w:szCs w:val="22"/>
                  <w:highlight w:val="white"/>
                  <w:u w:val="single"/>
                  <w:lang w:val="en-US"/>
                </w:rPr>
                <w:t>IUCN experts published a review of the literature</w:t>
              </w:r>
            </w:hyperlink>
            <w:r w:rsidRPr="00191D38">
              <w:rPr>
                <w:rFonts w:ascii="Arial" w:hAnsi="Arial" w:cs="Arial"/>
                <w:color w:val="212121"/>
                <w:sz w:val="22"/>
                <w:szCs w:val="22"/>
                <w:highlight w:val="white"/>
                <w:lang w:val="en-US"/>
              </w:rPr>
              <w:t xml:space="preserve"> on area-based conservation and concluded that there is ample support for the protection “of a minimum of 30% and up to 70%, or even higher” of the planet’s land and ocean. The authors </w:t>
            </w:r>
            <w:r w:rsidRPr="00191D38">
              <w:rPr>
                <w:rFonts w:ascii="Arial" w:hAnsi="Arial" w:cs="Arial"/>
                <w:color w:val="212121"/>
                <w:sz w:val="22"/>
                <w:szCs w:val="22"/>
                <w:highlight w:val="white"/>
                <w:lang w:val="en-US"/>
              </w:rPr>
              <w:lastRenderedPageBreak/>
              <w:t>concluded that the call for 50% of the Earth to be protected “is supported by a range of studies.”</w:t>
            </w:r>
          </w:p>
          <w:p w:rsidR="00F64702" w:rsidRPr="00191D38" w:rsidRDefault="00F64702" w:rsidP="00317D6E">
            <w:pPr>
              <w:numPr>
                <w:ilvl w:val="0"/>
                <w:numId w:val="1"/>
              </w:numPr>
              <w:shd w:val="clear" w:color="auto" w:fill="FFFFFF"/>
              <w:spacing w:line="276" w:lineRule="auto"/>
              <w:rPr>
                <w:rFonts w:ascii="Arial" w:hAnsi="Arial" w:cs="Arial"/>
                <w:color w:val="212121"/>
                <w:sz w:val="22"/>
                <w:szCs w:val="22"/>
                <w:highlight w:val="white"/>
                <w:lang w:val="en-US"/>
              </w:rPr>
            </w:pPr>
            <w:r w:rsidRPr="00191D38">
              <w:rPr>
                <w:rFonts w:ascii="Arial" w:hAnsi="Arial" w:cs="Arial"/>
                <w:color w:val="212121"/>
                <w:sz w:val="22"/>
                <w:szCs w:val="22"/>
                <w:highlight w:val="white"/>
                <w:lang w:val="en-US"/>
              </w:rPr>
              <w:t xml:space="preserve">Over a dozen global experts found in </w:t>
            </w:r>
            <w:r w:rsidRPr="00191D38">
              <w:rPr>
                <w:rFonts w:ascii="Arial" w:hAnsi="Arial" w:cs="Arial"/>
                <w:i/>
                <w:color w:val="212121"/>
                <w:sz w:val="22"/>
                <w:szCs w:val="22"/>
                <w:highlight w:val="white"/>
                <w:lang w:val="en-US"/>
              </w:rPr>
              <w:t>Science Advances</w:t>
            </w:r>
            <w:r w:rsidRPr="00191D38">
              <w:rPr>
                <w:rFonts w:ascii="Arial" w:hAnsi="Arial" w:cs="Arial"/>
                <w:color w:val="212121"/>
                <w:sz w:val="22"/>
                <w:szCs w:val="22"/>
                <w:highlight w:val="white"/>
                <w:lang w:val="en-US"/>
              </w:rPr>
              <w:t xml:space="preserve"> also established this need to protect </w:t>
            </w:r>
            <w:hyperlink r:id="rId13">
              <w:r w:rsidRPr="00191D38">
                <w:rPr>
                  <w:rFonts w:ascii="Arial" w:hAnsi="Arial" w:cs="Arial"/>
                  <w:color w:val="1155CC"/>
                  <w:sz w:val="22"/>
                  <w:szCs w:val="22"/>
                  <w:highlight w:val="white"/>
                  <w:u w:val="single"/>
                  <w:lang w:val="en-US"/>
                </w:rPr>
                <w:t>at least 30% of the planet’s land and ocean by 2030</w:t>
              </w:r>
            </w:hyperlink>
            <w:r w:rsidRPr="00191D38">
              <w:rPr>
                <w:rFonts w:ascii="Arial" w:hAnsi="Arial" w:cs="Arial"/>
                <w:color w:val="212121"/>
                <w:sz w:val="22"/>
                <w:szCs w:val="22"/>
                <w:highlight w:val="white"/>
                <w:lang w:val="en-US"/>
              </w:rPr>
              <w:t xml:space="preserve">, in addition to setting aside another 20% of the planet as “climate stabilization areas” that would be protected from large-scale changes in land cover. It is important to note that the experts found this expanded protection to be an important way to help achieve the Paris Climate Accord goals. </w:t>
            </w:r>
          </w:p>
          <w:p w:rsidR="00F64702" w:rsidRPr="00191D38" w:rsidRDefault="00F64702" w:rsidP="00317D6E">
            <w:pPr>
              <w:rPr>
                <w:rFonts w:ascii="Arial" w:hAnsi="Arial" w:cs="Arial"/>
                <w:color w:val="FFFFFF" w:themeColor="background1"/>
                <w:sz w:val="22"/>
                <w:szCs w:val="22"/>
                <w:lang w:val="en-US"/>
              </w:rPr>
            </w:pPr>
            <w:hyperlink r:id="rId14">
              <w:r w:rsidRPr="00191D38">
                <w:rPr>
                  <w:rFonts w:ascii="Arial" w:hAnsi="Arial" w:cs="Arial"/>
                  <w:color w:val="1155CC"/>
                  <w:sz w:val="22"/>
                  <w:szCs w:val="22"/>
                  <w:highlight w:val="white"/>
                  <w:u w:val="single"/>
                  <w:lang w:val="en-US"/>
                </w:rPr>
                <w:t>A “Global Safety Net” to reverse biodiversity loss and stabilize Earth’s climate</w:t>
              </w:r>
            </w:hyperlink>
            <w:r w:rsidRPr="00191D38">
              <w:rPr>
                <w:rFonts w:ascii="Arial" w:hAnsi="Arial" w:cs="Arial"/>
                <w:color w:val="212121"/>
                <w:sz w:val="22"/>
                <w:szCs w:val="22"/>
                <w:highlight w:val="white"/>
                <w:lang w:val="en-US"/>
              </w:rPr>
              <w:t xml:space="preserve"> was published also demonstrates how expanded nature conservation addresses the overarching interrelated threats of biodiversity loss and climate change. This research shows that, beyond the 15.1% land area currently protected, 35.3% of land area </w:t>
            </w:r>
            <w:proofErr w:type="gramStart"/>
            <w:r w:rsidRPr="00191D38">
              <w:rPr>
                <w:rFonts w:ascii="Arial" w:hAnsi="Arial" w:cs="Arial"/>
                <w:color w:val="212121"/>
                <w:sz w:val="22"/>
                <w:szCs w:val="22"/>
                <w:highlight w:val="white"/>
                <w:lang w:val="en-US"/>
              </w:rPr>
              <w:t>is needed</w:t>
            </w:r>
            <w:proofErr w:type="gramEnd"/>
            <w:r w:rsidRPr="00191D38">
              <w:rPr>
                <w:rFonts w:ascii="Arial" w:hAnsi="Arial" w:cs="Arial"/>
                <w:color w:val="212121"/>
                <w:sz w:val="22"/>
                <w:szCs w:val="22"/>
                <w:highlight w:val="white"/>
                <w:lang w:val="en-US"/>
              </w:rPr>
              <w:t xml:space="preserve"> to conserve additional sites of particular importance for biodiversity and stabilize the climate. </w:t>
            </w:r>
          </w:p>
        </w:tc>
      </w:tr>
      <w:tr w:rsidR="00F64702" w:rsidRPr="00F64702" w:rsidTr="003E1FF7">
        <w:trPr>
          <w:trHeight w:val="224"/>
        </w:trPr>
        <w:tc>
          <w:tcPr>
            <w:tcW w:w="817" w:type="dxa"/>
            <w:shd w:val="clear" w:color="auto" w:fill="auto"/>
          </w:tcPr>
          <w:p w:rsidR="00F64702" w:rsidRPr="00191D38" w:rsidRDefault="00F64702" w:rsidP="00317D6E">
            <w:pPr>
              <w:rPr>
                <w:rFonts w:ascii="Arial" w:hAnsi="Arial" w:cs="Arial"/>
                <w:sz w:val="22"/>
                <w:szCs w:val="22"/>
              </w:rPr>
            </w:pPr>
            <w:r w:rsidRPr="00191D38">
              <w:rPr>
                <w:rFonts w:ascii="Arial" w:hAnsi="Arial" w:cs="Arial"/>
                <w:sz w:val="22"/>
                <w:szCs w:val="22"/>
              </w:rPr>
              <w:lastRenderedPageBreak/>
              <w:t>13</w:t>
            </w:r>
          </w:p>
        </w:tc>
        <w:tc>
          <w:tcPr>
            <w:tcW w:w="1305" w:type="dxa"/>
            <w:shd w:val="clear" w:color="auto" w:fill="auto"/>
          </w:tcPr>
          <w:p w:rsidR="00F64702" w:rsidRPr="00191D38" w:rsidRDefault="00F64702" w:rsidP="00317D6E">
            <w:pPr>
              <w:rPr>
                <w:rFonts w:ascii="Arial" w:hAnsi="Arial" w:cs="Arial"/>
                <w:sz w:val="22"/>
                <w:szCs w:val="22"/>
              </w:rPr>
            </w:pPr>
            <w:r w:rsidRPr="00191D38">
              <w:rPr>
                <w:rFonts w:ascii="Arial" w:hAnsi="Arial" w:cs="Arial"/>
                <w:sz w:val="22"/>
                <w:szCs w:val="22"/>
              </w:rPr>
              <w:t>55</w:t>
            </w:r>
          </w:p>
        </w:tc>
        <w:tc>
          <w:tcPr>
            <w:tcW w:w="7229" w:type="dxa"/>
            <w:gridSpan w:val="2"/>
            <w:shd w:val="clear" w:color="auto" w:fill="auto"/>
          </w:tcPr>
          <w:p w:rsidR="00F64702" w:rsidRPr="00191D38" w:rsidRDefault="00F64702" w:rsidP="00317D6E">
            <w:pPr>
              <w:shd w:val="clear" w:color="auto" w:fill="FFFFFF"/>
              <w:spacing w:line="276" w:lineRule="auto"/>
              <w:rPr>
                <w:rFonts w:ascii="Arial" w:hAnsi="Arial" w:cs="Arial"/>
                <w:color w:val="212121"/>
                <w:sz w:val="22"/>
                <w:szCs w:val="22"/>
                <w:highlight w:val="white"/>
                <w:lang w:val="en-US"/>
              </w:rPr>
            </w:pPr>
            <w:r w:rsidRPr="00191D38">
              <w:rPr>
                <w:rFonts w:ascii="Arial" w:hAnsi="Arial" w:cs="Arial"/>
                <w:color w:val="212121"/>
                <w:sz w:val="22"/>
                <w:szCs w:val="22"/>
                <w:highlight w:val="white"/>
                <w:lang w:val="en-US"/>
              </w:rPr>
              <w:t>The statistics provided in terms of what is required for increased terrestrial protected area coverage to safeguard biodiversity is useful. We would welcome sim</w:t>
            </w:r>
            <w:r w:rsidR="003E1FF7">
              <w:rPr>
                <w:rFonts w:ascii="Arial" w:hAnsi="Arial" w:cs="Arial"/>
                <w:color w:val="212121"/>
                <w:sz w:val="22"/>
                <w:szCs w:val="22"/>
                <w:highlight w:val="white"/>
                <w:lang w:val="en-US"/>
              </w:rPr>
              <w:t>ilar information being present</w:t>
            </w:r>
            <w:r w:rsidRPr="00191D38">
              <w:rPr>
                <w:rFonts w:ascii="Arial" w:hAnsi="Arial" w:cs="Arial"/>
                <w:color w:val="212121"/>
                <w:sz w:val="22"/>
                <w:szCs w:val="22"/>
                <w:highlight w:val="white"/>
                <w:lang w:val="en-US"/>
              </w:rPr>
              <w:t xml:space="preserve"> for marine and coastal biodiversity to reflect the importance of marine and coastal ecosystems for habitat and species protection and for provision of ecosystem services (such as food, climate adaptation and mitigation, disaster resilience). For example, </w:t>
            </w:r>
            <w:hyperlink r:id="rId15">
              <w:r w:rsidRPr="00191D38">
                <w:rPr>
                  <w:rFonts w:ascii="Arial" w:hAnsi="Arial" w:cs="Arial"/>
                  <w:color w:val="212121"/>
                  <w:sz w:val="22"/>
                  <w:szCs w:val="22"/>
                  <w:highlight w:val="white"/>
                  <w:lang w:val="en-US"/>
                </w:rPr>
                <w:t>Jones et al. (2020)</w:t>
              </w:r>
            </w:hyperlink>
            <w:r w:rsidRPr="00191D38">
              <w:rPr>
                <w:rFonts w:ascii="Arial" w:hAnsi="Arial" w:cs="Arial"/>
                <w:color w:val="212121"/>
                <w:sz w:val="22"/>
                <w:szCs w:val="22"/>
                <w:highlight w:val="white"/>
                <w:lang w:val="en-US"/>
              </w:rPr>
              <w:t xml:space="preserve"> identifies 8.5 million km2 of priority marine conservation areas to safeguard biodiversity. While </w:t>
            </w:r>
            <w:hyperlink r:id="rId16">
              <w:r w:rsidRPr="00191D38">
                <w:rPr>
                  <w:rFonts w:ascii="Arial" w:hAnsi="Arial" w:cs="Arial"/>
                  <w:color w:val="212121"/>
                  <w:sz w:val="22"/>
                  <w:szCs w:val="22"/>
                  <w:highlight w:val="white"/>
                  <w:lang w:val="en-US"/>
                </w:rPr>
                <w:t>Waldron et al. (2020)</w:t>
              </w:r>
            </w:hyperlink>
            <w:r w:rsidRPr="00191D38">
              <w:rPr>
                <w:rFonts w:ascii="Arial" w:hAnsi="Arial" w:cs="Arial"/>
                <w:color w:val="212121"/>
                <w:sz w:val="22"/>
                <w:szCs w:val="22"/>
                <w:highlight w:val="white"/>
                <w:lang w:val="en-US"/>
              </w:rPr>
              <w:t xml:space="preserve"> reported that the economic benefits of protecting land and ocean outweigh the financial costs. The cost of adequately protecting 30% of the earths la</w:t>
            </w:r>
            <w:r w:rsidR="003E1FF7">
              <w:rPr>
                <w:rFonts w:ascii="Arial" w:hAnsi="Arial" w:cs="Arial"/>
                <w:color w:val="212121"/>
                <w:sz w:val="22"/>
                <w:szCs w:val="22"/>
                <w:highlight w:val="white"/>
                <w:lang w:val="en-US"/>
              </w:rPr>
              <w:t>nd and oceans has been estimate</w:t>
            </w:r>
            <w:r w:rsidRPr="00191D38">
              <w:rPr>
                <w:rFonts w:ascii="Arial" w:hAnsi="Arial" w:cs="Arial"/>
                <w:color w:val="212121"/>
                <w:sz w:val="22"/>
                <w:szCs w:val="22"/>
                <w:highlight w:val="white"/>
                <w:lang w:val="en-US"/>
              </w:rPr>
              <w:t xml:space="preserve"> between $103bn and $177.5bn per annum. Analysis suggests that achieving this in two biomes alone could result in economic benefits of $170bn to $530bn (value in ecosystem services and environmental catastrophe risk avoided) per annum by 2050.</w:t>
            </w:r>
          </w:p>
          <w:p w:rsidR="00F64702" w:rsidRPr="00191D38" w:rsidRDefault="00F64702" w:rsidP="00317D6E">
            <w:pPr>
              <w:shd w:val="clear" w:color="auto" w:fill="FFFFFF"/>
              <w:spacing w:line="276" w:lineRule="auto"/>
              <w:rPr>
                <w:rFonts w:ascii="Arial" w:hAnsi="Arial" w:cs="Arial"/>
                <w:color w:val="212121"/>
                <w:sz w:val="22"/>
                <w:szCs w:val="22"/>
                <w:lang w:val="en-US"/>
              </w:rPr>
            </w:pPr>
          </w:p>
        </w:tc>
      </w:tr>
      <w:tr w:rsidR="00F64702" w:rsidRPr="00F64702" w:rsidTr="003E1FF7">
        <w:trPr>
          <w:trHeight w:val="224"/>
        </w:trPr>
        <w:tc>
          <w:tcPr>
            <w:tcW w:w="817" w:type="dxa"/>
            <w:shd w:val="clear" w:color="auto" w:fill="auto"/>
          </w:tcPr>
          <w:p w:rsidR="00F64702" w:rsidRPr="00191D38" w:rsidRDefault="00F64702" w:rsidP="00317D6E">
            <w:pPr>
              <w:rPr>
                <w:rFonts w:ascii="Arial" w:hAnsi="Arial" w:cs="Arial"/>
                <w:sz w:val="22"/>
                <w:szCs w:val="22"/>
              </w:rPr>
            </w:pPr>
            <w:r w:rsidRPr="00191D38">
              <w:rPr>
                <w:rFonts w:ascii="Arial" w:hAnsi="Arial" w:cs="Arial"/>
                <w:sz w:val="22"/>
                <w:szCs w:val="22"/>
              </w:rPr>
              <w:t>13</w:t>
            </w:r>
          </w:p>
        </w:tc>
        <w:tc>
          <w:tcPr>
            <w:tcW w:w="1305" w:type="dxa"/>
            <w:shd w:val="clear" w:color="auto" w:fill="auto"/>
          </w:tcPr>
          <w:p w:rsidR="00F64702" w:rsidRPr="00191D38" w:rsidRDefault="00F64702" w:rsidP="00317D6E">
            <w:pPr>
              <w:rPr>
                <w:rFonts w:ascii="Arial" w:hAnsi="Arial" w:cs="Arial"/>
                <w:sz w:val="22"/>
                <w:szCs w:val="22"/>
              </w:rPr>
            </w:pPr>
            <w:r w:rsidRPr="00191D38">
              <w:rPr>
                <w:rFonts w:ascii="Arial" w:hAnsi="Arial" w:cs="Arial"/>
                <w:sz w:val="22"/>
                <w:szCs w:val="22"/>
              </w:rPr>
              <w:t>54</w:t>
            </w:r>
          </w:p>
        </w:tc>
        <w:tc>
          <w:tcPr>
            <w:tcW w:w="7229" w:type="dxa"/>
            <w:gridSpan w:val="2"/>
            <w:shd w:val="clear" w:color="auto" w:fill="auto"/>
          </w:tcPr>
          <w:p w:rsidR="00F64702" w:rsidRPr="00191D38" w:rsidRDefault="00F64702" w:rsidP="00317D6E">
            <w:pPr>
              <w:shd w:val="clear" w:color="auto" w:fill="FFFFFF"/>
              <w:spacing w:line="276" w:lineRule="auto"/>
              <w:rPr>
                <w:rFonts w:ascii="Arial" w:hAnsi="Arial" w:cs="Arial"/>
                <w:color w:val="212121"/>
                <w:sz w:val="22"/>
                <w:szCs w:val="22"/>
                <w:lang w:val="en-US"/>
              </w:rPr>
            </w:pPr>
            <w:r w:rsidRPr="00191D38">
              <w:rPr>
                <w:rFonts w:ascii="Arial" w:hAnsi="Arial" w:cs="Arial"/>
                <w:color w:val="212121"/>
                <w:sz w:val="22"/>
                <w:szCs w:val="22"/>
                <w:highlight w:val="white"/>
                <w:lang w:val="en-US"/>
              </w:rPr>
              <w:t>Despite the reference to equitable and effective management, there is no information provided on IPLCs or their crucial role in effective and meaningful conservation, as highlighted in the IPBES report. We would welcome further exploration of this and the links between the role of IPLCs and actions and issues addressed in other targets (such as Target 7 and Target 4) also require further exploration</w:t>
            </w:r>
          </w:p>
        </w:tc>
      </w:tr>
      <w:tr w:rsidR="003E1FF7" w:rsidRPr="008A59A4" w:rsidTr="003E1FF7">
        <w:trPr>
          <w:trHeight w:val="224"/>
        </w:trPr>
        <w:tc>
          <w:tcPr>
            <w:tcW w:w="817" w:type="dxa"/>
          </w:tcPr>
          <w:p w:rsidR="003E1FF7" w:rsidRPr="00191D38" w:rsidRDefault="003E1FF7" w:rsidP="003E1FF7">
            <w:pPr>
              <w:rPr>
                <w:rFonts w:ascii="Arial" w:hAnsi="Arial" w:cs="Arial"/>
                <w:sz w:val="22"/>
                <w:szCs w:val="22"/>
                <w:lang w:val="es-CR"/>
              </w:rPr>
            </w:pPr>
            <w:r w:rsidRPr="00191D38">
              <w:rPr>
                <w:rFonts w:ascii="Arial" w:hAnsi="Arial" w:cs="Arial"/>
                <w:sz w:val="22"/>
                <w:szCs w:val="22"/>
                <w:lang w:val="es-CR"/>
              </w:rPr>
              <w:t>16</w:t>
            </w:r>
          </w:p>
        </w:tc>
        <w:tc>
          <w:tcPr>
            <w:tcW w:w="1305" w:type="dxa"/>
          </w:tcPr>
          <w:p w:rsidR="003E1FF7" w:rsidRPr="00191D38" w:rsidRDefault="003E1FF7" w:rsidP="003E1FF7">
            <w:pPr>
              <w:rPr>
                <w:rFonts w:ascii="Arial" w:hAnsi="Arial" w:cs="Arial"/>
                <w:sz w:val="22"/>
                <w:szCs w:val="22"/>
                <w:lang w:val="es-CR"/>
              </w:rPr>
            </w:pPr>
            <w:r w:rsidRPr="00191D38">
              <w:rPr>
                <w:rFonts w:ascii="Arial" w:hAnsi="Arial" w:cs="Arial"/>
                <w:sz w:val="22"/>
                <w:szCs w:val="22"/>
                <w:lang w:val="es-CR"/>
              </w:rPr>
              <w:t>62</w:t>
            </w:r>
          </w:p>
        </w:tc>
        <w:tc>
          <w:tcPr>
            <w:tcW w:w="7229" w:type="dxa"/>
            <w:gridSpan w:val="2"/>
          </w:tcPr>
          <w:p w:rsidR="003E1FF7" w:rsidRPr="00191D38" w:rsidRDefault="003E1FF7" w:rsidP="003E1FF7">
            <w:pPr>
              <w:rPr>
                <w:rFonts w:ascii="Arial" w:hAnsi="Arial" w:cs="Arial"/>
                <w:sz w:val="22"/>
                <w:szCs w:val="22"/>
                <w:lang w:val="es-CR"/>
              </w:rPr>
            </w:pPr>
            <w:r w:rsidRPr="00191D38">
              <w:rPr>
                <w:rFonts w:ascii="Arial" w:hAnsi="Arial" w:cs="Arial"/>
                <w:sz w:val="22"/>
                <w:szCs w:val="22"/>
                <w:lang w:val="es-CR"/>
              </w:rPr>
              <w:t xml:space="preserve">En este párrafo se menciona como otras Metas están relacionadas con la Meta 3, sin embargo, no se menciona el aporte de la Meta 1, para alcanzar el componente de reducción de los “conflictos” entre seres humanos y vida silvestre. </w:t>
            </w:r>
          </w:p>
          <w:p w:rsidR="003E1FF7" w:rsidRPr="00191D38" w:rsidRDefault="003E1FF7" w:rsidP="003E1FF7">
            <w:pPr>
              <w:rPr>
                <w:rFonts w:ascii="Arial" w:hAnsi="Arial" w:cs="Arial"/>
                <w:sz w:val="22"/>
                <w:szCs w:val="22"/>
                <w:lang w:val="es-CR"/>
              </w:rPr>
            </w:pPr>
          </w:p>
          <w:p w:rsidR="003E1FF7" w:rsidRPr="00191D38" w:rsidRDefault="003E1FF7" w:rsidP="003E1FF7">
            <w:pPr>
              <w:rPr>
                <w:rFonts w:ascii="Arial" w:hAnsi="Arial" w:cs="Arial"/>
                <w:sz w:val="22"/>
                <w:szCs w:val="22"/>
                <w:lang w:val="es-CR"/>
              </w:rPr>
            </w:pPr>
            <w:r w:rsidRPr="00191D38">
              <w:rPr>
                <w:rFonts w:ascii="Arial" w:hAnsi="Arial" w:cs="Arial"/>
                <w:sz w:val="22"/>
                <w:szCs w:val="22"/>
                <w:lang w:val="es-CR"/>
              </w:rPr>
              <w:t xml:space="preserve">Un adecuado instrumente de planificación espacial, podría disminuir en gran medida los “conflictos” entre seres humanos y vida silvestre. </w:t>
            </w:r>
          </w:p>
        </w:tc>
      </w:tr>
      <w:tr w:rsidR="003E1FF7" w:rsidRPr="008A59A4" w:rsidTr="003E1FF7">
        <w:trPr>
          <w:trHeight w:val="224"/>
        </w:trPr>
        <w:tc>
          <w:tcPr>
            <w:tcW w:w="817" w:type="dxa"/>
          </w:tcPr>
          <w:p w:rsidR="003E1FF7" w:rsidRPr="00191D38" w:rsidRDefault="001D6414" w:rsidP="003E1FF7">
            <w:pPr>
              <w:rPr>
                <w:rFonts w:ascii="Arial" w:hAnsi="Arial" w:cs="Arial"/>
                <w:sz w:val="22"/>
                <w:szCs w:val="22"/>
                <w:lang w:val="es-CR"/>
              </w:rPr>
            </w:pPr>
            <w:r>
              <w:rPr>
                <w:rFonts w:ascii="Arial" w:hAnsi="Arial" w:cs="Arial"/>
                <w:sz w:val="22"/>
                <w:szCs w:val="22"/>
                <w:lang w:val="es-CR"/>
              </w:rPr>
              <w:lastRenderedPageBreak/>
              <w:t>17-18</w:t>
            </w:r>
          </w:p>
        </w:tc>
        <w:tc>
          <w:tcPr>
            <w:tcW w:w="1305" w:type="dxa"/>
          </w:tcPr>
          <w:p w:rsidR="003E1FF7" w:rsidRPr="00191D38" w:rsidRDefault="001D6414" w:rsidP="003E1FF7">
            <w:pPr>
              <w:rPr>
                <w:rFonts w:ascii="Arial" w:hAnsi="Arial" w:cs="Arial"/>
                <w:sz w:val="22"/>
                <w:szCs w:val="22"/>
                <w:lang w:val="es-CR"/>
              </w:rPr>
            </w:pPr>
            <w:r>
              <w:rPr>
                <w:rFonts w:ascii="Arial" w:hAnsi="Arial" w:cs="Arial"/>
                <w:sz w:val="22"/>
                <w:szCs w:val="22"/>
                <w:lang w:val="es-CR"/>
              </w:rPr>
              <w:t>63-65</w:t>
            </w:r>
          </w:p>
        </w:tc>
        <w:tc>
          <w:tcPr>
            <w:tcW w:w="7229" w:type="dxa"/>
            <w:gridSpan w:val="2"/>
          </w:tcPr>
          <w:p w:rsidR="003E1FF7" w:rsidRDefault="001D6414" w:rsidP="003E1FF7">
            <w:pPr>
              <w:rPr>
                <w:rFonts w:ascii="Arial" w:hAnsi="Arial" w:cs="Arial"/>
                <w:sz w:val="22"/>
                <w:szCs w:val="22"/>
                <w:lang w:val="es-CR"/>
              </w:rPr>
            </w:pPr>
            <w:r>
              <w:rPr>
                <w:rFonts w:ascii="Arial" w:hAnsi="Arial" w:cs="Arial"/>
                <w:sz w:val="22"/>
                <w:szCs w:val="22"/>
                <w:lang w:val="es-CR"/>
              </w:rPr>
              <w:t>A pesar de que “</w:t>
            </w:r>
            <w:r w:rsidRPr="001D6414">
              <w:rPr>
                <w:rFonts w:ascii="Arial" w:hAnsi="Arial" w:cs="Arial"/>
                <w:i/>
                <w:sz w:val="22"/>
                <w:szCs w:val="22"/>
                <w:lang w:val="es-CR"/>
              </w:rPr>
              <w:t>La explotación directa de las poblaciones silvestres de especies es el mayor impulsor directo de la pérdida de diversidad biológica en los ecosistemas marinos y el segundo mayor impulsor en los ecosistemas terrestres y de agua dulce</w:t>
            </w:r>
            <w:r>
              <w:rPr>
                <w:rFonts w:ascii="Arial" w:hAnsi="Arial" w:cs="Arial"/>
                <w:sz w:val="22"/>
                <w:szCs w:val="22"/>
                <w:lang w:val="es-CR"/>
              </w:rPr>
              <w:t xml:space="preserve">”, el documento en revisión no aporta suficiente información científica que respalde esta Meta, a pesar de existir ampliamente. </w:t>
            </w:r>
          </w:p>
          <w:p w:rsidR="001D6414" w:rsidRPr="00191D38" w:rsidRDefault="001D6414" w:rsidP="003E1FF7">
            <w:pPr>
              <w:rPr>
                <w:rFonts w:ascii="Arial" w:hAnsi="Arial" w:cs="Arial"/>
                <w:sz w:val="22"/>
                <w:szCs w:val="22"/>
                <w:lang w:val="es-CR"/>
              </w:rPr>
            </w:pPr>
            <w:r>
              <w:rPr>
                <w:rFonts w:ascii="Arial" w:hAnsi="Arial" w:cs="Arial"/>
                <w:sz w:val="22"/>
                <w:szCs w:val="22"/>
                <w:lang w:val="es-CR"/>
              </w:rPr>
              <w:t xml:space="preserve">En particular preocupa la falta de referencias científicas en el tema de sobreexplotación pesquera y el uso de vida silvestre legal, pero no sustentable. </w:t>
            </w:r>
          </w:p>
        </w:tc>
      </w:tr>
      <w:tr w:rsidR="003E1FF7" w:rsidRPr="008A59A4" w:rsidTr="003E1FF7">
        <w:trPr>
          <w:trHeight w:val="224"/>
        </w:trPr>
        <w:tc>
          <w:tcPr>
            <w:tcW w:w="817" w:type="dxa"/>
          </w:tcPr>
          <w:p w:rsidR="003E1FF7" w:rsidRPr="00191D38" w:rsidRDefault="0028527F" w:rsidP="003E1FF7">
            <w:pPr>
              <w:rPr>
                <w:rFonts w:ascii="Arial" w:hAnsi="Arial" w:cs="Arial"/>
                <w:sz w:val="22"/>
                <w:szCs w:val="22"/>
                <w:lang w:val="es-CR"/>
              </w:rPr>
            </w:pPr>
            <w:r>
              <w:rPr>
                <w:rFonts w:ascii="Arial" w:hAnsi="Arial" w:cs="Arial"/>
                <w:sz w:val="22"/>
                <w:szCs w:val="22"/>
                <w:lang w:val="es-CR"/>
              </w:rPr>
              <w:t>23</w:t>
            </w:r>
          </w:p>
        </w:tc>
        <w:tc>
          <w:tcPr>
            <w:tcW w:w="1305" w:type="dxa"/>
          </w:tcPr>
          <w:p w:rsidR="003E1FF7" w:rsidRPr="00191D38" w:rsidRDefault="0028527F" w:rsidP="003E1FF7">
            <w:pPr>
              <w:rPr>
                <w:rFonts w:ascii="Arial" w:hAnsi="Arial" w:cs="Arial"/>
                <w:sz w:val="22"/>
                <w:szCs w:val="22"/>
                <w:lang w:val="es-CR"/>
              </w:rPr>
            </w:pPr>
            <w:r>
              <w:rPr>
                <w:rFonts w:ascii="Arial" w:hAnsi="Arial" w:cs="Arial"/>
                <w:sz w:val="22"/>
                <w:szCs w:val="22"/>
                <w:lang w:val="es-CR"/>
              </w:rPr>
              <w:t>81</w:t>
            </w:r>
          </w:p>
        </w:tc>
        <w:tc>
          <w:tcPr>
            <w:tcW w:w="7229" w:type="dxa"/>
            <w:gridSpan w:val="2"/>
          </w:tcPr>
          <w:p w:rsidR="003E1FF7" w:rsidRPr="00191D38" w:rsidRDefault="0028527F" w:rsidP="0028527F">
            <w:pPr>
              <w:rPr>
                <w:rFonts w:ascii="Arial" w:hAnsi="Arial" w:cs="Arial"/>
                <w:sz w:val="22"/>
                <w:szCs w:val="22"/>
                <w:lang w:val="es-CR"/>
              </w:rPr>
            </w:pPr>
            <w:r>
              <w:rPr>
                <w:rFonts w:ascii="Arial" w:hAnsi="Arial" w:cs="Arial"/>
                <w:sz w:val="22"/>
                <w:szCs w:val="22"/>
                <w:lang w:val="es-CR"/>
              </w:rPr>
              <w:t>Existe información científica que respaldan el uso de ciertas medidas “</w:t>
            </w:r>
            <w:r w:rsidRPr="0028527F">
              <w:rPr>
                <w:rFonts w:ascii="Arial" w:hAnsi="Arial" w:cs="Arial"/>
                <w:i/>
                <w:sz w:val="22"/>
                <w:szCs w:val="22"/>
                <w:lang w:val="es-CR"/>
              </w:rPr>
              <w:t>p</w:t>
            </w:r>
            <w:r w:rsidRPr="0028527F">
              <w:rPr>
                <w:rFonts w:ascii="Arial" w:hAnsi="Arial" w:cs="Arial"/>
                <w:i/>
                <w:sz w:val="22"/>
                <w:szCs w:val="22"/>
                <w:lang w:val="es-CR"/>
              </w:rPr>
              <w:t xml:space="preserve">ara apoyar la productividad, sostenibilidad y </w:t>
            </w:r>
            <w:r w:rsidRPr="0028527F">
              <w:rPr>
                <w:rFonts w:ascii="Arial" w:hAnsi="Arial" w:cs="Arial"/>
                <w:i/>
                <w:sz w:val="22"/>
                <w:szCs w:val="22"/>
                <w:lang w:val="es-CR"/>
              </w:rPr>
              <w:t>resiliencia de la diversidad biológica en ecosi</w:t>
            </w:r>
            <w:r w:rsidRPr="0028527F">
              <w:rPr>
                <w:rFonts w:ascii="Arial" w:hAnsi="Arial" w:cs="Arial"/>
                <w:i/>
                <w:sz w:val="22"/>
                <w:szCs w:val="22"/>
                <w:lang w:val="es-CR"/>
              </w:rPr>
              <w:t>stemas agrícolas y gestionados</w:t>
            </w:r>
            <w:r>
              <w:rPr>
                <w:rFonts w:ascii="Arial" w:hAnsi="Arial" w:cs="Arial"/>
                <w:sz w:val="22"/>
                <w:szCs w:val="22"/>
                <w:lang w:val="es-CR"/>
              </w:rPr>
              <w:t>.” Sin embargo, no se hacen referencias a dicha información científica, lo cual es crítico para poder respaldar, como realmente se puede hacer un cambio en las prácticas de producción agrícola tradicionales, sin que esto implique un impacto negativo fuerte en la economía.</w:t>
            </w:r>
          </w:p>
        </w:tc>
      </w:tr>
      <w:tr w:rsidR="003E1FF7" w:rsidRPr="008A59A4" w:rsidTr="003E1FF7">
        <w:trPr>
          <w:trHeight w:val="224"/>
        </w:trPr>
        <w:tc>
          <w:tcPr>
            <w:tcW w:w="817" w:type="dxa"/>
          </w:tcPr>
          <w:p w:rsidR="003E1FF7" w:rsidRPr="00191D38" w:rsidRDefault="0028527F" w:rsidP="003E1FF7">
            <w:pPr>
              <w:rPr>
                <w:rFonts w:ascii="Arial" w:hAnsi="Arial" w:cs="Arial"/>
                <w:sz w:val="22"/>
                <w:szCs w:val="22"/>
                <w:lang w:val="es-CR"/>
              </w:rPr>
            </w:pPr>
            <w:r>
              <w:rPr>
                <w:rFonts w:ascii="Arial" w:hAnsi="Arial" w:cs="Arial"/>
                <w:sz w:val="22"/>
                <w:szCs w:val="22"/>
                <w:lang w:val="es-CR"/>
              </w:rPr>
              <w:t>28-29</w:t>
            </w:r>
          </w:p>
        </w:tc>
        <w:tc>
          <w:tcPr>
            <w:tcW w:w="1305" w:type="dxa"/>
          </w:tcPr>
          <w:p w:rsidR="003E1FF7" w:rsidRPr="00191D38" w:rsidRDefault="0028527F" w:rsidP="003E1FF7">
            <w:pPr>
              <w:rPr>
                <w:rFonts w:ascii="Arial" w:hAnsi="Arial" w:cs="Arial"/>
                <w:sz w:val="22"/>
                <w:szCs w:val="22"/>
                <w:lang w:val="es-CR"/>
              </w:rPr>
            </w:pPr>
            <w:r>
              <w:rPr>
                <w:rFonts w:ascii="Arial" w:hAnsi="Arial" w:cs="Arial"/>
                <w:sz w:val="22"/>
                <w:szCs w:val="22"/>
                <w:lang w:val="es-CR"/>
              </w:rPr>
              <w:t>96-98</w:t>
            </w:r>
          </w:p>
        </w:tc>
        <w:tc>
          <w:tcPr>
            <w:tcW w:w="7229" w:type="dxa"/>
            <w:gridSpan w:val="2"/>
          </w:tcPr>
          <w:p w:rsidR="0028527F" w:rsidRDefault="0028527F" w:rsidP="0028527F">
            <w:pPr>
              <w:rPr>
                <w:rFonts w:ascii="Arial" w:hAnsi="Arial" w:cs="Arial"/>
                <w:sz w:val="22"/>
                <w:szCs w:val="22"/>
                <w:lang w:val="es-CR"/>
              </w:rPr>
            </w:pPr>
            <w:r>
              <w:rPr>
                <w:rFonts w:ascii="Arial" w:hAnsi="Arial" w:cs="Arial"/>
                <w:sz w:val="22"/>
                <w:szCs w:val="22"/>
                <w:lang w:val="es-CR"/>
              </w:rPr>
              <w:t xml:space="preserve">A pesar de que </w:t>
            </w:r>
            <w:r w:rsidRPr="0028527F">
              <w:rPr>
                <w:rFonts w:ascii="Arial" w:hAnsi="Arial" w:cs="Arial"/>
                <w:i/>
                <w:sz w:val="22"/>
                <w:szCs w:val="22"/>
                <w:lang w:val="es-CR"/>
              </w:rPr>
              <w:t>“</w:t>
            </w:r>
            <w:r w:rsidRPr="0028527F">
              <w:rPr>
                <w:rFonts w:ascii="Arial" w:hAnsi="Arial" w:cs="Arial"/>
                <w:i/>
                <w:sz w:val="22"/>
                <w:szCs w:val="22"/>
                <w:lang w:val="es-CR"/>
              </w:rPr>
              <w:t>El consumo no sostenible es la base de cada uno de los princi</w:t>
            </w:r>
            <w:r w:rsidRPr="0028527F">
              <w:rPr>
                <w:rFonts w:ascii="Arial" w:hAnsi="Arial" w:cs="Arial"/>
                <w:i/>
                <w:sz w:val="22"/>
                <w:szCs w:val="22"/>
                <w:lang w:val="es-CR"/>
              </w:rPr>
              <w:t>pales impulsores directos de la pérdida de diversidad biol</w:t>
            </w:r>
            <w:r w:rsidRPr="0028527F">
              <w:rPr>
                <w:rFonts w:ascii="Arial" w:hAnsi="Arial" w:cs="Arial"/>
                <w:i/>
                <w:sz w:val="22"/>
                <w:szCs w:val="22"/>
                <w:lang w:val="es-CR"/>
              </w:rPr>
              <w:t>ógica</w:t>
            </w:r>
            <w:r w:rsidRPr="0028527F">
              <w:rPr>
                <w:rFonts w:ascii="Arial" w:hAnsi="Arial" w:cs="Arial"/>
                <w:i/>
                <w:sz w:val="22"/>
                <w:szCs w:val="22"/>
                <w:lang w:val="es-CR"/>
              </w:rPr>
              <w:t>”</w:t>
            </w:r>
            <w:r>
              <w:rPr>
                <w:rFonts w:ascii="Arial" w:hAnsi="Arial" w:cs="Arial"/>
                <w:sz w:val="22"/>
                <w:szCs w:val="22"/>
                <w:lang w:val="es-CR"/>
              </w:rPr>
              <w:t xml:space="preserve">, </w:t>
            </w:r>
            <w:r>
              <w:rPr>
                <w:rFonts w:ascii="Arial" w:hAnsi="Arial" w:cs="Arial"/>
                <w:sz w:val="22"/>
                <w:szCs w:val="22"/>
                <w:lang w:val="es-CR"/>
              </w:rPr>
              <w:t xml:space="preserve">el documento en revisión no aporta suficiente información científica que respalde esta Meta, a pesar de existir ampliamente. </w:t>
            </w:r>
          </w:p>
          <w:p w:rsidR="003E1FF7" w:rsidRPr="00191D38" w:rsidRDefault="003E1FF7" w:rsidP="0028527F">
            <w:pPr>
              <w:rPr>
                <w:rFonts w:ascii="Arial" w:hAnsi="Arial" w:cs="Arial"/>
                <w:sz w:val="22"/>
                <w:szCs w:val="22"/>
                <w:lang w:val="es-CR"/>
              </w:rPr>
            </w:pPr>
          </w:p>
        </w:tc>
      </w:tr>
      <w:tr w:rsidR="003E1FF7" w:rsidRPr="008A59A4" w:rsidTr="003E1FF7">
        <w:trPr>
          <w:trHeight w:val="224"/>
        </w:trPr>
        <w:tc>
          <w:tcPr>
            <w:tcW w:w="817" w:type="dxa"/>
          </w:tcPr>
          <w:p w:rsidR="003E1FF7" w:rsidRPr="00191D38" w:rsidRDefault="0035745F" w:rsidP="003E1FF7">
            <w:pPr>
              <w:rPr>
                <w:rFonts w:ascii="Arial" w:hAnsi="Arial" w:cs="Arial"/>
                <w:sz w:val="22"/>
                <w:szCs w:val="22"/>
                <w:lang w:val="es-CR"/>
              </w:rPr>
            </w:pPr>
            <w:r>
              <w:rPr>
                <w:rFonts w:ascii="Arial" w:hAnsi="Arial" w:cs="Arial"/>
                <w:sz w:val="22"/>
                <w:szCs w:val="22"/>
                <w:lang w:val="es-CR"/>
              </w:rPr>
              <w:t>35</w:t>
            </w:r>
          </w:p>
        </w:tc>
        <w:tc>
          <w:tcPr>
            <w:tcW w:w="1305" w:type="dxa"/>
          </w:tcPr>
          <w:p w:rsidR="003E1FF7" w:rsidRPr="00191D38" w:rsidRDefault="0035745F" w:rsidP="003E1FF7">
            <w:pPr>
              <w:rPr>
                <w:rFonts w:ascii="Arial" w:hAnsi="Arial" w:cs="Arial"/>
                <w:sz w:val="22"/>
                <w:szCs w:val="22"/>
                <w:lang w:val="es-CR"/>
              </w:rPr>
            </w:pPr>
            <w:r>
              <w:rPr>
                <w:rFonts w:ascii="Arial" w:hAnsi="Arial" w:cs="Arial"/>
                <w:sz w:val="22"/>
                <w:szCs w:val="22"/>
                <w:lang w:val="es-CR"/>
              </w:rPr>
              <w:t>119</w:t>
            </w:r>
          </w:p>
        </w:tc>
        <w:tc>
          <w:tcPr>
            <w:tcW w:w="7229" w:type="dxa"/>
            <w:gridSpan w:val="2"/>
          </w:tcPr>
          <w:p w:rsidR="003E1FF7" w:rsidRDefault="0035745F" w:rsidP="003E1FF7">
            <w:pPr>
              <w:rPr>
                <w:rFonts w:ascii="Arial" w:hAnsi="Arial" w:cs="Arial"/>
                <w:sz w:val="22"/>
                <w:szCs w:val="22"/>
                <w:lang w:val="es-CR"/>
              </w:rPr>
            </w:pPr>
            <w:r>
              <w:rPr>
                <w:rFonts w:ascii="Arial" w:hAnsi="Arial" w:cs="Arial"/>
                <w:sz w:val="22"/>
                <w:szCs w:val="22"/>
                <w:lang w:val="es-CR"/>
              </w:rPr>
              <w:t xml:space="preserve">Se recibe con agrado, que se reconozca que las disposiciones del artículo 8j no se abordan plenamente en los objetivos y metas propuestas. </w:t>
            </w:r>
          </w:p>
          <w:p w:rsidR="0035745F" w:rsidRPr="00191D38" w:rsidRDefault="0035745F" w:rsidP="003E1FF7">
            <w:pPr>
              <w:rPr>
                <w:rFonts w:ascii="Arial" w:hAnsi="Arial" w:cs="Arial"/>
                <w:sz w:val="22"/>
                <w:szCs w:val="22"/>
                <w:lang w:val="es-CR"/>
              </w:rPr>
            </w:pPr>
            <w:r>
              <w:rPr>
                <w:rFonts w:ascii="Arial" w:hAnsi="Arial" w:cs="Arial"/>
                <w:sz w:val="22"/>
                <w:szCs w:val="22"/>
                <w:lang w:val="es-CR"/>
              </w:rPr>
              <w:t xml:space="preserve">Costa Rica solicita a las partes, realizar las modificaciones necesarias para solventar esta carencia. </w:t>
            </w:r>
          </w:p>
        </w:tc>
      </w:tr>
      <w:tr w:rsidR="003E1FF7" w:rsidRPr="008A59A4" w:rsidTr="003E1FF7">
        <w:trPr>
          <w:trHeight w:val="224"/>
        </w:trPr>
        <w:tc>
          <w:tcPr>
            <w:tcW w:w="817" w:type="dxa"/>
          </w:tcPr>
          <w:p w:rsidR="003E1FF7" w:rsidRPr="00E61587" w:rsidRDefault="0035745F" w:rsidP="003E1FF7">
            <w:pPr>
              <w:rPr>
                <w:lang w:val="es-CR"/>
              </w:rPr>
            </w:pPr>
            <w:r>
              <w:rPr>
                <w:lang w:val="es-CR"/>
              </w:rPr>
              <w:t>35</w:t>
            </w:r>
          </w:p>
        </w:tc>
        <w:tc>
          <w:tcPr>
            <w:tcW w:w="1305" w:type="dxa"/>
          </w:tcPr>
          <w:p w:rsidR="003E1FF7" w:rsidRPr="00E61587" w:rsidRDefault="0035745F" w:rsidP="003E1FF7">
            <w:pPr>
              <w:rPr>
                <w:lang w:val="es-CR"/>
              </w:rPr>
            </w:pPr>
            <w:r>
              <w:rPr>
                <w:lang w:val="es-CR"/>
              </w:rPr>
              <w:t>120</w:t>
            </w:r>
          </w:p>
        </w:tc>
        <w:tc>
          <w:tcPr>
            <w:tcW w:w="7229" w:type="dxa"/>
            <w:gridSpan w:val="2"/>
          </w:tcPr>
          <w:p w:rsidR="003E1FF7" w:rsidRPr="00E61587" w:rsidRDefault="0035745F" w:rsidP="003E1FF7">
            <w:pPr>
              <w:rPr>
                <w:lang w:val="es-CR"/>
              </w:rPr>
            </w:pPr>
            <w:r>
              <w:rPr>
                <w:lang w:val="es-CR"/>
              </w:rPr>
              <w:t xml:space="preserve">Es necesario indicar, explícitamente en este párrafo, que el impulsor directo de perdida de la biodiversidad, cambios en el uso de la tierra y los océanos, es atendido por las Metas 1 y 2 propuestas. NO solo por la Meta 1. </w:t>
            </w:r>
          </w:p>
        </w:tc>
      </w:tr>
      <w:tr w:rsidR="003E1FF7" w:rsidRPr="00F64702" w:rsidTr="003E1FF7">
        <w:trPr>
          <w:trHeight w:val="224"/>
        </w:trPr>
        <w:tc>
          <w:tcPr>
            <w:tcW w:w="817" w:type="dxa"/>
          </w:tcPr>
          <w:p w:rsidR="003E1FF7" w:rsidRPr="00E61587" w:rsidRDefault="003E1FF7" w:rsidP="003E1FF7">
            <w:pPr>
              <w:rPr>
                <w:lang w:val="es-CR"/>
              </w:rPr>
            </w:pPr>
          </w:p>
        </w:tc>
        <w:tc>
          <w:tcPr>
            <w:tcW w:w="1305" w:type="dxa"/>
          </w:tcPr>
          <w:p w:rsidR="003E1FF7" w:rsidRPr="00E61587" w:rsidRDefault="003E1FF7" w:rsidP="003E1FF7">
            <w:pPr>
              <w:rPr>
                <w:lang w:val="es-CR"/>
              </w:rPr>
            </w:pPr>
          </w:p>
        </w:tc>
        <w:tc>
          <w:tcPr>
            <w:tcW w:w="7229" w:type="dxa"/>
            <w:gridSpan w:val="2"/>
          </w:tcPr>
          <w:p w:rsidR="003E1FF7" w:rsidRPr="00F64702" w:rsidRDefault="003E1FF7" w:rsidP="003E1FF7">
            <w:pPr>
              <w:rPr>
                <w:lang w:val="en-US"/>
              </w:rPr>
            </w:pPr>
            <w:proofErr w:type="spellStart"/>
            <w:r w:rsidRPr="001D6414">
              <w:rPr>
                <w:sz w:val="22"/>
                <w:szCs w:val="22"/>
                <w:lang w:val="es-CR"/>
              </w:rPr>
              <w:t>Additional</w:t>
            </w:r>
            <w:proofErr w:type="spellEnd"/>
            <w:r w:rsidRPr="001D6414">
              <w:rPr>
                <w:sz w:val="22"/>
                <w:szCs w:val="22"/>
                <w:lang w:val="es-CR"/>
              </w:rPr>
              <w:t xml:space="preserve"> </w:t>
            </w:r>
            <w:proofErr w:type="spellStart"/>
            <w:r w:rsidRPr="001D6414">
              <w:rPr>
                <w:sz w:val="22"/>
                <w:szCs w:val="22"/>
                <w:lang w:val="es-CR"/>
              </w:rPr>
              <w:t>rows</w:t>
            </w:r>
            <w:proofErr w:type="spellEnd"/>
            <w:r w:rsidRPr="001D6414">
              <w:rPr>
                <w:sz w:val="22"/>
                <w:szCs w:val="22"/>
                <w:lang w:val="es-CR"/>
              </w:rPr>
              <w:t xml:space="preserve"> can be </w:t>
            </w:r>
            <w:proofErr w:type="spellStart"/>
            <w:r w:rsidRPr="001D6414">
              <w:rPr>
                <w:sz w:val="22"/>
                <w:szCs w:val="22"/>
                <w:lang w:val="es-CR"/>
              </w:rPr>
              <w:t>added</w:t>
            </w:r>
            <w:proofErr w:type="spellEnd"/>
            <w:r w:rsidRPr="001D6414">
              <w:rPr>
                <w:sz w:val="22"/>
                <w:szCs w:val="22"/>
                <w:lang w:val="es-CR"/>
              </w:rPr>
              <w:t xml:space="preserve"> to </w:t>
            </w:r>
            <w:proofErr w:type="spellStart"/>
            <w:r w:rsidRPr="001D6414">
              <w:rPr>
                <w:sz w:val="22"/>
                <w:szCs w:val="22"/>
                <w:lang w:val="es-CR"/>
              </w:rPr>
              <w:t>this</w:t>
            </w:r>
            <w:proofErr w:type="spellEnd"/>
            <w:r w:rsidRPr="001D6414">
              <w:rPr>
                <w:sz w:val="22"/>
                <w:szCs w:val="22"/>
                <w:lang w:val="es-CR"/>
              </w:rPr>
              <w:t xml:space="preserve"> </w:t>
            </w:r>
            <w:proofErr w:type="spellStart"/>
            <w:r w:rsidRPr="001D6414">
              <w:rPr>
                <w:sz w:val="22"/>
                <w:szCs w:val="22"/>
                <w:lang w:val="es-CR"/>
              </w:rPr>
              <w:t>table</w:t>
            </w:r>
            <w:proofErr w:type="spellEnd"/>
            <w:r w:rsidRPr="001D6414">
              <w:rPr>
                <w:sz w:val="22"/>
                <w:szCs w:val="22"/>
                <w:lang w:val="es-CR"/>
              </w:rPr>
              <w:t xml:space="preserve"> </w:t>
            </w:r>
            <w:proofErr w:type="spellStart"/>
            <w:r w:rsidRPr="001D6414">
              <w:rPr>
                <w:sz w:val="22"/>
                <w:szCs w:val="22"/>
                <w:lang w:val="es-CR"/>
              </w:rPr>
              <w:t>by</w:t>
            </w:r>
            <w:proofErr w:type="spellEnd"/>
            <w:r w:rsidRPr="001D6414">
              <w:rPr>
                <w:sz w:val="22"/>
                <w:szCs w:val="22"/>
                <w:lang w:val="es-CR"/>
              </w:rPr>
              <w:t xml:space="preserve"> </w:t>
            </w:r>
            <w:proofErr w:type="spellStart"/>
            <w:r w:rsidRPr="001D6414">
              <w:rPr>
                <w:sz w:val="22"/>
                <w:szCs w:val="22"/>
                <w:lang w:val="es-CR"/>
              </w:rPr>
              <w:t>selecting</w:t>
            </w:r>
            <w:proofErr w:type="spellEnd"/>
            <w:r w:rsidRPr="001D6414">
              <w:rPr>
                <w:sz w:val="22"/>
                <w:szCs w:val="22"/>
                <w:lang w:val="es-CR"/>
              </w:rPr>
              <w:t xml:space="preserve"> “</w:t>
            </w:r>
            <w:proofErr w:type="spellStart"/>
            <w:r w:rsidRPr="001D6414">
              <w:rPr>
                <w:sz w:val="22"/>
                <w:szCs w:val="22"/>
                <w:lang w:val="es-CR"/>
              </w:rPr>
              <w:t>Table</w:t>
            </w:r>
            <w:proofErr w:type="spellEnd"/>
            <w:r w:rsidRPr="001D6414">
              <w:rPr>
                <w:sz w:val="22"/>
                <w:szCs w:val="22"/>
                <w:lang w:val="es-CR"/>
              </w:rPr>
              <w:t xml:space="preserve">” </w:t>
            </w:r>
            <w:proofErr w:type="spellStart"/>
            <w:r w:rsidRPr="001D6414">
              <w:rPr>
                <w:sz w:val="22"/>
                <w:szCs w:val="22"/>
                <w:lang w:val="es-CR"/>
              </w:rPr>
              <w:t>followed</w:t>
            </w:r>
            <w:proofErr w:type="spellEnd"/>
            <w:r w:rsidRPr="001D6414">
              <w:rPr>
                <w:sz w:val="22"/>
                <w:szCs w:val="22"/>
                <w:lang w:val="es-CR"/>
              </w:rPr>
              <w:t xml:space="preserve"> </w:t>
            </w:r>
            <w:proofErr w:type="spellStart"/>
            <w:r w:rsidRPr="001D6414">
              <w:rPr>
                <w:sz w:val="22"/>
                <w:szCs w:val="22"/>
                <w:lang w:val="es-CR"/>
              </w:rPr>
              <w:t>by</w:t>
            </w:r>
            <w:proofErr w:type="spellEnd"/>
            <w:r w:rsidRPr="001D6414">
              <w:rPr>
                <w:sz w:val="22"/>
                <w:szCs w:val="22"/>
                <w:lang w:val="es-CR"/>
              </w:rPr>
              <w:t xml:space="preserve"> “</w:t>
            </w:r>
            <w:proofErr w:type="spellStart"/>
            <w:r w:rsidRPr="001D6414">
              <w:rPr>
                <w:sz w:val="22"/>
                <w:szCs w:val="22"/>
                <w:lang w:val="es-CR"/>
              </w:rPr>
              <w:t>insert</w:t>
            </w:r>
            <w:proofErr w:type="spellEnd"/>
            <w:r w:rsidRPr="001D6414">
              <w:rPr>
                <w:sz w:val="22"/>
                <w:szCs w:val="22"/>
                <w:lang w:val="es-CR"/>
              </w:rPr>
              <w:t>” and “</w:t>
            </w:r>
            <w:proofErr w:type="spellStart"/>
            <w:r w:rsidRPr="001D6414">
              <w:rPr>
                <w:sz w:val="22"/>
                <w:szCs w:val="22"/>
                <w:lang w:val="es-CR"/>
              </w:rPr>
              <w:t>rows</w:t>
            </w:r>
            <w:proofErr w:type="spellEnd"/>
            <w:r w:rsidRPr="001D6414">
              <w:rPr>
                <w:sz w:val="22"/>
                <w:szCs w:val="22"/>
                <w:lang w:val="es-CR"/>
              </w:rPr>
              <w:t xml:space="preserve"> </w:t>
            </w:r>
            <w:proofErr w:type="spellStart"/>
            <w:r w:rsidRPr="001D6414">
              <w:rPr>
                <w:sz w:val="22"/>
                <w:szCs w:val="22"/>
                <w:lang w:val="es-CR"/>
              </w:rPr>
              <w:t>belo</w:t>
            </w:r>
            <w:proofErr w:type="spellEnd"/>
            <w:r w:rsidRPr="00F64702">
              <w:rPr>
                <w:sz w:val="22"/>
                <w:szCs w:val="22"/>
                <w:lang w:val="en-US"/>
              </w:rPr>
              <w:t>w”</w:t>
            </w:r>
          </w:p>
        </w:tc>
      </w:tr>
    </w:tbl>
    <w:p w:rsidR="001A45D9" w:rsidRPr="00F64702" w:rsidRDefault="001A45D9" w:rsidP="001A45D9">
      <w:pPr>
        <w:jc w:val="both"/>
        <w:rPr>
          <w:i/>
          <w:szCs w:val="22"/>
          <w:lang w:val="en-US"/>
        </w:rPr>
      </w:pPr>
    </w:p>
    <w:p w:rsidR="001A45D9" w:rsidRPr="00F64702" w:rsidRDefault="001A45D9">
      <w:pPr>
        <w:jc w:val="both"/>
        <w:rPr>
          <w:lang w:val="en-US"/>
        </w:rPr>
      </w:pPr>
    </w:p>
    <w:p w:rsidR="007A1018" w:rsidRPr="00F64702" w:rsidRDefault="007A1018">
      <w:pPr>
        <w:jc w:val="both"/>
        <w:rPr>
          <w:lang w:val="en-US"/>
        </w:rPr>
      </w:pPr>
    </w:p>
    <w:p w:rsidR="007A1018" w:rsidRPr="00F64702" w:rsidRDefault="007A1018">
      <w:pPr>
        <w:jc w:val="both"/>
        <w:rPr>
          <w:color w:val="222222"/>
          <w:lang w:val="en-US"/>
        </w:rPr>
      </w:pPr>
    </w:p>
    <w:p w:rsidR="007A1018" w:rsidRPr="00F64702" w:rsidRDefault="007A1018">
      <w:pPr>
        <w:jc w:val="both"/>
        <w:rPr>
          <w:b/>
          <w:lang w:val="en-US"/>
        </w:rPr>
      </w:pPr>
    </w:p>
    <w:p w:rsidR="007A1018" w:rsidRPr="00F64702" w:rsidRDefault="007A1018">
      <w:pPr>
        <w:jc w:val="both"/>
        <w:rPr>
          <w:b/>
          <w:lang w:val="en-US"/>
        </w:rPr>
      </w:pPr>
    </w:p>
    <w:p w:rsidR="007A1018" w:rsidRPr="00F64702" w:rsidRDefault="007A1018">
      <w:pPr>
        <w:jc w:val="both"/>
        <w:rPr>
          <w:b/>
          <w:lang w:val="en-US"/>
        </w:rPr>
      </w:pPr>
    </w:p>
    <w:p w:rsidR="007A1018" w:rsidRPr="00F64702" w:rsidRDefault="007A1018">
      <w:pPr>
        <w:jc w:val="both"/>
        <w:rPr>
          <w:b/>
          <w:lang w:val="en-US"/>
        </w:rPr>
      </w:pPr>
    </w:p>
    <w:p w:rsidR="007A1018" w:rsidRPr="00F64702" w:rsidRDefault="007A1018">
      <w:pPr>
        <w:jc w:val="both"/>
        <w:rPr>
          <w:b/>
          <w:lang w:val="en-US"/>
        </w:rPr>
      </w:pPr>
    </w:p>
    <w:p w:rsidR="007A1018" w:rsidRPr="00F64702" w:rsidRDefault="007A1018">
      <w:pPr>
        <w:jc w:val="both"/>
        <w:rPr>
          <w:lang w:val="en-US"/>
        </w:rPr>
      </w:pPr>
    </w:p>
    <w:p w:rsidR="007A1018" w:rsidRPr="00F64702" w:rsidRDefault="007A1018">
      <w:pPr>
        <w:jc w:val="both"/>
        <w:rPr>
          <w:lang w:val="en-US"/>
        </w:rPr>
      </w:pPr>
    </w:p>
    <w:p w:rsidR="007A1018" w:rsidRDefault="00CB414D">
      <w:pPr>
        <w:jc w:val="both"/>
        <w:rPr>
          <w:b/>
        </w:rPr>
      </w:pPr>
      <w:r>
        <w:rPr>
          <w:color w:val="FFFFFF"/>
        </w:rPr>
        <w:t xml:space="preserve">los </w:t>
      </w:r>
    </w:p>
    <w:sectPr w:rsidR="007A1018">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805" w:rsidRDefault="00FD4805">
      <w:r>
        <w:separator/>
      </w:r>
    </w:p>
  </w:endnote>
  <w:endnote w:type="continuationSeparator" w:id="0">
    <w:p w:rsidR="00FD4805" w:rsidRDefault="00FD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rsidR="007A1018" w:rsidRDefault="007A1018">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9C2881">
      <w:rPr>
        <w:noProof/>
        <w:color w:val="000000"/>
      </w:rPr>
      <w:t>7</w:t>
    </w:r>
    <w:r>
      <w:rPr>
        <w:color w:val="000000"/>
      </w:rPr>
      <w:fldChar w:fldCharType="end"/>
    </w:r>
  </w:p>
  <w:p w:rsidR="007A1018" w:rsidRDefault="007A1018">
    <w:pPr>
      <w:pBdr>
        <w:top w:val="nil"/>
        <w:left w:val="nil"/>
        <w:bottom w:val="nil"/>
        <w:right w:val="nil"/>
        <w:between w:val="nil"/>
      </w:pBdr>
      <w:tabs>
        <w:tab w:val="center" w:pos="4419"/>
        <w:tab w:val="right" w:pos="8838"/>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805" w:rsidRDefault="00FD4805">
      <w:r>
        <w:separator/>
      </w:r>
    </w:p>
  </w:footnote>
  <w:footnote w:type="continuationSeparator" w:id="0">
    <w:p w:rsidR="00FD4805" w:rsidRDefault="00FD4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332770">
    <w:pPr>
      <w:tabs>
        <w:tab w:val="center" w:pos="4419"/>
        <w:tab w:val="right" w:pos="8838"/>
      </w:tabs>
      <w:jc w:val="center"/>
      <w:rPr>
        <w:color w:val="000000"/>
      </w:rPr>
    </w:pPr>
    <w:r>
      <w:rPr>
        <w:noProof/>
        <w:lang w:val="es-CR"/>
      </w:rPr>
      <w:drawing>
        <wp:inline distT="0" distB="0" distL="0" distR="0">
          <wp:extent cx="1048952" cy="114445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48952" cy="114445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018" w:rsidRDefault="007A1018">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63124"/>
    <w:multiLevelType w:val="hybridMultilevel"/>
    <w:tmpl w:val="BB5074B8"/>
    <w:lvl w:ilvl="0" w:tplc="0409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44BA4694"/>
    <w:multiLevelType w:val="multilevel"/>
    <w:tmpl w:val="9D24D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D11BFB"/>
    <w:multiLevelType w:val="multilevel"/>
    <w:tmpl w:val="3BD49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018"/>
    <w:rsid w:val="00191D38"/>
    <w:rsid w:val="001A45D9"/>
    <w:rsid w:val="001D6414"/>
    <w:rsid w:val="0028527F"/>
    <w:rsid w:val="00332770"/>
    <w:rsid w:val="0035745F"/>
    <w:rsid w:val="003E1FF7"/>
    <w:rsid w:val="004F0E6B"/>
    <w:rsid w:val="005401A0"/>
    <w:rsid w:val="00622F06"/>
    <w:rsid w:val="00691AE3"/>
    <w:rsid w:val="007A1018"/>
    <w:rsid w:val="007A2DE6"/>
    <w:rsid w:val="007A3253"/>
    <w:rsid w:val="007F37A1"/>
    <w:rsid w:val="008F5DC5"/>
    <w:rsid w:val="009C2881"/>
    <w:rsid w:val="00B53205"/>
    <w:rsid w:val="00CA3040"/>
    <w:rsid w:val="00CB414D"/>
    <w:rsid w:val="00F64702"/>
    <w:rsid w:val="00FB6C67"/>
    <w:rsid w:val="00FD480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CAB6D"/>
  <w15:docId w15:val="{B7CC5E9E-29FC-4140-A623-E7567476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ES_tradnl" w:eastAsia="es-C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Default">
    <w:name w:val="Default"/>
    <w:rsid w:val="001A45D9"/>
    <w:pPr>
      <w:autoSpaceDE w:val="0"/>
      <w:autoSpaceDN w:val="0"/>
      <w:adjustRightInd w:val="0"/>
    </w:pPr>
    <w:rPr>
      <w:rFonts w:ascii="Times New Roman" w:eastAsia="Times New Roman" w:hAnsi="Times New Roman" w:cs="Times New Roman"/>
      <w:color w:val="000000"/>
      <w:lang w:val="en-US" w:eastAsia="en-US"/>
    </w:rPr>
  </w:style>
  <w:style w:type="paragraph" w:styleId="Textocomentario">
    <w:name w:val="annotation text"/>
    <w:basedOn w:val="Normal"/>
    <w:link w:val="TextocomentarioCar"/>
    <w:uiPriority w:val="99"/>
    <w:semiHidden/>
    <w:unhideWhenUsed/>
    <w:rsid w:val="001A45D9"/>
    <w:rPr>
      <w:sz w:val="20"/>
      <w:szCs w:val="20"/>
    </w:rPr>
  </w:style>
  <w:style w:type="character" w:customStyle="1" w:styleId="TextocomentarioCar">
    <w:name w:val="Texto comentario Car"/>
    <w:basedOn w:val="Fuentedeprrafopredeter"/>
    <w:link w:val="Textocomentario"/>
    <w:uiPriority w:val="99"/>
    <w:semiHidden/>
    <w:rsid w:val="001A45D9"/>
    <w:rPr>
      <w:sz w:val="20"/>
      <w:szCs w:val="20"/>
    </w:rPr>
  </w:style>
  <w:style w:type="paragraph" w:styleId="Asuntodelcomentario">
    <w:name w:val="annotation subject"/>
    <w:basedOn w:val="Textocomentario"/>
    <w:next w:val="Textocomentario"/>
    <w:link w:val="AsuntodelcomentarioCar"/>
    <w:uiPriority w:val="99"/>
    <w:rsid w:val="001A45D9"/>
    <w:rPr>
      <w:rFonts w:ascii="Times New Roman" w:eastAsia="Times New Roman" w:hAnsi="Times New Roman" w:cs="Times New Roman"/>
      <w:b/>
      <w:bCs/>
      <w:lang w:val="en-US" w:eastAsia="en-US"/>
    </w:rPr>
  </w:style>
  <w:style w:type="character" w:customStyle="1" w:styleId="AsuntodelcomentarioCar">
    <w:name w:val="Asunto del comentario Car"/>
    <w:basedOn w:val="TextocomentarioCar"/>
    <w:link w:val="Asuntodelcomentario"/>
    <w:uiPriority w:val="99"/>
    <w:rsid w:val="001A45D9"/>
    <w:rPr>
      <w:rFonts w:ascii="Times New Roman" w:eastAsia="Times New Roman" w:hAnsi="Times New Roman" w:cs="Times New Roman"/>
      <w:b/>
      <w:bCs/>
      <w:sz w:val="20"/>
      <w:szCs w:val="20"/>
      <w:lang w:val="en-US" w:eastAsia="en-US"/>
    </w:rPr>
  </w:style>
  <w:style w:type="paragraph" w:customStyle="1" w:styleId="Form">
    <w:name w:val="Form"/>
    <w:basedOn w:val="Normal"/>
    <w:uiPriority w:val="99"/>
    <w:rsid w:val="001A45D9"/>
    <w:pPr>
      <w:autoSpaceDE w:val="0"/>
      <w:autoSpaceDN w:val="0"/>
      <w:adjustRightInd w:val="0"/>
      <w:spacing w:before="60" w:after="60"/>
    </w:pPr>
    <w:rPr>
      <w:rFonts w:ascii="Arial" w:eastAsia="MS Mincho" w:hAnsi="Arial" w:cs="Arial"/>
      <w:sz w:val="16"/>
      <w:lang w:val="en-US" w:eastAsia="en-US"/>
    </w:rPr>
  </w:style>
  <w:style w:type="paragraph" w:styleId="Prrafodelista">
    <w:name w:val="List Paragraph"/>
    <w:basedOn w:val="Normal"/>
    <w:uiPriority w:val="34"/>
    <w:qFormat/>
    <w:rsid w:val="001A45D9"/>
    <w:pPr>
      <w:ind w:left="72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advances.sciencemag.org/content/5/4/eaaw2869"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naturebeyond2020.com/wp-content/uploads/2019/10/Woodley-et-al-Targets-PARKS-25.2-proof-3.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nservation.cam.ac.uk/files/waldron_report_30_by_30_publish.pd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nlinelibrary.wiley.com/doi/full/10.1111/conl.1224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iencedirect.com/science/article/pii/S2590332220300439"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advances.sciencemag.org/content/6/36/eabb2824"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8</Pages>
  <Words>2318</Words>
  <Characters>12755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 Arguedas Montezuma</dc:creator>
  <cp:lastModifiedBy>Guido GSR. Saborio Rodriguez</cp:lastModifiedBy>
  <cp:revision>4</cp:revision>
  <dcterms:created xsi:type="dcterms:W3CDTF">2021-03-23T02:09:00Z</dcterms:created>
  <dcterms:modified xsi:type="dcterms:W3CDTF">2021-03-23T03:22:00Z</dcterms:modified>
</cp:coreProperties>
</file>