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E5334" w:rsidRDefault="003E5334">
      <w:bookmarkStart w:id="0" w:name="_Hlk151741822"/>
    </w:p>
    <w:p w14:paraId="0A37501D" w14:textId="77777777" w:rsidR="003E5334" w:rsidRDefault="003E5334">
      <w:pPr>
        <w:jc w:val="right"/>
      </w:pPr>
    </w:p>
    <w:p w14:paraId="3E278DB6" w14:textId="1BD4A690" w:rsidR="00DB44E6" w:rsidRDefault="00DB44E6" w:rsidP="00DB44E6">
      <w:pPr>
        <w:autoSpaceDE w:val="0"/>
        <w:autoSpaceDN w:val="0"/>
        <w:adjustRightInd w:val="0"/>
        <w:jc w:val="right"/>
        <w:rPr>
          <w:b/>
          <w:bCs/>
          <w:sz w:val="22"/>
          <w:szCs w:val="22"/>
          <w:lang w:val="en-US"/>
        </w:rPr>
      </w:pPr>
      <w:r>
        <w:rPr>
          <w:b/>
          <w:bCs/>
          <w:sz w:val="22"/>
          <w:szCs w:val="22"/>
          <w:lang w:val="en-US"/>
        </w:rPr>
        <w:t>Ministry of Foreign Affairs of Brazil</w:t>
      </w:r>
    </w:p>
    <w:p w14:paraId="402BB25D" w14:textId="287D1CA3" w:rsidR="00DB44E6" w:rsidRDefault="00DB44E6" w:rsidP="00DB44E6">
      <w:pPr>
        <w:autoSpaceDE w:val="0"/>
        <w:autoSpaceDN w:val="0"/>
        <w:adjustRightInd w:val="0"/>
        <w:jc w:val="right"/>
        <w:rPr>
          <w:b/>
          <w:bCs/>
          <w:sz w:val="22"/>
          <w:szCs w:val="22"/>
          <w:lang w:val="en-US"/>
        </w:rPr>
      </w:pPr>
      <w:r>
        <w:rPr>
          <w:b/>
          <w:bCs/>
          <w:sz w:val="22"/>
          <w:szCs w:val="22"/>
          <w:lang w:val="en-US"/>
        </w:rPr>
        <w:t>Environment Department</w:t>
      </w:r>
    </w:p>
    <w:p w14:paraId="06E34D1F" w14:textId="34681690" w:rsidR="00DB44E6" w:rsidRPr="00DB44E6" w:rsidRDefault="00DB44E6" w:rsidP="00DB44E6">
      <w:pPr>
        <w:autoSpaceDE w:val="0"/>
        <w:autoSpaceDN w:val="0"/>
        <w:adjustRightInd w:val="0"/>
        <w:jc w:val="right"/>
        <w:rPr>
          <w:b/>
          <w:bCs/>
          <w:sz w:val="22"/>
          <w:szCs w:val="22"/>
          <w:lang w:val="en-US"/>
        </w:rPr>
      </w:pPr>
      <w:r>
        <w:rPr>
          <w:b/>
          <w:bCs/>
          <w:sz w:val="22"/>
          <w:szCs w:val="22"/>
          <w:lang w:val="en-US"/>
        </w:rPr>
        <w:t>Biodiversity Division</w:t>
      </w:r>
    </w:p>
    <w:bookmarkEnd w:id="0"/>
    <w:p w14:paraId="5A9FB4B2" w14:textId="6960B5B3" w:rsidR="00DA4807" w:rsidRDefault="00DA4807" w:rsidP="00DA4807">
      <w:pPr>
        <w:autoSpaceDE w:val="0"/>
        <w:autoSpaceDN w:val="0"/>
        <w:adjustRightInd w:val="0"/>
        <w:rPr>
          <w:b/>
          <w:bCs/>
          <w:i/>
          <w:iCs/>
          <w:sz w:val="22"/>
          <w:szCs w:val="22"/>
          <w:lang w:val="en-US"/>
        </w:rPr>
      </w:pPr>
      <w:r w:rsidRPr="00DA4807">
        <w:rPr>
          <w:b/>
          <w:bCs/>
          <w:i/>
          <w:iCs/>
          <w:sz w:val="22"/>
          <w:szCs w:val="22"/>
          <w:lang w:val="en-US"/>
        </w:rPr>
        <w:t>Part I. Endorsement of submission</w:t>
      </w:r>
    </w:p>
    <w:p w14:paraId="5DAB6C7B" w14:textId="77777777" w:rsidR="00DA4807" w:rsidRPr="00DA4807" w:rsidRDefault="00DA4807" w:rsidP="00DA4807">
      <w:pPr>
        <w:autoSpaceDE w:val="0"/>
        <w:autoSpaceDN w:val="0"/>
        <w:adjustRightInd w:val="0"/>
        <w:rPr>
          <w:b/>
          <w:bCs/>
          <w:i/>
          <w:iCs/>
          <w:sz w:val="22"/>
          <w:szCs w:val="22"/>
          <w:lang w:val="en-US"/>
        </w:rPr>
      </w:pPr>
    </w:p>
    <w:p w14:paraId="23964C35" w14:textId="77777777" w:rsidR="00DA4807" w:rsidRPr="00371864" w:rsidRDefault="00DA4807" w:rsidP="00DA4807">
      <w:pPr>
        <w:rPr>
          <w:sz w:val="20"/>
          <w:szCs w:val="20"/>
          <w:lang w:val="en-US"/>
        </w:rPr>
      </w:pPr>
      <w:r w:rsidRPr="00DA4807">
        <w:rPr>
          <w:sz w:val="22"/>
          <w:szCs w:val="22"/>
          <w:lang w:val="en-US"/>
        </w:rPr>
        <w:t>Name</w:t>
      </w:r>
      <w:r>
        <w:rPr>
          <w:sz w:val="22"/>
          <w:szCs w:val="22"/>
          <w:lang w:val="en-US"/>
        </w:rPr>
        <w:t xml:space="preserve"> </w:t>
      </w:r>
      <w:r w:rsidRPr="00DA4807">
        <w:rPr>
          <w:sz w:val="22"/>
          <w:szCs w:val="22"/>
          <w:lang w:val="en-US"/>
        </w:rPr>
        <w:t>of Country/Organization:</w:t>
      </w:r>
      <w:r>
        <w:rPr>
          <w:sz w:val="22"/>
          <w:szCs w:val="22"/>
          <w:lang w:val="en-US"/>
        </w:rPr>
        <w:t xml:space="preserve"> Bazil / </w:t>
      </w:r>
      <w:r w:rsidR="00876CAC">
        <w:rPr>
          <w:sz w:val="20"/>
          <w:szCs w:val="20"/>
          <w:lang w:val="en-US"/>
        </w:rPr>
        <w:t>Ministry of Agriculture and Livestock</w:t>
      </w:r>
    </w:p>
    <w:p w14:paraId="4F5DE4B8" w14:textId="77777777" w:rsidR="00DA4807" w:rsidRPr="00DA4807" w:rsidRDefault="00DA4807" w:rsidP="00DA4807">
      <w:pPr>
        <w:autoSpaceDE w:val="0"/>
        <w:autoSpaceDN w:val="0"/>
        <w:adjustRightInd w:val="0"/>
        <w:rPr>
          <w:sz w:val="22"/>
          <w:szCs w:val="22"/>
          <w:lang w:val="en-US"/>
        </w:rPr>
      </w:pPr>
      <w:r w:rsidRPr="00DA4807">
        <w:rPr>
          <w:sz w:val="22"/>
          <w:szCs w:val="22"/>
          <w:lang w:val="en-US"/>
        </w:rPr>
        <w:t>Name of Cartagena Protocol Focal point/Head of Organization endorsing:</w:t>
      </w:r>
      <w:r w:rsidR="000E5332">
        <w:rPr>
          <w:sz w:val="22"/>
          <w:szCs w:val="22"/>
          <w:lang w:val="en-US"/>
        </w:rPr>
        <w:t xml:space="preserve"> -</w:t>
      </w:r>
      <w:r w:rsidR="00876CAC">
        <w:rPr>
          <w:sz w:val="22"/>
          <w:szCs w:val="22"/>
          <w:lang w:val="en-US"/>
        </w:rPr>
        <w:t xml:space="preserve"> Luiz Eduardo Andrade de Souza (Ministry of Foreign Affairs of Brazil, Biodiversity Division)</w:t>
      </w:r>
    </w:p>
    <w:p w14:paraId="3C0C9481" w14:textId="77777777" w:rsidR="00DA4807" w:rsidRPr="00DA4807" w:rsidRDefault="00DA4807" w:rsidP="00DA4807">
      <w:pPr>
        <w:autoSpaceDE w:val="0"/>
        <w:autoSpaceDN w:val="0"/>
        <w:adjustRightInd w:val="0"/>
        <w:rPr>
          <w:sz w:val="22"/>
          <w:szCs w:val="22"/>
          <w:lang w:val="en-US"/>
        </w:rPr>
      </w:pPr>
      <w:r w:rsidRPr="00DA4807">
        <w:rPr>
          <w:sz w:val="22"/>
          <w:szCs w:val="22"/>
          <w:lang w:val="en-US"/>
        </w:rPr>
        <w:t>Signature of the Cartagena Protocol Focal Point/ Head of Organization:</w:t>
      </w:r>
      <w:r w:rsidR="000E5332">
        <w:rPr>
          <w:sz w:val="22"/>
          <w:szCs w:val="22"/>
          <w:lang w:val="en-US"/>
        </w:rPr>
        <w:t xml:space="preserve"> -</w:t>
      </w:r>
    </w:p>
    <w:p w14:paraId="0E329CC2" w14:textId="5DF49966" w:rsidR="00DA4807" w:rsidRDefault="00DA4807" w:rsidP="00DA4807">
      <w:pPr>
        <w:autoSpaceDE w:val="0"/>
        <w:autoSpaceDN w:val="0"/>
        <w:adjustRightInd w:val="0"/>
        <w:rPr>
          <w:sz w:val="22"/>
          <w:szCs w:val="22"/>
          <w:lang w:val="en-US"/>
        </w:rPr>
      </w:pPr>
      <w:r w:rsidRPr="00DA4807">
        <w:rPr>
          <w:sz w:val="22"/>
          <w:szCs w:val="22"/>
          <w:lang w:val="en-US"/>
        </w:rPr>
        <w:t>Date:</w:t>
      </w:r>
      <w:r w:rsidR="000E5332">
        <w:rPr>
          <w:sz w:val="22"/>
          <w:szCs w:val="22"/>
          <w:lang w:val="en-US"/>
        </w:rPr>
        <w:t xml:space="preserve"> </w:t>
      </w:r>
      <w:r w:rsidR="009E44CA">
        <w:rPr>
          <w:sz w:val="22"/>
          <w:szCs w:val="22"/>
          <w:lang w:val="en-US"/>
        </w:rPr>
        <w:t>24</w:t>
      </w:r>
      <w:r w:rsidR="000E5332">
        <w:rPr>
          <w:sz w:val="22"/>
          <w:szCs w:val="22"/>
          <w:lang w:val="en-US"/>
        </w:rPr>
        <w:t>/11/2023</w:t>
      </w:r>
    </w:p>
    <w:p w14:paraId="02EB378F" w14:textId="77777777" w:rsidR="00DA4807" w:rsidRDefault="00DA4807" w:rsidP="00DA4807">
      <w:pPr>
        <w:autoSpaceDE w:val="0"/>
        <w:autoSpaceDN w:val="0"/>
        <w:adjustRightInd w:val="0"/>
        <w:rPr>
          <w:sz w:val="22"/>
          <w:szCs w:val="22"/>
          <w:lang w:val="en-US"/>
        </w:rPr>
      </w:pPr>
    </w:p>
    <w:p w14:paraId="6A05A809" w14:textId="77777777" w:rsidR="00DA4807" w:rsidRPr="00DA4807" w:rsidRDefault="00DA4807" w:rsidP="00DA4807">
      <w:pPr>
        <w:autoSpaceDE w:val="0"/>
        <w:autoSpaceDN w:val="0"/>
        <w:adjustRightInd w:val="0"/>
        <w:rPr>
          <w:sz w:val="22"/>
          <w:szCs w:val="22"/>
          <w:lang w:val="en-US"/>
        </w:rPr>
      </w:pPr>
    </w:p>
    <w:p w14:paraId="19D30E93" w14:textId="77777777" w:rsidR="00DA4807" w:rsidRPr="00DA4807" w:rsidRDefault="00DA4807" w:rsidP="00DA4807">
      <w:pPr>
        <w:autoSpaceDE w:val="0"/>
        <w:autoSpaceDN w:val="0"/>
        <w:adjustRightInd w:val="0"/>
        <w:rPr>
          <w:b/>
          <w:bCs/>
          <w:i/>
          <w:iCs/>
          <w:sz w:val="22"/>
          <w:szCs w:val="22"/>
          <w:lang w:val="en-US"/>
        </w:rPr>
      </w:pPr>
      <w:r w:rsidRPr="00DA4807">
        <w:rPr>
          <w:b/>
          <w:bCs/>
          <w:i/>
          <w:iCs/>
          <w:sz w:val="22"/>
          <w:szCs w:val="22"/>
          <w:lang w:val="en-US"/>
        </w:rPr>
        <w:t>Part II. Submission of information</w:t>
      </w:r>
    </w:p>
    <w:p w14:paraId="6062C5CC" w14:textId="77777777" w:rsidR="00DA4807" w:rsidRDefault="00DA4807" w:rsidP="00DA4807">
      <w:pPr>
        <w:autoSpaceDE w:val="0"/>
        <w:autoSpaceDN w:val="0"/>
        <w:adjustRightInd w:val="0"/>
        <w:rPr>
          <w:sz w:val="22"/>
          <w:szCs w:val="22"/>
          <w:lang w:val="en-US"/>
        </w:rPr>
      </w:pPr>
      <w:r w:rsidRPr="00DA4807">
        <w:rPr>
          <w:sz w:val="22"/>
          <w:szCs w:val="22"/>
          <w:lang w:val="en-US"/>
        </w:rPr>
        <w:t xml:space="preserve">In decision CP-10/11, the Conference of Parties serving as a meeting of the Parties to the Cartagena Protocol on Biosafety (COP-MOP) invited Parties and relevant organizations to submit information on their experience with new detection techniques, detecting newly developed and unauthorized living modified organisms and developing reference materials, as well as ongoing collaborations involving national and regional laboratories. At its twenty-sixth meeting, the Subsidiary Body on Scientific, Technical and Technological Advice to consider the information submitted and prepare a recommendation on the need to update Biosafety Technical Series 05: </w:t>
      </w:r>
      <w:r w:rsidRPr="00DA4807">
        <w:rPr>
          <w:i/>
          <w:iCs/>
          <w:sz w:val="22"/>
          <w:szCs w:val="22"/>
          <w:lang w:val="en-US"/>
        </w:rPr>
        <w:t>Training Manual on the Detection and Identification of Living Modified Organisms in the Context of the Cartagena Protocol on Biosafety</w:t>
      </w:r>
      <w:r w:rsidRPr="00DA4807">
        <w:rPr>
          <w:sz w:val="22"/>
          <w:szCs w:val="22"/>
          <w:lang w:val="en-US"/>
        </w:rPr>
        <w:t>.</w:t>
      </w:r>
    </w:p>
    <w:p w14:paraId="5A39BBE3" w14:textId="77777777" w:rsidR="00DA4807" w:rsidRPr="00DA4807" w:rsidRDefault="00DA4807" w:rsidP="00DA4807">
      <w:pPr>
        <w:autoSpaceDE w:val="0"/>
        <w:autoSpaceDN w:val="0"/>
        <w:adjustRightInd w:val="0"/>
        <w:rPr>
          <w:sz w:val="22"/>
          <w:szCs w:val="22"/>
          <w:lang w:val="en-US"/>
        </w:rPr>
      </w:pPr>
    </w:p>
    <w:p w14:paraId="2195531F" w14:textId="77777777" w:rsidR="00DA4807" w:rsidRPr="00DA4807" w:rsidRDefault="00DA4807" w:rsidP="00DA4807">
      <w:pPr>
        <w:autoSpaceDE w:val="0"/>
        <w:autoSpaceDN w:val="0"/>
        <w:adjustRightInd w:val="0"/>
        <w:rPr>
          <w:sz w:val="22"/>
          <w:szCs w:val="22"/>
          <w:lang w:val="en-US"/>
        </w:rPr>
      </w:pPr>
      <w:r w:rsidRPr="00DA4807">
        <w:rPr>
          <w:sz w:val="22"/>
          <w:szCs w:val="22"/>
          <w:lang w:val="en-US"/>
        </w:rPr>
        <w:t>Based on this, please submit information on the following areas:</w:t>
      </w:r>
    </w:p>
    <w:p w14:paraId="7E51A216" w14:textId="77777777" w:rsidR="00DA4807" w:rsidRPr="00DA4807" w:rsidRDefault="00DA4807" w:rsidP="00DA4807">
      <w:pPr>
        <w:pStyle w:val="PargrafodaLista"/>
        <w:numPr>
          <w:ilvl w:val="0"/>
          <w:numId w:val="2"/>
        </w:numPr>
        <w:autoSpaceDE w:val="0"/>
        <w:autoSpaceDN w:val="0"/>
        <w:adjustRightInd w:val="0"/>
        <w:ind w:left="284" w:hanging="284"/>
        <w:rPr>
          <w:sz w:val="22"/>
          <w:szCs w:val="22"/>
          <w:lang w:val="en-US"/>
        </w:rPr>
      </w:pPr>
      <w:r w:rsidRPr="00DA4807">
        <w:rPr>
          <w:sz w:val="22"/>
          <w:szCs w:val="22"/>
          <w:lang w:val="en-US"/>
        </w:rPr>
        <w:t>New techniques or tools for the detection and identification of living modified organisms.</w:t>
      </w:r>
    </w:p>
    <w:p w14:paraId="41C8F396" w14:textId="77777777" w:rsidR="00DA4807" w:rsidRDefault="00DA4807" w:rsidP="00DA4807">
      <w:pPr>
        <w:pStyle w:val="PargrafodaLista"/>
        <w:autoSpaceDE w:val="0"/>
        <w:autoSpaceDN w:val="0"/>
        <w:adjustRightInd w:val="0"/>
        <w:rPr>
          <w:sz w:val="22"/>
          <w:szCs w:val="22"/>
          <w:lang w:val="en-US"/>
        </w:rPr>
      </w:pPr>
    </w:p>
    <w:p w14:paraId="671F69F7" w14:textId="77777777" w:rsidR="00195125" w:rsidRDefault="009C1E30" w:rsidP="00046AA4">
      <w:pPr>
        <w:pStyle w:val="PargrafodaLista"/>
        <w:autoSpaceDE w:val="0"/>
        <w:autoSpaceDN w:val="0"/>
        <w:adjustRightInd w:val="0"/>
        <w:ind w:left="0"/>
        <w:jc w:val="both"/>
        <w:rPr>
          <w:sz w:val="22"/>
          <w:szCs w:val="22"/>
          <w:lang w:val="en-US"/>
        </w:rPr>
      </w:pPr>
      <w:r>
        <w:rPr>
          <w:sz w:val="22"/>
          <w:szCs w:val="22"/>
          <w:lang w:val="en-US"/>
        </w:rPr>
        <w:t xml:space="preserve">The </w:t>
      </w:r>
      <w:r w:rsidRPr="009C1E30">
        <w:rPr>
          <w:sz w:val="22"/>
          <w:szCs w:val="22"/>
          <w:lang w:val="en-US"/>
        </w:rPr>
        <w:t>Federal Laboratory of Animal and Plant Health Inspectio</w:t>
      </w:r>
      <w:r>
        <w:rPr>
          <w:sz w:val="22"/>
          <w:szCs w:val="22"/>
          <w:lang w:val="en-US"/>
        </w:rPr>
        <w:t xml:space="preserve">n is a </w:t>
      </w:r>
      <w:r w:rsidR="00905F5C" w:rsidRPr="00905F5C">
        <w:rPr>
          <w:sz w:val="22"/>
          <w:szCs w:val="22"/>
          <w:lang w:val="en-US"/>
        </w:rPr>
        <w:t>unit of the Ministry of Agric</w:t>
      </w:r>
      <w:r>
        <w:rPr>
          <w:sz w:val="22"/>
          <w:szCs w:val="22"/>
          <w:lang w:val="en-US"/>
        </w:rPr>
        <w:t xml:space="preserve">ulture and Livestock of Brazil and comprises a network of 6 laboratory facilities, with </w:t>
      </w:r>
      <w:r w:rsidR="00905F5C" w:rsidRPr="00905F5C">
        <w:rPr>
          <w:sz w:val="22"/>
          <w:szCs w:val="22"/>
          <w:lang w:val="en-US"/>
        </w:rPr>
        <w:t>fifteen years of experience in Living Modified Organism</w:t>
      </w:r>
      <w:r w:rsidR="002D4DBF">
        <w:rPr>
          <w:sz w:val="22"/>
          <w:szCs w:val="22"/>
          <w:lang w:val="en-US"/>
        </w:rPr>
        <w:t>s</w:t>
      </w:r>
      <w:r w:rsidR="00905F5C" w:rsidRPr="00905F5C">
        <w:rPr>
          <w:sz w:val="22"/>
          <w:szCs w:val="22"/>
          <w:lang w:val="en-US"/>
        </w:rPr>
        <w:t xml:space="preserve"> analys</w:t>
      </w:r>
      <w:r w:rsidR="003E52FE">
        <w:rPr>
          <w:sz w:val="22"/>
          <w:szCs w:val="22"/>
          <w:lang w:val="en-US"/>
        </w:rPr>
        <w:t>is. We work mainly with Real Tim</w:t>
      </w:r>
      <w:r w:rsidR="00905F5C" w:rsidRPr="00905F5C">
        <w:rPr>
          <w:sz w:val="22"/>
          <w:szCs w:val="22"/>
          <w:lang w:val="en-US"/>
        </w:rPr>
        <w:t xml:space="preserve">e PCR methods published by the International Organization for Standardization (ISO) or </w:t>
      </w:r>
      <w:r>
        <w:rPr>
          <w:sz w:val="22"/>
          <w:szCs w:val="22"/>
          <w:lang w:val="en-US"/>
        </w:rPr>
        <w:t xml:space="preserve">by the </w:t>
      </w:r>
      <w:r w:rsidR="00905F5C" w:rsidRPr="00905F5C">
        <w:rPr>
          <w:sz w:val="22"/>
          <w:szCs w:val="22"/>
          <w:lang w:val="en-US"/>
        </w:rPr>
        <w:t xml:space="preserve">European Union Reference Laboratory for Genetically Modified Food and Feed (EURL GMFF). We also have expertise and facilities </w:t>
      </w:r>
      <w:r w:rsidR="00046AA4">
        <w:rPr>
          <w:sz w:val="22"/>
          <w:szCs w:val="22"/>
          <w:lang w:val="en-US"/>
        </w:rPr>
        <w:t>for</w:t>
      </w:r>
      <w:r w:rsidR="00905F5C" w:rsidRPr="00905F5C">
        <w:rPr>
          <w:sz w:val="22"/>
          <w:szCs w:val="22"/>
          <w:lang w:val="en-US"/>
        </w:rPr>
        <w:t xml:space="preserve"> analysis based on Digital PCR and Next Generation Sequencing technologies. These technologies have been used for pest</w:t>
      </w:r>
      <w:r w:rsidR="00135E38">
        <w:rPr>
          <w:sz w:val="22"/>
          <w:szCs w:val="22"/>
          <w:lang w:val="en-US"/>
        </w:rPr>
        <w:t xml:space="preserve"> identification</w:t>
      </w:r>
      <w:r w:rsidR="00905F5C" w:rsidRPr="00905F5C">
        <w:rPr>
          <w:sz w:val="22"/>
          <w:szCs w:val="22"/>
          <w:lang w:val="en-US"/>
        </w:rPr>
        <w:t xml:space="preserve"> and food fraud </w:t>
      </w:r>
      <w:r w:rsidR="00135E38">
        <w:rPr>
          <w:sz w:val="22"/>
          <w:szCs w:val="22"/>
          <w:lang w:val="en-US"/>
        </w:rPr>
        <w:t>detec</w:t>
      </w:r>
      <w:r w:rsidR="00905F5C" w:rsidRPr="00905F5C">
        <w:rPr>
          <w:sz w:val="22"/>
          <w:szCs w:val="22"/>
          <w:lang w:val="en-US"/>
        </w:rPr>
        <w:t xml:space="preserve">tion. Currently, we </w:t>
      </w:r>
      <w:r w:rsidR="00046AA4">
        <w:rPr>
          <w:sz w:val="22"/>
          <w:szCs w:val="22"/>
          <w:lang w:val="en-US"/>
        </w:rPr>
        <w:t>do not have</w:t>
      </w:r>
      <w:r w:rsidR="00905F5C" w:rsidRPr="00905F5C">
        <w:rPr>
          <w:sz w:val="22"/>
          <w:szCs w:val="22"/>
          <w:lang w:val="en-US"/>
        </w:rPr>
        <w:t xml:space="preserve"> any implemented method for analysis of products obtained by New Genomic Techn</w:t>
      </w:r>
      <w:r w:rsidR="00135E38">
        <w:rPr>
          <w:sz w:val="22"/>
          <w:szCs w:val="22"/>
          <w:lang w:val="en-US"/>
        </w:rPr>
        <w:t>iqu</w:t>
      </w:r>
      <w:r w:rsidR="00905F5C" w:rsidRPr="00905F5C">
        <w:rPr>
          <w:sz w:val="22"/>
          <w:szCs w:val="22"/>
          <w:lang w:val="en-US"/>
        </w:rPr>
        <w:t>es</w:t>
      </w:r>
      <w:r w:rsidR="00135E38">
        <w:rPr>
          <w:sz w:val="22"/>
          <w:szCs w:val="22"/>
          <w:lang w:val="en-US"/>
        </w:rPr>
        <w:t xml:space="preserve"> (NGT)</w:t>
      </w:r>
      <w:r w:rsidR="00905F5C" w:rsidRPr="00905F5C">
        <w:rPr>
          <w:sz w:val="22"/>
          <w:szCs w:val="22"/>
          <w:lang w:val="en-US"/>
        </w:rPr>
        <w:t>.</w:t>
      </w:r>
    </w:p>
    <w:p w14:paraId="72A3D3EC" w14:textId="77777777" w:rsidR="00905F5C" w:rsidRPr="00905F5C" w:rsidRDefault="00905F5C" w:rsidP="00DA4807">
      <w:pPr>
        <w:pStyle w:val="PargrafodaLista"/>
        <w:autoSpaceDE w:val="0"/>
        <w:autoSpaceDN w:val="0"/>
        <w:adjustRightInd w:val="0"/>
        <w:rPr>
          <w:sz w:val="22"/>
          <w:szCs w:val="22"/>
          <w:lang w:val="en-US"/>
        </w:rPr>
      </w:pPr>
    </w:p>
    <w:p w14:paraId="37E114DA" w14:textId="77777777" w:rsidR="00DA4807" w:rsidRPr="00DA4807" w:rsidRDefault="00DA4807" w:rsidP="00DA4807">
      <w:pPr>
        <w:autoSpaceDE w:val="0"/>
        <w:autoSpaceDN w:val="0"/>
        <w:adjustRightInd w:val="0"/>
        <w:rPr>
          <w:sz w:val="22"/>
          <w:szCs w:val="22"/>
          <w:lang w:val="en-US"/>
        </w:rPr>
      </w:pPr>
      <w:r w:rsidRPr="00DA4807">
        <w:rPr>
          <w:sz w:val="22"/>
          <w:szCs w:val="22"/>
          <w:lang w:val="en-US"/>
        </w:rPr>
        <w:t>2. Experience with:</w:t>
      </w:r>
    </w:p>
    <w:p w14:paraId="54225B89" w14:textId="77777777" w:rsidR="00DA4807" w:rsidRDefault="00DA4807" w:rsidP="00DA4807">
      <w:pPr>
        <w:autoSpaceDE w:val="0"/>
        <w:autoSpaceDN w:val="0"/>
        <w:adjustRightInd w:val="0"/>
        <w:rPr>
          <w:sz w:val="22"/>
          <w:szCs w:val="22"/>
          <w:lang w:val="en-US"/>
        </w:rPr>
      </w:pPr>
      <w:r w:rsidRPr="00DA4807">
        <w:rPr>
          <w:sz w:val="22"/>
          <w:szCs w:val="22"/>
          <w:lang w:val="en-US"/>
        </w:rPr>
        <w:t>a. New detection techniques</w:t>
      </w:r>
    </w:p>
    <w:p w14:paraId="0D0B940D" w14:textId="77777777" w:rsidR="00DA4807" w:rsidRDefault="00DA4807" w:rsidP="00DA4807">
      <w:pPr>
        <w:autoSpaceDE w:val="0"/>
        <w:autoSpaceDN w:val="0"/>
        <w:adjustRightInd w:val="0"/>
        <w:rPr>
          <w:sz w:val="22"/>
          <w:szCs w:val="22"/>
          <w:lang w:val="en-US"/>
        </w:rPr>
      </w:pPr>
    </w:p>
    <w:p w14:paraId="60FAF0C6" w14:textId="61A00667" w:rsidR="00905F5C" w:rsidRPr="004E016A" w:rsidRDefault="6BF797CD" w:rsidP="536E8459">
      <w:pPr>
        <w:jc w:val="both"/>
        <w:rPr>
          <w:sz w:val="22"/>
          <w:szCs w:val="22"/>
          <w:lang w:val="en-US"/>
        </w:rPr>
      </w:pPr>
      <w:r w:rsidRPr="004E016A">
        <w:rPr>
          <w:sz w:val="22"/>
          <w:szCs w:val="22"/>
          <w:lang w:val="en-US"/>
        </w:rPr>
        <w:t>Our laboratory has almost ten years of experience with Sanger Sequencing</w:t>
      </w:r>
      <w:r w:rsidR="5ABC5160" w:rsidRPr="004E016A">
        <w:rPr>
          <w:sz w:val="22"/>
          <w:szCs w:val="22"/>
          <w:lang w:val="en-US"/>
        </w:rPr>
        <w:t xml:space="preserve"> for detection and identification of LMOs. Recently</w:t>
      </w:r>
      <w:r w:rsidR="009E44CA">
        <w:rPr>
          <w:sz w:val="22"/>
          <w:szCs w:val="22"/>
          <w:lang w:val="en-US"/>
        </w:rPr>
        <w:t>, w</w:t>
      </w:r>
      <w:r w:rsidRPr="004E016A">
        <w:rPr>
          <w:sz w:val="22"/>
          <w:szCs w:val="22"/>
          <w:lang w:val="en-US"/>
        </w:rPr>
        <w:t>e have implemented Next Generation Sequencing and Digital PCR technologies, but</w:t>
      </w:r>
      <w:r w:rsidR="7B7B49B6" w:rsidRPr="004E016A">
        <w:rPr>
          <w:sz w:val="22"/>
          <w:szCs w:val="22"/>
          <w:lang w:val="en-US"/>
        </w:rPr>
        <w:t xml:space="preserve"> </w:t>
      </w:r>
      <w:r w:rsidR="004E016A" w:rsidRPr="004E016A">
        <w:rPr>
          <w:sz w:val="22"/>
          <w:szCs w:val="22"/>
          <w:lang w:val="en-US"/>
        </w:rPr>
        <w:t xml:space="preserve">we still have not applied those technologies </w:t>
      </w:r>
      <w:r w:rsidRPr="004E016A">
        <w:rPr>
          <w:sz w:val="22"/>
          <w:szCs w:val="22"/>
          <w:lang w:val="en-US"/>
        </w:rPr>
        <w:t>to LMO analysi</w:t>
      </w:r>
      <w:r w:rsidR="009E44CA">
        <w:rPr>
          <w:sz w:val="22"/>
          <w:szCs w:val="22"/>
          <w:lang w:val="en-US"/>
        </w:rPr>
        <w:t>s</w:t>
      </w:r>
      <w:r w:rsidRPr="004E016A">
        <w:rPr>
          <w:sz w:val="22"/>
          <w:szCs w:val="22"/>
          <w:lang w:val="en-US"/>
        </w:rPr>
        <w:t>.</w:t>
      </w:r>
    </w:p>
    <w:p w14:paraId="0E27B00A" w14:textId="77777777" w:rsidR="00195125" w:rsidRDefault="00195125" w:rsidP="00DA4807">
      <w:pPr>
        <w:autoSpaceDE w:val="0"/>
        <w:autoSpaceDN w:val="0"/>
        <w:adjustRightInd w:val="0"/>
        <w:rPr>
          <w:sz w:val="22"/>
          <w:szCs w:val="22"/>
          <w:lang w:val="en-US"/>
        </w:rPr>
      </w:pPr>
    </w:p>
    <w:p w14:paraId="60061E4C" w14:textId="77777777" w:rsidR="00195125" w:rsidRPr="00DA4807" w:rsidRDefault="00195125" w:rsidP="00DA4807">
      <w:pPr>
        <w:autoSpaceDE w:val="0"/>
        <w:autoSpaceDN w:val="0"/>
        <w:adjustRightInd w:val="0"/>
        <w:rPr>
          <w:sz w:val="22"/>
          <w:szCs w:val="22"/>
          <w:lang w:val="en-US"/>
        </w:rPr>
      </w:pPr>
    </w:p>
    <w:p w14:paraId="1D5DC8C3" w14:textId="77777777" w:rsidR="00DA4807" w:rsidRDefault="00DA4807" w:rsidP="00DA4807">
      <w:pPr>
        <w:autoSpaceDE w:val="0"/>
        <w:autoSpaceDN w:val="0"/>
        <w:adjustRightInd w:val="0"/>
        <w:rPr>
          <w:sz w:val="22"/>
          <w:szCs w:val="22"/>
          <w:lang w:val="en-US"/>
        </w:rPr>
      </w:pPr>
      <w:r w:rsidRPr="00DA4807">
        <w:rPr>
          <w:sz w:val="22"/>
          <w:szCs w:val="22"/>
          <w:lang w:val="en-US"/>
        </w:rPr>
        <w:t>b. Detecting newly developed and/or unauthorized living modified organisms</w:t>
      </w:r>
    </w:p>
    <w:p w14:paraId="44EAFD9C" w14:textId="77777777" w:rsidR="00DA4807" w:rsidRDefault="00DA4807" w:rsidP="00DA4807">
      <w:pPr>
        <w:autoSpaceDE w:val="0"/>
        <w:autoSpaceDN w:val="0"/>
        <w:adjustRightInd w:val="0"/>
        <w:rPr>
          <w:sz w:val="22"/>
          <w:szCs w:val="22"/>
          <w:lang w:val="en-US"/>
        </w:rPr>
      </w:pPr>
    </w:p>
    <w:p w14:paraId="4EB1F70E" w14:textId="77777777" w:rsidR="0058322D" w:rsidRDefault="00905F5C" w:rsidP="00905F5C">
      <w:pPr>
        <w:autoSpaceDE w:val="0"/>
        <w:autoSpaceDN w:val="0"/>
        <w:adjustRightInd w:val="0"/>
        <w:ind w:firstLine="720"/>
        <w:jc w:val="both"/>
        <w:rPr>
          <w:sz w:val="22"/>
          <w:szCs w:val="22"/>
          <w:lang w:val="en-US"/>
        </w:rPr>
      </w:pPr>
      <w:r w:rsidRPr="00905F5C">
        <w:rPr>
          <w:sz w:val="22"/>
          <w:szCs w:val="22"/>
          <w:lang w:val="en-US"/>
        </w:rPr>
        <w:t xml:space="preserve">In our laboratory, we perform screening methods based on seven different </w:t>
      </w:r>
      <w:r w:rsidR="009C1E30">
        <w:rPr>
          <w:sz w:val="22"/>
          <w:szCs w:val="22"/>
          <w:lang w:val="en-US"/>
        </w:rPr>
        <w:t>genetically-modified organisms (</w:t>
      </w:r>
      <w:r w:rsidRPr="00905F5C">
        <w:rPr>
          <w:sz w:val="22"/>
          <w:szCs w:val="22"/>
          <w:lang w:val="en-US"/>
        </w:rPr>
        <w:t>GMO</w:t>
      </w:r>
      <w:r w:rsidR="009C1E30">
        <w:rPr>
          <w:sz w:val="22"/>
          <w:szCs w:val="22"/>
          <w:lang w:val="en-US"/>
        </w:rPr>
        <w:t>)</w:t>
      </w:r>
      <w:r w:rsidRPr="00905F5C">
        <w:rPr>
          <w:sz w:val="22"/>
          <w:szCs w:val="22"/>
          <w:lang w:val="en-US"/>
        </w:rPr>
        <w:t xml:space="preserve"> sequences in order to ident</w:t>
      </w:r>
      <w:r w:rsidR="00046AA4">
        <w:rPr>
          <w:sz w:val="22"/>
          <w:szCs w:val="22"/>
          <w:lang w:val="en-US"/>
        </w:rPr>
        <w:t>ify possible events in a sample;</w:t>
      </w:r>
      <w:r w:rsidRPr="00905F5C">
        <w:rPr>
          <w:sz w:val="22"/>
          <w:szCs w:val="22"/>
          <w:lang w:val="en-US"/>
        </w:rPr>
        <w:t xml:space="preserve"> in case of positive results</w:t>
      </w:r>
      <w:r w:rsidR="00046AA4">
        <w:rPr>
          <w:sz w:val="22"/>
          <w:szCs w:val="22"/>
          <w:lang w:val="en-US"/>
        </w:rPr>
        <w:t>,</w:t>
      </w:r>
      <w:r w:rsidRPr="00905F5C">
        <w:rPr>
          <w:sz w:val="22"/>
          <w:szCs w:val="22"/>
          <w:lang w:val="en-US"/>
        </w:rPr>
        <w:t xml:space="preserve"> we confirm the LMO by event specific methods analysis. Considering unauthorized LMOs, the strategy of analysis is established in a case-by-case scenario, depending on the biological species and the origin of the material. Newly developed</w:t>
      </w:r>
      <w:r w:rsidR="009C1E30">
        <w:rPr>
          <w:sz w:val="22"/>
          <w:szCs w:val="22"/>
          <w:lang w:val="en-US"/>
        </w:rPr>
        <w:t xml:space="preserve"> living modified organisms</w:t>
      </w:r>
      <w:r w:rsidRPr="00905F5C">
        <w:rPr>
          <w:sz w:val="22"/>
          <w:szCs w:val="22"/>
          <w:lang w:val="en-US"/>
        </w:rPr>
        <w:t xml:space="preserve"> </w:t>
      </w:r>
      <w:r w:rsidR="009C1E30">
        <w:rPr>
          <w:sz w:val="22"/>
          <w:szCs w:val="22"/>
          <w:lang w:val="en-US"/>
        </w:rPr>
        <w:t>(</w:t>
      </w:r>
      <w:r w:rsidRPr="00905F5C">
        <w:rPr>
          <w:sz w:val="22"/>
          <w:szCs w:val="22"/>
          <w:lang w:val="en-US"/>
        </w:rPr>
        <w:t>LMO</w:t>
      </w:r>
      <w:r w:rsidR="009C1E30">
        <w:rPr>
          <w:sz w:val="22"/>
          <w:szCs w:val="22"/>
          <w:lang w:val="en-US"/>
        </w:rPr>
        <w:t>)</w:t>
      </w:r>
      <w:r w:rsidRPr="00905F5C">
        <w:rPr>
          <w:sz w:val="22"/>
          <w:szCs w:val="22"/>
          <w:lang w:val="en-US"/>
        </w:rPr>
        <w:t xml:space="preserve"> are authorized according to the evaluation by the National Technical Commission for Biosecurity (CTNBio) and the applicants should provide </w:t>
      </w:r>
      <w:r w:rsidRPr="00905F5C">
        <w:rPr>
          <w:sz w:val="22"/>
          <w:szCs w:val="22"/>
          <w:lang w:val="en-US"/>
        </w:rPr>
        <w:lastRenderedPageBreak/>
        <w:t>methodology and reference materials to the Official Laboratory aiming at method validation and market control.</w:t>
      </w:r>
    </w:p>
    <w:p w14:paraId="3DEEC669" w14:textId="5DD3B9AA" w:rsidR="00195125" w:rsidRPr="00DA4807" w:rsidRDefault="0058322D" w:rsidP="00DA4807">
      <w:pPr>
        <w:autoSpaceDE w:val="0"/>
        <w:autoSpaceDN w:val="0"/>
        <w:adjustRightInd w:val="0"/>
        <w:rPr>
          <w:sz w:val="22"/>
          <w:szCs w:val="22"/>
          <w:lang w:val="en-US"/>
        </w:rPr>
      </w:pPr>
      <w:r w:rsidRPr="0058322D">
        <w:rPr>
          <w:sz w:val="22"/>
          <w:szCs w:val="22"/>
          <w:lang w:val="en-US"/>
        </w:rPr>
        <w:t xml:space="preserve"> </w:t>
      </w:r>
    </w:p>
    <w:p w14:paraId="39CBF0DA" w14:textId="77777777" w:rsidR="00DA4807" w:rsidRDefault="00DA4807" w:rsidP="00DA4807">
      <w:pPr>
        <w:autoSpaceDE w:val="0"/>
        <w:autoSpaceDN w:val="0"/>
        <w:adjustRightInd w:val="0"/>
        <w:rPr>
          <w:sz w:val="22"/>
          <w:szCs w:val="22"/>
          <w:lang w:val="en-US"/>
        </w:rPr>
      </w:pPr>
      <w:r w:rsidRPr="00DA4807">
        <w:rPr>
          <w:sz w:val="22"/>
          <w:szCs w:val="22"/>
          <w:lang w:val="en-US"/>
        </w:rPr>
        <w:t>c. Developing reference materials</w:t>
      </w:r>
    </w:p>
    <w:p w14:paraId="3656B9AB" w14:textId="77777777" w:rsidR="00DA4807" w:rsidRDefault="00DA4807" w:rsidP="00DA4807">
      <w:pPr>
        <w:autoSpaceDE w:val="0"/>
        <w:autoSpaceDN w:val="0"/>
        <w:adjustRightInd w:val="0"/>
        <w:rPr>
          <w:sz w:val="22"/>
          <w:szCs w:val="22"/>
          <w:lang w:val="en-US"/>
        </w:rPr>
      </w:pPr>
    </w:p>
    <w:p w14:paraId="0A8F8DF6" w14:textId="77777777" w:rsidR="00135E38" w:rsidRDefault="009B22F5" w:rsidP="009B22F5">
      <w:pPr>
        <w:autoSpaceDE w:val="0"/>
        <w:autoSpaceDN w:val="0"/>
        <w:adjustRightInd w:val="0"/>
        <w:jc w:val="both"/>
        <w:rPr>
          <w:sz w:val="22"/>
          <w:szCs w:val="22"/>
          <w:lang w:val="en-US"/>
        </w:rPr>
      </w:pPr>
      <w:r w:rsidRPr="009B22F5">
        <w:rPr>
          <w:sz w:val="22"/>
          <w:szCs w:val="22"/>
          <w:lang w:val="en-US"/>
        </w:rPr>
        <w:t xml:space="preserve">We </w:t>
      </w:r>
      <w:r w:rsidR="00046AA4">
        <w:rPr>
          <w:sz w:val="22"/>
          <w:szCs w:val="22"/>
          <w:lang w:val="en-US"/>
        </w:rPr>
        <w:t>do not</w:t>
      </w:r>
      <w:r w:rsidRPr="009B22F5">
        <w:rPr>
          <w:sz w:val="22"/>
          <w:szCs w:val="22"/>
          <w:lang w:val="en-US"/>
        </w:rPr>
        <w:t xml:space="preserve"> have experience </w:t>
      </w:r>
      <w:r w:rsidR="00046AA4">
        <w:rPr>
          <w:sz w:val="22"/>
          <w:szCs w:val="22"/>
          <w:lang w:val="en-US"/>
        </w:rPr>
        <w:t>in</w:t>
      </w:r>
      <w:r w:rsidRPr="009B22F5">
        <w:rPr>
          <w:sz w:val="22"/>
          <w:szCs w:val="22"/>
          <w:lang w:val="en-US"/>
        </w:rPr>
        <w:t xml:space="preserve"> developing reference materials for LMO analysis. We work </w:t>
      </w:r>
      <w:r w:rsidR="00046AA4">
        <w:rPr>
          <w:sz w:val="22"/>
          <w:szCs w:val="22"/>
          <w:lang w:val="en-US"/>
        </w:rPr>
        <w:t>mostly</w:t>
      </w:r>
      <w:r w:rsidRPr="009B22F5">
        <w:rPr>
          <w:sz w:val="22"/>
          <w:szCs w:val="22"/>
          <w:lang w:val="en-US"/>
        </w:rPr>
        <w:t xml:space="preserve"> with purchased certified reference material and reference materials provided by the developers</w:t>
      </w:r>
      <w:r>
        <w:rPr>
          <w:sz w:val="22"/>
          <w:szCs w:val="22"/>
          <w:lang w:val="en-US"/>
        </w:rPr>
        <w:t xml:space="preserve"> (breeding companies)</w:t>
      </w:r>
      <w:r w:rsidRPr="009B22F5">
        <w:rPr>
          <w:sz w:val="22"/>
          <w:szCs w:val="22"/>
          <w:lang w:val="en-US"/>
        </w:rPr>
        <w:t xml:space="preserve"> of a new authorized LMO in our country.</w:t>
      </w:r>
    </w:p>
    <w:p w14:paraId="45FB0818" w14:textId="77777777" w:rsidR="009B22F5" w:rsidRPr="00DA4807" w:rsidRDefault="009B22F5" w:rsidP="00DA4807">
      <w:pPr>
        <w:autoSpaceDE w:val="0"/>
        <w:autoSpaceDN w:val="0"/>
        <w:adjustRightInd w:val="0"/>
        <w:rPr>
          <w:sz w:val="22"/>
          <w:szCs w:val="22"/>
          <w:lang w:val="en-US"/>
        </w:rPr>
      </w:pPr>
    </w:p>
    <w:p w14:paraId="30CED3A5" w14:textId="77777777" w:rsidR="00DA4807" w:rsidRPr="00905F5C" w:rsidRDefault="00DA4807" w:rsidP="00905F5C">
      <w:pPr>
        <w:pStyle w:val="PargrafodaLista"/>
        <w:numPr>
          <w:ilvl w:val="0"/>
          <w:numId w:val="3"/>
        </w:numPr>
        <w:autoSpaceDE w:val="0"/>
        <w:autoSpaceDN w:val="0"/>
        <w:adjustRightInd w:val="0"/>
        <w:ind w:left="284" w:hanging="284"/>
        <w:rPr>
          <w:sz w:val="22"/>
          <w:szCs w:val="22"/>
          <w:lang w:val="en-US"/>
        </w:rPr>
      </w:pPr>
      <w:r w:rsidRPr="00905F5C">
        <w:rPr>
          <w:sz w:val="22"/>
          <w:szCs w:val="22"/>
          <w:lang w:val="en-US"/>
        </w:rPr>
        <w:t>Collaborations or agreements between national and/or regional laboratories</w:t>
      </w:r>
    </w:p>
    <w:p w14:paraId="049F31CB" w14:textId="77777777" w:rsidR="00905F5C" w:rsidRDefault="00905F5C" w:rsidP="00905F5C">
      <w:pPr>
        <w:autoSpaceDE w:val="0"/>
        <w:autoSpaceDN w:val="0"/>
        <w:adjustRightInd w:val="0"/>
        <w:rPr>
          <w:sz w:val="22"/>
          <w:szCs w:val="22"/>
          <w:lang w:val="en-US"/>
        </w:rPr>
      </w:pPr>
    </w:p>
    <w:p w14:paraId="2F8EA841" w14:textId="77777777" w:rsidR="00905F5C" w:rsidRPr="009C1E30" w:rsidRDefault="00905F5C" w:rsidP="00905F5C">
      <w:pPr>
        <w:autoSpaceDE w:val="0"/>
        <w:autoSpaceDN w:val="0"/>
        <w:adjustRightInd w:val="0"/>
        <w:jc w:val="both"/>
        <w:rPr>
          <w:sz w:val="22"/>
          <w:szCs w:val="22"/>
          <w:lang w:val="en-US"/>
        </w:rPr>
      </w:pPr>
      <w:r w:rsidRPr="009C1E30">
        <w:rPr>
          <w:sz w:val="22"/>
          <w:szCs w:val="22"/>
          <w:lang w:val="en-US"/>
        </w:rPr>
        <w:t>GMO</w:t>
      </w:r>
      <w:r w:rsidRPr="009C1E30">
        <w:rPr>
          <w:spacing w:val="1"/>
          <w:sz w:val="22"/>
          <w:szCs w:val="22"/>
          <w:lang w:val="en-US"/>
        </w:rPr>
        <w:t xml:space="preserve"> </w:t>
      </w:r>
      <w:r w:rsidRPr="009C1E30">
        <w:rPr>
          <w:sz w:val="22"/>
          <w:szCs w:val="22"/>
          <w:lang w:val="en-US"/>
        </w:rPr>
        <w:t>control</w:t>
      </w:r>
      <w:r w:rsidRPr="009C1E30">
        <w:rPr>
          <w:spacing w:val="1"/>
          <w:sz w:val="22"/>
          <w:szCs w:val="22"/>
          <w:lang w:val="en-US"/>
        </w:rPr>
        <w:t xml:space="preserve"> </w:t>
      </w:r>
      <w:r w:rsidRPr="009C1E30">
        <w:rPr>
          <w:sz w:val="22"/>
          <w:szCs w:val="22"/>
          <w:lang w:val="en-US"/>
        </w:rPr>
        <w:t>analys</w:t>
      </w:r>
      <w:r w:rsidR="00046AA4" w:rsidRPr="009C1E30">
        <w:rPr>
          <w:sz w:val="22"/>
          <w:szCs w:val="22"/>
          <w:lang w:val="en-US"/>
        </w:rPr>
        <w:t>e</w:t>
      </w:r>
      <w:r w:rsidRPr="009C1E30">
        <w:rPr>
          <w:sz w:val="22"/>
          <w:szCs w:val="22"/>
          <w:lang w:val="en-US"/>
        </w:rPr>
        <w:t>s</w:t>
      </w:r>
      <w:r w:rsidRPr="009C1E30">
        <w:rPr>
          <w:spacing w:val="1"/>
          <w:sz w:val="22"/>
          <w:szCs w:val="22"/>
          <w:lang w:val="en-US"/>
        </w:rPr>
        <w:t xml:space="preserve"> </w:t>
      </w:r>
      <w:r w:rsidRPr="009C1E30">
        <w:rPr>
          <w:sz w:val="22"/>
          <w:szCs w:val="22"/>
          <w:lang w:val="en-US"/>
        </w:rPr>
        <w:t>in</w:t>
      </w:r>
      <w:r w:rsidRPr="009C1E30">
        <w:rPr>
          <w:spacing w:val="1"/>
          <w:sz w:val="22"/>
          <w:szCs w:val="22"/>
          <w:lang w:val="en-US"/>
        </w:rPr>
        <w:t xml:space="preserve"> </w:t>
      </w:r>
      <w:r w:rsidRPr="009C1E30">
        <w:rPr>
          <w:sz w:val="22"/>
          <w:szCs w:val="22"/>
          <w:lang w:val="en-US"/>
        </w:rPr>
        <w:t>Brazil</w:t>
      </w:r>
      <w:r w:rsidRPr="009C1E30">
        <w:rPr>
          <w:spacing w:val="1"/>
          <w:sz w:val="22"/>
          <w:szCs w:val="22"/>
          <w:lang w:val="en-US"/>
        </w:rPr>
        <w:t xml:space="preserve"> </w:t>
      </w:r>
      <w:r w:rsidRPr="009C1E30">
        <w:rPr>
          <w:sz w:val="22"/>
          <w:szCs w:val="22"/>
          <w:lang w:val="en-US"/>
        </w:rPr>
        <w:t>are</w:t>
      </w:r>
      <w:r w:rsidRPr="009C1E30">
        <w:rPr>
          <w:spacing w:val="1"/>
          <w:sz w:val="22"/>
          <w:szCs w:val="22"/>
          <w:lang w:val="en-US"/>
        </w:rPr>
        <w:t xml:space="preserve"> </w:t>
      </w:r>
      <w:r w:rsidRPr="009C1E30">
        <w:rPr>
          <w:sz w:val="22"/>
          <w:szCs w:val="22"/>
          <w:lang w:val="en-US"/>
        </w:rPr>
        <w:t>made</w:t>
      </w:r>
      <w:r w:rsidRPr="009C1E30">
        <w:rPr>
          <w:spacing w:val="1"/>
          <w:sz w:val="22"/>
          <w:szCs w:val="22"/>
          <w:lang w:val="en-US"/>
        </w:rPr>
        <w:t xml:space="preserve"> </w:t>
      </w:r>
      <w:r w:rsidRPr="009C1E30">
        <w:rPr>
          <w:sz w:val="22"/>
          <w:szCs w:val="22"/>
          <w:lang w:val="en-US"/>
        </w:rPr>
        <w:t>by</w:t>
      </w:r>
      <w:r w:rsidRPr="009C1E30">
        <w:rPr>
          <w:spacing w:val="1"/>
          <w:sz w:val="22"/>
          <w:szCs w:val="22"/>
          <w:lang w:val="en-US"/>
        </w:rPr>
        <w:t xml:space="preserve"> </w:t>
      </w:r>
      <w:r w:rsidRPr="009C1E30">
        <w:rPr>
          <w:sz w:val="22"/>
          <w:szCs w:val="22"/>
          <w:lang w:val="en-US"/>
        </w:rPr>
        <w:t>a</w:t>
      </w:r>
      <w:r w:rsidRPr="009C1E30">
        <w:rPr>
          <w:spacing w:val="1"/>
          <w:sz w:val="22"/>
          <w:szCs w:val="22"/>
          <w:lang w:val="en-US"/>
        </w:rPr>
        <w:t xml:space="preserve"> </w:t>
      </w:r>
      <w:r w:rsidRPr="009C1E30">
        <w:rPr>
          <w:sz w:val="22"/>
          <w:szCs w:val="22"/>
          <w:lang w:val="en-US"/>
        </w:rPr>
        <w:t>network</w:t>
      </w:r>
      <w:r w:rsidRPr="009C1E30">
        <w:rPr>
          <w:spacing w:val="1"/>
          <w:sz w:val="22"/>
          <w:szCs w:val="22"/>
          <w:lang w:val="en-US"/>
        </w:rPr>
        <w:t xml:space="preserve"> </w:t>
      </w:r>
      <w:r w:rsidRPr="009C1E30">
        <w:rPr>
          <w:sz w:val="22"/>
          <w:szCs w:val="22"/>
          <w:lang w:val="en-US"/>
        </w:rPr>
        <w:t>of</w:t>
      </w:r>
      <w:r w:rsidRPr="009C1E30">
        <w:rPr>
          <w:spacing w:val="1"/>
          <w:sz w:val="22"/>
          <w:szCs w:val="22"/>
          <w:lang w:val="en-US"/>
        </w:rPr>
        <w:t xml:space="preserve"> </w:t>
      </w:r>
      <w:r w:rsidRPr="009C1E30">
        <w:rPr>
          <w:sz w:val="22"/>
          <w:szCs w:val="22"/>
          <w:lang w:val="en-US"/>
        </w:rPr>
        <w:t>laboratories accredited to the National Institute of Metrology,</w:t>
      </w:r>
      <w:r w:rsidRPr="009C1E30">
        <w:rPr>
          <w:spacing w:val="1"/>
          <w:sz w:val="22"/>
          <w:szCs w:val="22"/>
          <w:lang w:val="en-US"/>
        </w:rPr>
        <w:t xml:space="preserve"> </w:t>
      </w:r>
      <w:r w:rsidRPr="009C1E30">
        <w:rPr>
          <w:sz w:val="22"/>
          <w:szCs w:val="22"/>
          <w:lang w:val="en-US"/>
        </w:rPr>
        <w:t xml:space="preserve">Standardization and Industrial </w:t>
      </w:r>
      <w:r w:rsidR="004124C9" w:rsidRPr="009C1E30">
        <w:rPr>
          <w:sz w:val="22"/>
          <w:szCs w:val="22"/>
          <w:lang w:val="en-US"/>
        </w:rPr>
        <w:t>Quality based on the ISO 17.025:</w:t>
      </w:r>
      <w:r w:rsidRPr="009C1E30">
        <w:rPr>
          <w:sz w:val="22"/>
          <w:szCs w:val="22"/>
          <w:lang w:val="en-US"/>
        </w:rPr>
        <w:t xml:space="preserve"> 2</w:t>
      </w:r>
      <w:r w:rsidR="004124C9" w:rsidRPr="009C1E30">
        <w:rPr>
          <w:sz w:val="22"/>
          <w:szCs w:val="22"/>
          <w:lang w:val="en-US"/>
        </w:rPr>
        <w:t>017 - General requirements for the competence of testing and calibration laboratories.</w:t>
      </w:r>
      <w:r w:rsidR="00135E38" w:rsidRPr="009C1E30">
        <w:rPr>
          <w:sz w:val="22"/>
          <w:szCs w:val="22"/>
          <w:lang w:val="en-US"/>
        </w:rPr>
        <w:t xml:space="preserve"> </w:t>
      </w:r>
      <w:r w:rsidRPr="009C1E30">
        <w:rPr>
          <w:sz w:val="22"/>
          <w:szCs w:val="22"/>
          <w:lang w:val="en-US"/>
        </w:rPr>
        <w:t>Brazil is also a</w:t>
      </w:r>
      <w:r w:rsidR="00135E38" w:rsidRPr="009C1E30">
        <w:rPr>
          <w:sz w:val="22"/>
          <w:szCs w:val="22"/>
          <w:lang w:val="en-US"/>
        </w:rPr>
        <w:t>n active</w:t>
      </w:r>
      <w:r w:rsidRPr="009C1E30">
        <w:rPr>
          <w:sz w:val="22"/>
          <w:szCs w:val="22"/>
          <w:lang w:val="en-US"/>
        </w:rPr>
        <w:t xml:space="preserve"> member of the Network of official laboratories for detection of GMOs in Latin America and the Caribbean region (RLAC OGM).</w:t>
      </w:r>
    </w:p>
    <w:p w14:paraId="53128261" w14:textId="77777777" w:rsidR="00905F5C" w:rsidRPr="00905F5C" w:rsidRDefault="00905F5C" w:rsidP="00905F5C">
      <w:pPr>
        <w:autoSpaceDE w:val="0"/>
        <w:autoSpaceDN w:val="0"/>
        <w:adjustRightInd w:val="0"/>
        <w:rPr>
          <w:sz w:val="22"/>
          <w:szCs w:val="22"/>
          <w:lang w:val="en-US"/>
        </w:rPr>
      </w:pPr>
    </w:p>
    <w:p w14:paraId="62486C05" w14:textId="77777777" w:rsidR="00DA4807" w:rsidRPr="00DA4807" w:rsidRDefault="00DA4807" w:rsidP="00DA4807">
      <w:pPr>
        <w:autoSpaceDE w:val="0"/>
        <w:autoSpaceDN w:val="0"/>
        <w:adjustRightInd w:val="0"/>
        <w:rPr>
          <w:sz w:val="22"/>
          <w:szCs w:val="22"/>
          <w:lang w:val="en-US"/>
        </w:rPr>
      </w:pPr>
    </w:p>
    <w:p w14:paraId="06D85715" w14:textId="77777777" w:rsidR="00DA4807" w:rsidRPr="00DA4807" w:rsidRDefault="00DA4807" w:rsidP="00DA4807">
      <w:pPr>
        <w:autoSpaceDE w:val="0"/>
        <w:autoSpaceDN w:val="0"/>
        <w:adjustRightInd w:val="0"/>
        <w:rPr>
          <w:b/>
          <w:bCs/>
          <w:i/>
          <w:iCs/>
          <w:sz w:val="22"/>
          <w:szCs w:val="22"/>
          <w:lang w:val="en-US"/>
        </w:rPr>
      </w:pPr>
      <w:r w:rsidRPr="00DA4807">
        <w:rPr>
          <w:b/>
          <w:bCs/>
          <w:i/>
          <w:iCs/>
          <w:sz w:val="22"/>
          <w:szCs w:val="22"/>
          <w:lang w:val="en-US"/>
        </w:rPr>
        <w:t>Submission of supporting documentation:</w:t>
      </w:r>
    </w:p>
    <w:p w14:paraId="13A0C60E" w14:textId="77777777" w:rsidR="00DA4807" w:rsidRPr="00DA4807" w:rsidRDefault="00DA4807" w:rsidP="00DA4807">
      <w:pPr>
        <w:autoSpaceDE w:val="0"/>
        <w:autoSpaceDN w:val="0"/>
        <w:adjustRightInd w:val="0"/>
        <w:rPr>
          <w:sz w:val="22"/>
          <w:szCs w:val="22"/>
          <w:lang w:val="en-US"/>
        </w:rPr>
      </w:pPr>
      <w:r w:rsidRPr="00DA4807">
        <w:rPr>
          <w:sz w:val="22"/>
          <w:szCs w:val="22"/>
          <w:lang w:val="en-US"/>
        </w:rPr>
        <w:t>For any publication that you may want to share as part of your submission, kindly include:</w:t>
      </w:r>
    </w:p>
    <w:p w14:paraId="0AF2927D" w14:textId="77777777" w:rsidR="00DA4807" w:rsidRPr="00DA4807" w:rsidRDefault="00DA4807" w:rsidP="00DA4807">
      <w:pPr>
        <w:autoSpaceDE w:val="0"/>
        <w:autoSpaceDN w:val="0"/>
        <w:adjustRightInd w:val="0"/>
        <w:rPr>
          <w:sz w:val="22"/>
          <w:szCs w:val="22"/>
          <w:lang w:val="en-US"/>
        </w:rPr>
      </w:pPr>
      <w:r w:rsidRPr="00DA4807">
        <w:rPr>
          <w:sz w:val="22"/>
          <w:szCs w:val="22"/>
          <w:lang w:val="en-US"/>
        </w:rPr>
        <w:t>1. Name of publication(s), author, date and DOI or URL link.</w:t>
      </w:r>
    </w:p>
    <w:p w14:paraId="58C643E1" w14:textId="77777777" w:rsidR="003E5334" w:rsidRPr="00DA4807" w:rsidRDefault="00DA4807" w:rsidP="00DA4807">
      <w:pPr>
        <w:rPr>
          <w:rFonts w:ascii="Arial" w:eastAsia="Arial" w:hAnsi="Arial" w:cs="Arial"/>
          <w:sz w:val="22"/>
          <w:szCs w:val="22"/>
          <w:lang w:val="en-US"/>
        </w:rPr>
      </w:pPr>
      <w:r w:rsidRPr="00DA4807">
        <w:rPr>
          <w:sz w:val="22"/>
          <w:szCs w:val="22"/>
          <w:lang w:val="en-US"/>
        </w:rPr>
        <w:t>2. Attach in pdf format any publication you have listed above.</w:t>
      </w:r>
    </w:p>
    <w:sectPr w:rsidR="003E5334" w:rsidRPr="00DA4807">
      <w:headerReference w:type="default" r:id="rId7"/>
      <w:footerReference w:type="default" r:id="rId8"/>
      <w:pgSz w:w="11907" w:h="16840"/>
      <w:pgMar w:top="2835" w:right="851" w:bottom="244" w:left="1701"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BE7D" w14:textId="77777777" w:rsidR="002E6583" w:rsidRDefault="002E6583">
      <w:r>
        <w:separator/>
      </w:r>
    </w:p>
  </w:endnote>
  <w:endnote w:type="continuationSeparator" w:id="0">
    <w:p w14:paraId="7AE398D3" w14:textId="77777777" w:rsidR="002E6583" w:rsidRDefault="002E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825E" w14:textId="44CCECE5" w:rsidR="003E5334" w:rsidRDefault="003E5334">
    <w:pPr>
      <w:ind w:hanging="180"/>
      <w:jc w:val="cente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76E4" w14:textId="77777777" w:rsidR="002E6583" w:rsidRDefault="002E6583">
      <w:r>
        <w:separator/>
      </w:r>
    </w:p>
  </w:footnote>
  <w:footnote w:type="continuationSeparator" w:id="0">
    <w:p w14:paraId="355EF790" w14:textId="77777777" w:rsidR="002E6583" w:rsidRDefault="002E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43D8" w14:textId="5A74C162" w:rsidR="003E5334" w:rsidRDefault="003E5334">
    <w:pPr>
      <w:ind w:left="1416"/>
      <w:jc w:val="center"/>
      <w:rPr>
        <w:sz w:val="20"/>
        <w:szCs w:val="20"/>
      </w:rPr>
    </w:pPr>
  </w:p>
  <w:p w14:paraId="756ADDF2" w14:textId="0563A31A" w:rsidR="003E5334" w:rsidRPr="00371864" w:rsidRDefault="003E5334" w:rsidP="00473FB9">
    <w:pP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2F5"/>
    <w:multiLevelType w:val="hybridMultilevel"/>
    <w:tmpl w:val="2C36864C"/>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9422B"/>
    <w:multiLevelType w:val="hybridMultilevel"/>
    <w:tmpl w:val="D3C6FC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521CB5"/>
    <w:multiLevelType w:val="multilevel"/>
    <w:tmpl w:val="EC204258"/>
    <w:lvl w:ilvl="0">
      <w:start w:val="2"/>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13854082">
    <w:abstractNumId w:val="2"/>
  </w:num>
  <w:num w:numId="2" w16cid:durableId="877546920">
    <w:abstractNumId w:val="1"/>
  </w:num>
  <w:num w:numId="3" w16cid:durableId="191215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34"/>
    <w:rsid w:val="00046AA4"/>
    <w:rsid w:val="000E5332"/>
    <w:rsid w:val="00135E38"/>
    <w:rsid w:val="001555B9"/>
    <w:rsid w:val="00195125"/>
    <w:rsid w:val="002D4DBF"/>
    <w:rsid w:val="002E6583"/>
    <w:rsid w:val="00371864"/>
    <w:rsid w:val="003E52FE"/>
    <w:rsid w:val="003E5334"/>
    <w:rsid w:val="004124C9"/>
    <w:rsid w:val="004276C5"/>
    <w:rsid w:val="00450B37"/>
    <w:rsid w:val="00473FB9"/>
    <w:rsid w:val="004D0249"/>
    <w:rsid w:val="004E016A"/>
    <w:rsid w:val="0058322D"/>
    <w:rsid w:val="00754733"/>
    <w:rsid w:val="00876CAC"/>
    <w:rsid w:val="00905F5C"/>
    <w:rsid w:val="009B22F5"/>
    <w:rsid w:val="009C1E30"/>
    <w:rsid w:val="009E44CA"/>
    <w:rsid w:val="00B436D0"/>
    <w:rsid w:val="00C8553A"/>
    <w:rsid w:val="00DA4807"/>
    <w:rsid w:val="00DB44E6"/>
    <w:rsid w:val="00DE79AB"/>
    <w:rsid w:val="021ACD56"/>
    <w:rsid w:val="17B690C4"/>
    <w:rsid w:val="1F68569D"/>
    <w:rsid w:val="46A644C7"/>
    <w:rsid w:val="536E8459"/>
    <w:rsid w:val="5ABC5160"/>
    <w:rsid w:val="628734E6"/>
    <w:rsid w:val="6BF797CD"/>
    <w:rsid w:val="7B7B49B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80FF"/>
  <w15:docId w15:val="{847B11A1-BA80-45F6-8D45-550EF0E8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371864"/>
    <w:pPr>
      <w:tabs>
        <w:tab w:val="center" w:pos="4252"/>
        <w:tab w:val="right" w:pos="8504"/>
      </w:tabs>
    </w:pPr>
  </w:style>
  <w:style w:type="character" w:customStyle="1" w:styleId="CabealhoChar">
    <w:name w:val="Cabeçalho Char"/>
    <w:basedOn w:val="Fontepargpadro"/>
    <w:link w:val="Cabealho"/>
    <w:uiPriority w:val="99"/>
    <w:rsid w:val="00371864"/>
  </w:style>
  <w:style w:type="paragraph" w:styleId="Rodap">
    <w:name w:val="footer"/>
    <w:basedOn w:val="Normal"/>
    <w:link w:val="RodapChar"/>
    <w:uiPriority w:val="99"/>
    <w:unhideWhenUsed/>
    <w:rsid w:val="00371864"/>
    <w:pPr>
      <w:tabs>
        <w:tab w:val="center" w:pos="4252"/>
        <w:tab w:val="right" w:pos="8504"/>
      </w:tabs>
    </w:pPr>
  </w:style>
  <w:style w:type="character" w:customStyle="1" w:styleId="RodapChar">
    <w:name w:val="Rodapé Char"/>
    <w:basedOn w:val="Fontepargpadro"/>
    <w:link w:val="Rodap"/>
    <w:uiPriority w:val="99"/>
    <w:rsid w:val="00371864"/>
  </w:style>
  <w:style w:type="paragraph" w:styleId="PargrafodaLista">
    <w:name w:val="List Paragraph"/>
    <w:basedOn w:val="Normal"/>
    <w:uiPriority w:val="34"/>
    <w:qFormat/>
    <w:rsid w:val="00DA4807"/>
    <w:pPr>
      <w:ind w:left="720"/>
      <w:contextualSpacing/>
    </w:p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MAPA</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 Gloria Trindade</dc:creator>
  <cp:lastModifiedBy>BRAZIL</cp:lastModifiedBy>
  <cp:revision>25</cp:revision>
  <dcterms:created xsi:type="dcterms:W3CDTF">2023-11-22T17:19:00Z</dcterms:created>
  <dcterms:modified xsi:type="dcterms:W3CDTF">2023-11-24T21:29:00Z</dcterms:modified>
</cp:coreProperties>
</file>