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B9D9" w14:textId="77777777" w:rsidR="007C7C0E" w:rsidRPr="00F643E6" w:rsidRDefault="007C7C0E" w:rsidP="007C7C0E">
      <w:pPr>
        <w:pStyle w:val="NormalWeb"/>
        <w:spacing w:before="0" w:beforeAutospacing="0" w:after="0" w:afterAutospacing="0"/>
        <w:rPr>
          <w:rFonts w:asciiTheme="majorHAnsi" w:hAnsiTheme="majorHAnsi"/>
          <w:b/>
          <w:sz w:val="24"/>
          <w:szCs w:val="24"/>
        </w:rPr>
      </w:pPr>
      <w:r w:rsidRPr="00F643E6">
        <w:rPr>
          <w:rFonts w:asciiTheme="majorHAnsi" w:hAnsiTheme="majorHAnsi"/>
          <w:b/>
          <w:sz w:val="24"/>
          <w:szCs w:val="24"/>
        </w:rPr>
        <w:t xml:space="preserve">Further views on the post-2020 global biodiversity framework </w:t>
      </w:r>
    </w:p>
    <w:p w14:paraId="0C9D78A0" w14:textId="77777777" w:rsidR="007C7C0E" w:rsidRPr="007C7C0E" w:rsidRDefault="007C7C0E" w:rsidP="007C7C0E">
      <w:pPr>
        <w:pStyle w:val="NormalWeb"/>
        <w:spacing w:before="0" w:beforeAutospacing="0" w:after="0" w:afterAutospacing="0"/>
        <w:rPr>
          <w:rFonts w:asciiTheme="majorHAnsi" w:hAnsiTheme="majorHAnsi"/>
          <w:sz w:val="24"/>
          <w:szCs w:val="24"/>
        </w:rPr>
      </w:pPr>
    </w:p>
    <w:p w14:paraId="10294DD9" w14:textId="77777777" w:rsidR="007C7C0E" w:rsidRPr="00F643E6" w:rsidRDefault="007C7C0E" w:rsidP="007C7C0E">
      <w:pPr>
        <w:pStyle w:val="NormalWeb"/>
        <w:spacing w:before="0" w:beforeAutospacing="0" w:after="0" w:afterAutospacing="0"/>
        <w:rPr>
          <w:rFonts w:asciiTheme="majorHAnsi" w:hAnsiTheme="majorHAnsi"/>
          <w:i/>
          <w:sz w:val="24"/>
          <w:szCs w:val="24"/>
        </w:rPr>
      </w:pPr>
      <w:r w:rsidRPr="00F643E6">
        <w:rPr>
          <w:rFonts w:asciiTheme="majorHAnsi" w:hAnsiTheme="majorHAnsi"/>
          <w:i/>
          <w:sz w:val="24"/>
          <w:szCs w:val="24"/>
        </w:rPr>
        <w:t>Submission by Third World Network</w:t>
      </w:r>
    </w:p>
    <w:p w14:paraId="1B9C3F63" w14:textId="77777777" w:rsidR="007C7C0E" w:rsidRDefault="007C7C0E" w:rsidP="007C7C0E">
      <w:pPr>
        <w:rPr>
          <w:rFonts w:asciiTheme="majorHAnsi" w:hAnsiTheme="majorHAnsi" w:cs="Times New Roman"/>
        </w:rPr>
      </w:pPr>
    </w:p>
    <w:p w14:paraId="54388115" w14:textId="5C4FF8AB" w:rsidR="007C7C0E" w:rsidRDefault="007C7C0E" w:rsidP="007C7C0E">
      <w:pPr>
        <w:rPr>
          <w:rFonts w:asciiTheme="majorHAnsi" w:hAnsiTheme="majorHAnsi" w:cs="Times New Roman"/>
        </w:rPr>
      </w:pPr>
      <w:r>
        <w:rPr>
          <w:rFonts w:asciiTheme="majorHAnsi" w:hAnsiTheme="majorHAnsi" w:cs="Times New Roman"/>
        </w:rPr>
        <w:t xml:space="preserve">To move beyond 2020, a clear understanding of the failure to arrest the biodiveristy crisis to date is necessary. In this submission, we will focus on </w:t>
      </w:r>
      <w:r w:rsidRPr="002E73A4">
        <w:rPr>
          <w:rFonts w:asciiTheme="majorHAnsi" w:hAnsiTheme="majorHAnsi" w:cs="Times New Roman"/>
        </w:rPr>
        <w:t xml:space="preserve">structural governance issues </w:t>
      </w:r>
      <w:r>
        <w:rPr>
          <w:rFonts w:asciiTheme="majorHAnsi" w:hAnsiTheme="majorHAnsi" w:cs="Times New Roman"/>
        </w:rPr>
        <w:t xml:space="preserve">in the post-2020 </w:t>
      </w:r>
      <w:r w:rsidR="00AB772F">
        <w:rPr>
          <w:rFonts w:asciiTheme="majorHAnsi" w:hAnsiTheme="majorHAnsi" w:cs="Times New Roman"/>
        </w:rPr>
        <w:t xml:space="preserve">global biodiversity </w:t>
      </w:r>
      <w:r>
        <w:rPr>
          <w:rFonts w:asciiTheme="majorHAnsi" w:hAnsiTheme="majorHAnsi" w:cs="Times New Roman"/>
        </w:rPr>
        <w:t>framework.</w:t>
      </w:r>
    </w:p>
    <w:p w14:paraId="66A2627E" w14:textId="77777777" w:rsidR="00705D3B" w:rsidRDefault="00705D3B" w:rsidP="007C7C0E">
      <w:pPr>
        <w:rPr>
          <w:rFonts w:asciiTheme="majorHAnsi" w:hAnsiTheme="majorHAnsi" w:cs="Times New Roman"/>
        </w:rPr>
      </w:pPr>
    </w:p>
    <w:p w14:paraId="7EA9656B" w14:textId="2229F526" w:rsidR="00705D3B" w:rsidRDefault="00705D3B" w:rsidP="007C7C0E">
      <w:pPr>
        <w:rPr>
          <w:rFonts w:asciiTheme="majorHAnsi" w:hAnsiTheme="majorHAnsi" w:cs="Times New Roman"/>
        </w:rPr>
      </w:pPr>
      <w:r>
        <w:rPr>
          <w:rFonts w:asciiTheme="majorHAnsi" w:hAnsiTheme="majorHAnsi" w:cs="Times New Roman"/>
        </w:rPr>
        <w:t>The Rio Declaration on Environment and Development (1992) established the principle of “</w:t>
      </w:r>
      <w:r w:rsidRPr="002E73A4">
        <w:rPr>
          <w:rFonts w:asciiTheme="majorHAnsi" w:hAnsiTheme="majorHAnsi" w:cs="Times New Roman"/>
        </w:rPr>
        <w:t xml:space="preserve">common but </w:t>
      </w:r>
      <w:r>
        <w:rPr>
          <w:rFonts w:asciiTheme="majorHAnsi" w:hAnsiTheme="majorHAnsi" w:cs="Times New Roman"/>
        </w:rPr>
        <w:t>differentiated responsibilities” (CBDR)</w:t>
      </w:r>
      <w:r w:rsidRPr="002E73A4">
        <w:rPr>
          <w:rFonts w:asciiTheme="majorHAnsi" w:hAnsiTheme="majorHAnsi" w:cs="Times New Roman"/>
        </w:rPr>
        <w:t xml:space="preserve"> in relation to </w:t>
      </w:r>
      <w:r>
        <w:rPr>
          <w:rFonts w:asciiTheme="majorHAnsi" w:hAnsiTheme="majorHAnsi" w:cs="Times New Roman"/>
        </w:rPr>
        <w:t>developed countries</w:t>
      </w:r>
      <w:r w:rsidRPr="002E73A4">
        <w:rPr>
          <w:rFonts w:asciiTheme="majorHAnsi" w:hAnsiTheme="majorHAnsi" w:cs="Times New Roman"/>
        </w:rPr>
        <w:t xml:space="preserve">’ obligations to take action and to provide </w:t>
      </w:r>
      <w:r>
        <w:rPr>
          <w:rFonts w:asciiTheme="majorHAnsi" w:hAnsiTheme="majorHAnsi" w:cs="Times New Roman"/>
        </w:rPr>
        <w:t>the necessary means of implementation – finance and technology – to developing countries for them to take action. CBDR has also been reaffirmed in the 2030 Agenda for Sustainable Development.</w:t>
      </w:r>
    </w:p>
    <w:p w14:paraId="09C181BD" w14:textId="77777777" w:rsidR="007C7C0E" w:rsidRPr="002E73A4" w:rsidRDefault="007C7C0E" w:rsidP="007C7C0E">
      <w:pPr>
        <w:widowControl w:val="0"/>
        <w:autoSpaceDE w:val="0"/>
        <w:autoSpaceDN w:val="0"/>
        <w:adjustRightInd w:val="0"/>
        <w:rPr>
          <w:rFonts w:asciiTheme="majorHAnsi" w:hAnsiTheme="majorHAnsi" w:cs="Times"/>
          <w:lang w:val="en-US"/>
        </w:rPr>
      </w:pPr>
    </w:p>
    <w:p w14:paraId="5F9ADF2A" w14:textId="71C04BF4" w:rsidR="005513C2" w:rsidRDefault="00D5392A" w:rsidP="007C7C0E">
      <w:pPr>
        <w:widowControl w:val="0"/>
        <w:autoSpaceDE w:val="0"/>
        <w:autoSpaceDN w:val="0"/>
        <w:adjustRightInd w:val="0"/>
        <w:rPr>
          <w:rFonts w:asciiTheme="majorHAnsi" w:hAnsiTheme="majorHAnsi" w:cs="Times New Roman"/>
          <w:lang w:val="en-US"/>
        </w:rPr>
      </w:pPr>
      <w:r>
        <w:rPr>
          <w:rFonts w:asciiTheme="majorHAnsi" w:hAnsiTheme="majorHAnsi" w:cs="Times New Roman"/>
        </w:rPr>
        <w:t>1)</w:t>
      </w:r>
      <w:r>
        <w:rPr>
          <w:rFonts w:asciiTheme="majorHAnsi" w:hAnsiTheme="majorHAnsi" w:cs="Times New Roman"/>
        </w:rPr>
        <w:tab/>
      </w:r>
      <w:r w:rsidR="007C7C0E" w:rsidRPr="002E73A4">
        <w:rPr>
          <w:rFonts w:asciiTheme="majorHAnsi" w:hAnsiTheme="majorHAnsi" w:cs="Times New Roman"/>
        </w:rPr>
        <w:t xml:space="preserve">The </w:t>
      </w:r>
      <w:r w:rsidR="00C2611F">
        <w:rPr>
          <w:rFonts w:asciiTheme="majorHAnsi" w:hAnsiTheme="majorHAnsi" w:cs="Times New Roman"/>
        </w:rPr>
        <w:t>move towards</w:t>
      </w:r>
      <w:r w:rsidR="007C7C0E" w:rsidRPr="002E73A4">
        <w:rPr>
          <w:rFonts w:asciiTheme="majorHAnsi" w:hAnsiTheme="majorHAnsi" w:cs="Times New Roman"/>
        </w:rPr>
        <w:t xml:space="preserve"> establishing voluntary pledges </w:t>
      </w:r>
      <w:r w:rsidR="007C7C0E">
        <w:rPr>
          <w:rFonts w:asciiTheme="majorHAnsi" w:hAnsiTheme="majorHAnsi" w:cs="Times New Roman"/>
        </w:rPr>
        <w:t xml:space="preserve">including </w:t>
      </w:r>
      <w:r w:rsidR="007C7C0E" w:rsidRPr="002E73A4">
        <w:rPr>
          <w:rFonts w:asciiTheme="majorHAnsi" w:hAnsiTheme="majorHAnsi" w:cs="Times New Roman"/>
        </w:rPr>
        <w:t>from actors beyond national governments as t</w:t>
      </w:r>
      <w:r w:rsidR="00C2611F">
        <w:rPr>
          <w:rFonts w:asciiTheme="majorHAnsi" w:hAnsiTheme="majorHAnsi" w:cs="Times New Roman"/>
        </w:rPr>
        <w:t>he way forward is problematic</w:t>
      </w:r>
      <w:r w:rsidR="007C7C0E" w:rsidRPr="002E73A4">
        <w:rPr>
          <w:rFonts w:asciiTheme="majorHAnsi" w:hAnsiTheme="majorHAnsi" w:cs="Times New Roman"/>
        </w:rPr>
        <w:t>.</w:t>
      </w:r>
      <w:r w:rsidR="005C7501">
        <w:rPr>
          <w:rStyle w:val="EndnoteReference"/>
          <w:rFonts w:asciiTheme="majorHAnsi" w:hAnsiTheme="majorHAnsi" w:cs="Times New Roman"/>
        </w:rPr>
        <w:endnoteReference w:id="1"/>
      </w:r>
      <w:r w:rsidR="007C7C0E" w:rsidRPr="002E73A4">
        <w:rPr>
          <w:rFonts w:asciiTheme="majorHAnsi" w:hAnsiTheme="majorHAnsi" w:cs="Times New Roman"/>
        </w:rPr>
        <w:t xml:space="preserve"> </w:t>
      </w:r>
      <w:r w:rsidR="007C7C0E">
        <w:rPr>
          <w:rFonts w:asciiTheme="majorHAnsi" w:hAnsiTheme="majorHAnsi" w:cs="Times New Roman"/>
          <w:lang w:val="en-US"/>
        </w:rPr>
        <w:t>A “voluntary commitment” is not a commitment; it is not legally binding. It must be simply understood fo</w:t>
      </w:r>
      <w:r w:rsidR="005513C2">
        <w:rPr>
          <w:rFonts w:asciiTheme="majorHAnsi" w:hAnsiTheme="majorHAnsi" w:cs="Times New Roman"/>
          <w:lang w:val="en-US"/>
        </w:rPr>
        <w:t>r what it is – a pledge. T</w:t>
      </w:r>
      <w:r w:rsidR="007C7C0E">
        <w:rPr>
          <w:rFonts w:asciiTheme="majorHAnsi" w:hAnsiTheme="majorHAnsi" w:cs="Times New Roman"/>
          <w:lang w:val="en-US"/>
        </w:rPr>
        <w:t>he Aichi Targets are international obligations on Parties to implement</w:t>
      </w:r>
      <w:r w:rsidR="005513C2">
        <w:rPr>
          <w:rFonts w:asciiTheme="majorHAnsi" w:hAnsiTheme="majorHAnsi" w:cs="Times New Roman"/>
          <w:lang w:val="en-US"/>
        </w:rPr>
        <w:t>.</w:t>
      </w:r>
      <w:r w:rsidR="007C7C0E">
        <w:rPr>
          <w:rFonts w:asciiTheme="majorHAnsi" w:hAnsiTheme="majorHAnsi" w:cs="Times New Roman"/>
          <w:lang w:val="en-US"/>
        </w:rPr>
        <w:t xml:space="preserve"> </w:t>
      </w:r>
      <w:r w:rsidR="00373E5E">
        <w:rPr>
          <w:rFonts w:asciiTheme="majorHAnsi" w:hAnsiTheme="majorHAnsi" w:cs="Times New Roman"/>
          <w:lang w:val="en-US"/>
        </w:rPr>
        <w:t>However, t</w:t>
      </w:r>
      <w:r w:rsidR="007C7C0E">
        <w:rPr>
          <w:rFonts w:asciiTheme="majorHAnsi" w:hAnsiTheme="majorHAnsi" w:cs="Times New Roman"/>
          <w:lang w:val="en-US"/>
        </w:rPr>
        <w:t>he nature of targets in the post-2020 framework and its relationship with nat</w:t>
      </w:r>
      <w:r w:rsidR="00373E5E">
        <w:rPr>
          <w:rFonts w:asciiTheme="majorHAnsi" w:hAnsiTheme="majorHAnsi" w:cs="Times New Roman"/>
          <w:lang w:val="en-US"/>
        </w:rPr>
        <w:t>ional pledges remains to be determined</w:t>
      </w:r>
      <w:r w:rsidR="007C7C0E">
        <w:rPr>
          <w:rFonts w:asciiTheme="majorHAnsi" w:hAnsiTheme="majorHAnsi" w:cs="Times New Roman"/>
          <w:lang w:val="en-US"/>
        </w:rPr>
        <w:t xml:space="preserve">. </w:t>
      </w:r>
    </w:p>
    <w:p w14:paraId="53702E3D" w14:textId="77777777" w:rsidR="005513C2" w:rsidRDefault="005513C2" w:rsidP="007C7C0E">
      <w:pPr>
        <w:widowControl w:val="0"/>
        <w:autoSpaceDE w:val="0"/>
        <w:autoSpaceDN w:val="0"/>
        <w:adjustRightInd w:val="0"/>
        <w:rPr>
          <w:rFonts w:asciiTheme="majorHAnsi" w:hAnsiTheme="majorHAnsi" w:cs="Times New Roman"/>
          <w:lang w:val="en-US"/>
        </w:rPr>
      </w:pPr>
    </w:p>
    <w:p w14:paraId="11AACE27" w14:textId="77777777" w:rsidR="007C7C0E" w:rsidRDefault="007C7C0E" w:rsidP="007C7C0E">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While contributions from various sectors of society are in principle welcome and are undoubtedly voluntary, this must not detract from States’ legally binding obligations to conserve and sustainably use biodiversity in their territories, and to share the benefits equitably. Mixing the two obfuscates obligations by States and voluntary contributions by other actors, diluting and lessening States’ obligations.</w:t>
      </w:r>
    </w:p>
    <w:p w14:paraId="60B36889" w14:textId="77777777" w:rsidR="007C7C0E" w:rsidRDefault="007C7C0E" w:rsidP="007C7C0E">
      <w:pPr>
        <w:widowControl w:val="0"/>
        <w:autoSpaceDE w:val="0"/>
        <w:autoSpaceDN w:val="0"/>
        <w:adjustRightInd w:val="0"/>
        <w:rPr>
          <w:rFonts w:asciiTheme="majorHAnsi" w:hAnsiTheme="majorHAnsi" w:cs="Times New Roman"/>
          <w:lang w:val="en-US"/>
        </w:rPr>
      </w:pPr>
    </w:p>
    <w:p w14:paraId="5DBE3CB7" w14:textId="77777777" w:rsidR="007C7C0E" w:rsidRPr="00C94BE2" w:rsidRDefault="00D5392A" w:rsidP="007C7C0E">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2)</w:t>
      </w:r>
      <w:r>
        <w:rPr>
          <w:rFonts w:asciiTheme="majorHAnsi" w:hAnsiTheme="majorHAnsi" w:cs="Times New Roman"/>
          <w:lang w:val="en-US"/>
        </w:rPr>
        <w:tab/>
      </w:r>
      <w:r w:rsidR="007C7C0E">
        <w:rPr>
          <w:rFonts w:asciiTheme="majorHAnsi" w:hAnsiTheme="majorHAnsi" w:cs="Times New Roman"/>
          <w:lang w:val="en-US"/>
        </w:rPr>
        <w:t xml:space="preserve">Contributions by the private sector, business and industry, especially those that are driving the biodiversity crisis, are contradictory in many ways. Among other things, it </w:t>
      </w:r>
      <w:r w:rsidR="007C7C0E">
        <w:rPr>
          <w:rFonts w:asciiTheme="majorHAnsi" w:hAnsiTheme="majorHAnsi" w:cs="Times New Roman"/>
        </w:rPr>
        <w:t>provides an opportunity for companies to “greenwash” their practices, often with tokenisms, leaving sytemic flaws intact. It opens the door to conflicts of interests. It allows for the introduction of false solutions, which often benefit the companies. It turns a blind eye to the corporate lobby that prevents real action. There is also evidence that some corporations are playing a role in destroying biodiversity and violating human rights.</w:t>
      </w:r>
      <w:r w:rsidR="007C7C0E">
        <w:rPr>
          <w:rStyle w:val="EndnoteReference"/>
          <w:rFonts w:asciiTheme="majorHAnsi" w:hAnsiTheme="majorHAnsi" w:cs="Times New Roman"/>
        </w:rPr>
        <w:endnoteReference w:id="2"/>
      </w:r>
      <w:r w:rsidR="007C7C0E">
        <w:rPr>
          <w:rFonts w:asciiTheme="majorHAnsi" w:hAnsiTheme="majorHAnsi" w:cs="Times New Roman"/>
        </w:rPr>
        <w:t xml:space="preserve"> </w:t>
      </w:r>
    </w:p>
    <w:p w14:paraId="662C165D" w14:textId="77777777" w:rsidR="007C7C0E" w:rsidRDefault="007C7C0E" w:rsidP="007C7C0E">
      <w:pPr>
        <w:rPr>
          <w:rFonts w:asciiTheme="majorHAnsi" w:hAnsiTheme="majorHAnsi" w:cs="Times New Roman"/>
        </w:rPr>
      </w:pPr>
    </w:p>
    <w:p w14:paraId="4462DE7A" w14:textId="77777777" w:rsidR="007C7C0E" w:rsidRPr="002E73A4" w:rsidRDefault="007C7C0E" w:rsidP="007C7C0E">
      <w:pPr>
        <w:rPr>
          <w:rFonts w:asciiTheme="majorHAnsi" w:hAnsiTheme="majorHAnsi" w:cs="Times New Roman"/>
          <w:lang w:val="en-US"/>
        </w:rPr>
      </w:pPr>
      <w:r>
        <w:rPr>
          <w:rFonts w:asciiTheme="majorHAnsi" w:hAnsiTheme="majorHAnsi" w:cs="Times New Roman"/>
        </w:rPr>
        <w:t xml:space="preserve">Efforts </w:t>
      </w:r>
      <w:r w:rsidR="00373E5E">
        <w:rPr>
          <w:rFonts w:asciiTheme="majorHAnsi" w:hAnsiTheme="majorHAnsi" w:cs="Times New Roman"/>
        </w:rPr>
        <w:t xml:space="preserve">to </w:t>
      </w:r>
      <w:r>
        <w:rPr>
          <w:rFonts w:asciiTheme="majorHAnsi" w:hAnsiTheme="majorHAnsi" w:cs="Times New Roman"/>
        </w:rPr>
        <w:t xml:space="preserve">“mainstream biodiversity” in sectors such as </w:t>
      </w:r>
      <w:r w:rsidRPr="001657D1">
        <w:rPr>
          <w:rFonts w:asciiTheme="majorHAnsi" w:hAnsiTheme="majorHAnsi"/>
          <w:lang w:val="en-MY"/>
        </w:rPr>
        <w:t xml:space="preserve">agriculture, forestry, fisheries and aquaculture, </w:t>
      </w:r>
      <w:r>
        <w:rPr>
          <w:rFonts w:asciiTheme="majorHAnsi" w:hAnsiTheme="majorHAnsi"/>
          <w:lang w:val="en-MY"/>
        </w:rPr>
        <w:t>tourism</w:t>
      </w:r>
      <w:r w:rsidRPr="001657D1">
        <w:rPr>
          <w:rFonts w:asciiTheme="majorHAnsi" w:hAnsiTheme="majorHAnsi"/>
          <w:lang w:val="en-MY"/>
        </w:rPr>
        <w:t xml:space="preserve">, </w:t>
      </w:r>
      <w:r w:rsidRPr="001657D1">
        <w:rPr>
          <w:rFonts w:asciiTheme="majorHAnsi" w:hAnsiTheme="majorHAnsi"/>
          <w:bCs/>
          <w:lang w:val="en-MY"/>
        </w:rPr>
        <w:t xml:space="preserve">energy and mining, infrastructure, manufacturing and processing </w:t>
      </w:r>
      <w:r>
        <w:rPr>
          <w:rFonts w:asciiTheme="majorHAnsi" w:hAnsiTheme="majorHAnsi"/>
          <w:bCs/>
          <w:lang w:val="en-MY"/>
        </w:rPr>
        <w:t xml:space="preserve">will have to be implemented with caution so as to not provide corporations the cover to continue business-as-usual on their own terms. </w:t>
      </w:r>
    </w:p>
    <w:p w14:paraId="1FFDCF5B" w14:textId="77777777" w:rsidR="007C7C0E" w:rsidRDefault="007C7C0E" w:rsidP="007C7C0E">
      <w:pPr>
        <w:widowControl w:val="0"/>
        <w:autoSpaceDE w:val="0"/>
        <w:autoSpaceDN w:val="0"/>
        <w:adjustRightInd w:val="0"/>
        <w:rPr>
          <w:rFonts w:asciiTheme="majorHAnsi" w:hAnsiTheme="majorHAnsi" w:cs="Times New Roman"/>
          <w:lang w:val="en-US"/>
        </w:rPr>
      </w:pPr>
    </w:p>
    <w:p w14:paraId="67089226" w14:textId="3EAE8A52" w:rsidR="007C7C0E" w:rsidRPr="00705D3B" w:rsidRDefault="00D5392A" w:rsidP="00705D3B">
      <w:pPr>
        <w:rPr>
          <w:rFonts w:asciiTheme="majorHAnsi" w:hAnsiTheme="majorHAnsi" w:cs="Times New Roman"/>
        </w:rPr>
      </w:pPr>
      <w:r>
        <w:rPr>
          <w:rFonts w:asciiTheme="majorHAnsi" w:hAnsiTheme="majorHAnsi" w:cs="Times New Roman"/>
          <w:lang w:val="en-US"/>
        </w:rPr>
        <w:t>3)</w:t>
      </w:r>
      <w:r>
        <w:rPr>
          <w:rFonts w:asciiTheme="majorHAnsi" w:hAnsiTheme="majorHAnsi" w:cs="Times New Roman"/>
          <w:lang w:val="en-US"/>
        </w:rPr>
        <w:tab/>
      </w:r>
      <w:bookmarkStart w:id="0" w:name="_GoBack"/>
      <w:bookmarkEnd w:id="0"/>
      <w:r w:rsidR="007C7C0E" w:rsidRPr="002E73A4">
        <w:rPr>
          <w:rFonts w:asciiTheme="majorHAnsi" w:hAnsiTheme="majorHAnsi" w:cs="Times New Roman"/>
          <w:lang w:val="en-US"/>
        </w:rPr>
        <w:t>Article 20.4 of the CBD recognizes, “</w:t>
      </w:r>
      <w:r w:rsidR="007C7C0E" w:rsidRPr="002E73A4">
        <w:rPr>
          <w:rFonts w:asciiTheme="majorHAnsi" w:hAnsiTheme="majorHAnsi" w:cs="Courier"/>
          <w:lang w:val="en-US"/>
        </w:rPr>
        <w:t xml:space="preserve">The extent to which developing country Parties will effectively implement their commitments under this Convention will depend on the effective implementation by developed country Parties of their commitments under this Convention related to financial resources and transfer of technology and will take fully into account the fact that economic and social </w:t>
      </w:r>
      <w:r w:rsidR="007C7C0E" w:rsidRPr="002E73A4">
        <w:rPr>
          <w:rFonts w:asciiTheme="majorHAnsi" w:hAnsiTheme="majorHAnsi" w:cs="Courier"/>
          <w:lang w:val="en-US"/>
        </w:rPr>
        <w:lastRenderedPageBreak/>
        <w:t xml:space="preserve">development and eradication of poverty are the first and overriding priorities of the developing country Parties”. </w:t>
      </w:r>
    </w:p>
    <w:p w14:paraId="4EDBAF91" w14:textId="77777777" w:rsidR="007C7C0E" w:rsidRPr="002E73A4" w:rsidRDefault="007C7C0E" w:rsidP="007C7C0E">
      <w:pPr>
        <w:widowControl w:val="0"/>
        <w:autoSpaceDE w:val="0"/>
        <w:autoSpaceDN w:val="0"/>
        <w:adjustRightInd w:val="0"/>
        <w:rPr>
          <w:rFonts w:asciiTheme="majorHAnsi" w:hAnsiTheme="majorHAnsi" w:cs="Courier"/>
          <w:lang w:val="en-US"/>
        </w:rPr>
      </w:pPr>
    </w:p>
    <w:p w14:paraId="5CEB3FDD" w14:textId="164BC0B6" w:rsidR="007C7C0E" w:rsidRDefault="007C7C0E" w:rsidP="007C7C0E">
      <w:pPr>
        <w:widowControl w:val="0"/>
        <w:autoSpaceDE w:val="0"/>
        <w:autoSpaceDN w:val="0"/>
        <w:adjustRightInd w:val="0"/>
        <w:rPr>
          <w:rFonts w:asciiTheme="majorHAnsi" w:hAnsiTheme="majorHAnsi" w:cs="Times New Roman"/>
        </w:rPr>
      </w:pPr>
      <w:r w:rsidRPr="002E73A4">
        <w:rPr>
          <w:rFonts w:asciiTheme="majorHAnsi" w:hAnsiTheme="majorHAnsi" w:cs="Courier"/>
          <w:lang w:val="en-US"/>
        </w:rPr>
        <w:t xml:space="preserve">These articulations of the CBDR principle enshrined in the CBD are </w:t>
      </w:r>
      <w:r w:rsidR="00373E5E">
        <w:rPr>
          <w:rFonts w:asciiTheme="majorHAnsi" w:hAnsiTheme="majorHAnsi" w:cs="Courier"/>
          <w:lang w:val="en-US"/>
        </w:rPr>
        <w:t xml:space="preserve">noticeably </w:t>
      </w:r>
      <w:r w:rsidRPr="002E73A4">
        <w:rPr>
          <w:rFonts w:asciiTheme="majorHAnsi" w:hAnsiTheme="majorHAnsi" w:cs="Courier"/>
          <w:lang w:val="en-US"/>
        </w:rPr>
        <w:t>absent</w:t>
      </w:r>
      <w:r w:rsidR="00373E5E">
        <w:rPr>
          <w:rFonts w:asciiTheme="majorHAnsi" w:hAnsiTheme="majorHAnsi" w:cs="Courier"/>
          <w:lang w:val="en-US"/>
        </w:rPr>
        <w:t>,</w:t>
      </w:r>
      <w:r>
        <w:rPr>
          <w:rFonts w:asciiTheme="majorHAnsi" w:hAnsiTheme="majorHAnsi" w:cs="Courier"/>
          <w:lang w:val="en-US"/>
        </w:rPr>
        <w:t xml:space="preserve"> marking a retreat by developed country Parties from their international commitments and </w:t>
      </w:r>
      <w:r w:rsidRPr="005C7501">
        <w:rPr>
          <w:rFonts w:asciiTheme="majorHAnsi" w:hAnsiTheme="majorHAnsi" w:cs="Courier"/>
          <w:lang w:val="en-US"/>
        </w:rPr>
        <w:t>le</w:t>
      </w:r>
      <w:r w:rsidR="00D5392A" w:rsidRPr="005C7501">
        <w:rPr>
          <w:rFonts w:asciiTheme="majorHAnsi" w:hAnsiTheme="majorHAnsi" w:cs="Courier"/>
          <w:lang w:val="en-US"/>
        </w:rPr>
        <w:t>av</w:t>
      </w:r>
      <w:r w:rsidR="009F47C5" w:rsidRPr="005C7501">
        <w:rPr>
          <w:rFonts w:asciiTheme="majorHAnsi" w:hAnsiTheme="majorHAnsi" w:cs="Courier"/>
          <w:lang w:val="en-US"/>
        </w:rPr>
        <w:t>ing</w:t>
      </w:r>
      <w:r>
        <w:rPr>
          <w:rFonts w:asciiTheme="majorHAnsi" w:hAnsiTheme="majorHAnsi" w:cs="Courier"/>
          <w:lang w:val="en-US"/>
        </w:rPr>
        <w:t xml:space="preserve"> a huge </w:t>
      </w:r>
      <w:proofErr w:type="gramStart"/>
      <w:r>
        <w:rPr>
          <w:rFonts w:asciiTheme="majorHAnsi" w:hAnsiTheme="majorHAnsi" w:cs="Courier"/>
          <w:lang w:val="en-US"/>
        </w:rPr>
        <w:t>biodiversity financing</w:t>
      </w:r>
      <w:proofErr w:type="gramEnd"/>
      <w:r>
        <w:rPr>
          <w:rFonts w:asciiTheme="majorHAnsi" w:hAnsiTheme="majorHAnsi" w:cs="Courier"/>
          <w:lang w:val="en-US"/>
        </w:rPr>
        <w:t xml:space="preserve"> gap</w:t>
      </w:r>
      <w:r w:rsidRPr="002E73A4">
        <w:rPr>
          <w:rFonts w:asciiTheme="majorHAnsi" w:hAnsiTheme="majorHAnsi" w:cs="Courier"/>
          <w:lang w:val="en-US"/>
        </w:rPr>
        <w:t>.</w:t>
      </w:r>
      <w:r>
        <w:rPr>
          <w:rStyle w:val="EndnoteReference"/>
          <w:rFonts w:asciiTheme="majorHAnsi" w:hAnsiTheme="majorHAnsi" w:cs="Courier"/>
          <w:lang w:val="en-US"/>
        </w:rPr>
        <w:endnoteReference w:id="3"/>
      </w:r>
      <w:r w:rsidRPr="002E73A4">
        <w:rPr>
          <w:rFonts w:asciiTheme="majorHAnsi" w:hAnsiTheme="majorHAnsi" w:cs="Courier"/>
          <w:lang w:val="en-US"/>
        </w:rPr>
        <w:t xml:space="preserve"> </w:t>
      </w:r>
      <w:r>
        <w:rPr>
          <w:rFonts w:asciiTheme="majorHAnsi" w:hAnsiTheme="majorHAnsi" w:cs="Courier"/>
          <w:lang w:val="en-US"/>
        </w:rPr>
        <w:t>I</w:t>
      </w:r>
      <w:r w:rsidR="005F1A5A">
        <w:rPr>
          <w:rFonts w:asciiTheme="majorHAnsi" w:hAnsiTheme="majorHAnsi" w:cs="Courier"/>
          <w:lang w:val="en-US"/>
        </w:rPr>
        <w:t>n</w:t>
      </w:r>
      <w:r>
        <w:rPr>
          <w:rFonts w:asciiTheme="majorHAnsi" w:hAnsiTheme="majorHAnsi" w:cs="Courier"/>
          <w:lang w:val="en-US"/>
        </w:rPr>
        <w:t xml:space="preserve"> COP </w:t>
      </w:r>
      <w:r w:rsidR="005F1A5A">
        <w:rPr>
          <w:rFonts w:asciiTheme="majorHAnsi" w:hAnsiTheme="majorHAnsi" w:cs="Courier"/>
          <w:lang w:val="en-US"/>
        </w:rPr>
        <w:t xml:space="preserve">Decision </w:t>
      </w:r>
      <w:r>
        <w:rPr>
          <w:rFonts w:asciiTheme="majorHAnsi" w:hAnsiTheme="majorHAnsi" w:cs="Courier"/>
          <w:lang w:val="en-US"/>
        </w:rPr>
        <w:t>14</w:t>
      </w:r>
      <w:r w:rsidR="005F1A5A">
        <w:rPr>
          <w:rFonts w:asciiTheme="majorHAnsi" w:hAnsiTheme="majorHAnsi" w:cs="Courier"/>
          <w:lang w:val="en-US"/>
        </w:rPr>
        <w:t>/22</w:t>
      </w:r>
      <w:r w:rsidRPr="002E73A4">
        <w:rPr>
          <w:rFonts w:asciiTheme="majorHAnsi" w:hAnsiTheme="majorHAnsi" w:cs="Courier"/>
          <w:lang w:val="en-US"/>
        </w:rPr>
        <w:t xml:space="preserve"> on resource mobilization,</w:t>
      </w:r>
      <w:r w:rsidR="005C7501" w:rsidRPr="002E73A4">
        <w:rPr>
          <w:rFonts w:asciiTheme="majorHAnsi" w:hAnsiTheme="majorHAnsi" w:cs="Courier"/>
          <w:lang w:val="en-US"/>
        </w:rPr>
        <w:t xml:space="preserve"> </w:t>
      </w:r>
      <w:r w:rsidRPr="002E73A4">
        <w:rPr>
          <w:rFonts w:asciiTheme="majorHAnsi" w:hAnsiTheme="majorHAnsi" w:cs="Courier"/>
          <w:lang w:val="en-US"/>
        </w:rPr>
        <w:t xml:space="preserve">an expert panel will </w:t>
      </w:r>
      <w:r w:rsidRPr="002E73A4">
        <w:rPr>
          <w:rFonts w:asciiTheme="majorHAnsi" w:hAnsiTheme="majorHAnsi" w:cs="Times New Roman"/>
        </w:rPr>
        <w:t>“</w:t>
      </w:r>
      <w:r w:rsidRPr="002E73A4">
        <w:rPr>
          <w:rFonts w:asciiTheme="majorHAnsi" w:hAnsiTheme="majorHAnsi"/>
        </w:rPr>
        <w:t xml:space="preserve">explore options and approaches for mobilizing and providing additional resources from all sources” and </w:t>
      </w:r>
      <w:r w:rsidRPr="002E73A4">
        <w:rPr>
          <w:rFonts w:asciiTheme="majorHAnsi" w:hAnsiTheme="majorHAnsi" w:cs="Times New Roman"/>
        </w:rPr>
        <w:t xml:space="preserve">“consider ways to strengthen the engagement of a wider range of financial and private institutions, at all levels and from all sources, to support the implementation of the post-2020 framework”. </w:t>
      </w:r>
      <w:r>
        <w:rPr>
          <w:rFonts w:asciiTheme="majorHAnsi" w:hAnsiTheme="majorHAnsi" w:cs="Times New Roman"/>
        </w:rPr>
        <w:t xml:space="preserve"> Resource mobilisation is to be an “integral part” of the post-2020 framework.</w:t>
      </w:r>
    </w:p>
    <w:p w14:paraId="47FDFA98" w14:textId="77777777" w:rsidR="007C7C0E" w:rsidRDefault="007C7C0E" w:rsidP="007C7C0E">
      <w:pPr>
        <w:widowControl w:val="0"/>
        <w:autoSpaceDE w:val="0"/>
        <w:autoSpaceDN w:val="0"/>
        <w:adjustRightInd w:val="0"/>
        <w:rPr>
          <w:rFonts w:asciiTheme="majorHAnsi" w:hAnsiTheme="majorHAnsi" w:cs="Times New Roman"/>
        </w:rPr>
      </w:pPr>
    </w:p>
    <w:p w14:paraId="758375FA" w14:textId="77777777" w:rsidR="007C7C0E" w:rsidRDefault="007C7C0E" w:rsidP="007C7C0E">
      <w:pPr>
        <w:widowControl w:val="0"/>
        <w:autoSpaceDE w:val="0"/>
        <w:autoSpaceDN w:val="0"/>
        <w:adjustRightInd w:val="0"/>
        <w:rPr>
          <w:rFonts w:asciiTheme="majorHAnsi" w:eastAsia="Times New Roman" w:hAnsiTheme="majorHAnsi" w:cs="Arial"/>
          <w:color w:val="000000"/>
          <w:lang w:val="en-US"/>
        </w:rPr>
      </w:pPr>
      <w:r>
        <w:rPr>
          <w:rFonts w:asciiTheme="majorHAnsi" w:hAnsiTheme="majorHAnsi" w:cs="Times New Roman"/>
        </w:rPr>
        <w:t>The</w:t>
      </w:r>
      <w:r w:rsidRPr="001C4069">
        <w:rPr>
          <w:rFonts w:asciiTheme="majorHAnsi" w:hAnsiTheme="majorHAnsi" w:cs="Times New Roman"/>
        </w:rPr>
        <w:t xml:space="preserve"> move towards resource mobilization “from all sources”</w:t>
      </w:r>
      <w:r>
        <w:rPr>
          <w:rFonts w:asciiTheme="majorHAnsi" w:hAnsiTheme="majorHAnsi" w:cs="Times New Roman"/>
        </w:rPr>
        <w:t xml:space="preserve"> includes</w:t>
      </w:r>
      <w:r w:rsidRPr="001C4069">
        <w:rPr>
          <w:rFonts w:asciiTheme="majorHAnsi" w:hAnsiTheme="majorHAnsi" w:cs="Times New Roman"/>
        </w:rPr>
        <w:t xml:space="preserve"> </w:t>
      </w:r>
      <w:r w:rsidRPr="006E4DBB">
        <w:rPr>
          <w:rFonts w:asciiTheme="majorHAnsi" w:hAnsiTheme="majorHAnsi" w:cs="Times New Roman"/>
          <w:lang w:val="en-US"/>
        </w:rPr>
        <w:t>South-South cooperation, the private sector, foundations, non-governmental organizations and academia</w:t>
      </w:r>
      <w:r>
        <w:rPr>
          <w:rFonts w:asciiTheme="majorHAnsi" w:hAnsiTheme="majorHAnsi" w:cs="Times New Roman"/>
          <w:lang w:val="en-US"/>
        </w:rPr>
        <w:t>, as well as domestic resource mobilization from developing countries</w:t>
      </w:r>
      <w:r w:rsidRPr="006E4DBB">
        <w:rPr>
          <w:rFonts w:asciiTheme="majorHAnsi" w:hAnsiTheme="majorHAnsi" w:cs="Times New Roman"/>
          <w:lang w:val="en-US"/>
        </w:rPr>
        <w:t>.</w:t>
      </w:r>
      <w:r>
        <w:rPr>
          <w:rStyle w:val="EndnoteReference"/>
          <w:rFonts w:asciiTheme="majorHAnsi" w:hAnsiTheme="majorHAnsi" w:cs="Times New Roman"/>
          <w:lang w:val="en-US"/>
        </w:rPr>
        <w:endnoteReference w:id="4"/>
      </w:r>
      <w:r w:rsidRPr="006E4DBB">
        <w:rPr>
          <w:rFonts w:asciiTheme="majorHAnsi" w:hAnsiTheme="majorHAnsi" w:cs="Times New Roman"/>
          <w:lang w:val="en-US"/>
        </w:rPr>
        <w:t xml:space="preserve"> </w:t>
      </w:r>
      <w:r>
        <w:rPr>
          <w:rFonts w:asciiTheme="majorHAnsi" w:hAnsiTheme="majorHAnsi" w:cs="Times New Roman"/>
          <w:lang w:val="en-US"/>
        </w:rPr>
        <w:t xml:space="preserve">While such contributions are in principle welcome, this cannot be an opportunity for developed country Parties to avoid their legal obligations. Further, any </w:t>
      </w:r>
      <w:r>
        <w:rPr>
          <w:rFonts w:asciiTheme="majorHAnsi" w:eastAsia="Times New Roman" w:hAnsiTheme="majorHAnsi" w:cs="Arial"/>
          <w:color w:val="000000"/>
          <w:lang w:val="en-US"/>
        </w:rPr>
        <w:t>p</w:t>
      </w:r>
      <w:r w:rsidRPr="001C4069">
        <w:rPr>
          <w:rFonts w:asciiTheme="majorHAnsi" w:eastAsia="Times New Roman" w:hAnsiTheme="majorHAnsi" w:cs="Arial"/>
          <w:color w:val="000000"/>
          <w:lang w:val="en-US"/>
        </w:rPr>
        <w:t xml:space="preserve">rivate sector contributions </w:t>
      </w:r>
      <w:r>
        <w:rPr>
          <w:rFonts w:asciiTheme="majorHAnsi" w:eastAsia="Times New Roman" w:hAnsiTheme="majorHAnsi" w:cs="Arial"/>
          <w:color w:val="000000"/>
          <w:lang w:val="en-US"/>
        </w:rPr>
        <w:t>or innovative financing mechanisms can only be supplemental</w:t>
      </w:r>
      <w:r w:rsidRPr="001C4069">
        <w:rPr>
          <w:rFonts w:asciiTheme="majorHAnsi" w:eastAsia="Times New Roman" w:hAnsiTheme="majorHAnsi" w:cs="Arial"/>
          <w:color w:val="000000"/>
          <w:lang w:val="en-US"/>
        </w:rPr>
        <w:t xml:space="preserve">, and </w:t>
      </w:r>
      <w:r>
        <w:rPr>
          <w:rFonts w:asciiTheme="majorHAnsi" w:eastAsia="Times New Roman" w:hAnsiTheme="majorHAnsi" w:cs="Arial"/>
          <w:color w:val="000000"/>
          <w:lang w:val="en-US"/>
        </w:rPr>
        <w:t xml:space="preserve">rigorous </w:t>
      </w:r>
      <w:r w:rsidRPr="001C4069">
        <w:rPr>
          <w:rFonts w:asciiTheme="majorHAnsi" w:eastAsia="Times New Roman" w:hAnsiTheme="majorHAnsi" w:cs="Arial"/>
          <w:color w:val="000000"/>
          <w:lang w:val="en-US"/>
        </w:rPr>
        <w:t xml:space="preserve">safeguards must be in place. </w:t>
      </w:r>
    </w:p>
    <w:p w14:paraId="4F51F314" w14:textId="77777777" w:rsidR="007C7C0E" w:rsidRDefault="007C7C0E" w:rsidP="007C7C0E">
      <w:pPr>
        <w:rPr>
          <w:rFonts w:asciiTheme="majorHAnsi" w:hAnsiTheme="majorHAnsi" w:cs="Times New Roman"/>
        </w:rPr>
      </w:pPr>
    </w:p>
    <w:p w14:paraId="15E71877" w14:textId="77777777" w:rsidR="007C7C0E" w:rsidRPr="00C94BE2" w:rsidRDefault="00D5392A" w:rsidP="007C7C0E">
      <w:pPr>
        <w:widowControl w:val="0"/>
        <w:autoSpaceDE w:val="0"/>
        <w:autoSpaceDN w:val="0"/>
        <w:adjustRightInd w:val="0"/>
        <w:spacing w:after="240"/>
        <w:rPr>
          <w:rFonts w:asciiTheme="majorHAnsi" w:hAnsiTheme="majorHAnsi" w:cs="Times New Roman"/>
          <w:lang w:val="en-US"/>
        </w:rPr>
      </w:pPr>
      <w:r>
        <w:rPr>
          <w:rFonts w:asciiTheme="majorHAnsi" w:hAnsiTheme="majorHAnsi" w:cs="Times New Roman"/>
          <w:lang w:val="en-US"/>
        </w:rPr>
        <w:t>4)</w:t>
      </w:r>
      <w:r>
        <w:rPr>
          <w:rFonts w:asciiTheme="majorHAnsi" w:hAnsiTheme="majorHAnsi" w:cs="Times New Roman"/>
          <w:lang w:val="en-US"/>
        </w:rPr>
        <w:tab/>
      </w:r>
      <w:r w:rsidR="007C7C0E">
        <w:rPr>
          <w:rFonts w:asciiTheme="majorHAnsi" w:hAnsiTheme="majorHAnsi" w:cs="Times New Roman"/>
          <w:lang w:val="en-US"/>
        </w:rPr>
        <w:t xml:space="preserve">The CBD’s implementation rests not only on the Strategic Plan and the Aichi Targets, it is also supported by thematic programmes of work on critical ecosystems, work on cross-cutting </w:t>
      </w:r>
      <w:r w:rsidR="005513C2">
        <w:rPr>
          <w:rFonts w:asciiTheme="majorHAnsi" w:hAnsiTheme="majorHAnsi" w:cs="Times New Roman"/>
          <w:lang w:val="en-US"/>
        </w:rPr>
        <w:t>issues, and by the Article 8(j)</w:t>
      </w:r>
      <w:r w:rsidR="007C7C0E">
        <w:rPr>
          <w:rFonts w:asciiTheme="majorHAnsi" w:hAnsiTheme="majorHAnsi" w:cs="Times New Roman"/>
          <w:lang w:val="en-US"/>
        </w:rPr>
        <w:t xml:space="preserve"> working group on the knowledge, innovations and practices of indigenous people and local communities. These fundamentals, including the Aichi Targets, must be </w:t>
      </w:r>
      <w:r w:rsidR="005513C2">
        <w:rPr>
          <w:rFonts w:asciiTheme="majorHAnsi" w:hAnsiTheme="majorHAnsi" w:cs="Times New Roman"/>
          <w:lang w:val="en-US"/>
        </w:rPr>
        <w:t xml:space="preserve">built upon in </w:t>
      </w:r>
      <w:r w:rsidR="007C7C0E">
        <w:rPr>
          <w:rFonts w:asciiTheme="majorHAnsi" w:hAnsiTheme="majorHAnsi" w:cs="Times New Roman"/>
          <w:lang w:val="en-US"/>
        </w:rPr>
        <w:t xml:space="preserve">the post-2020 framework. </w:t>
      </w:r>
    </w:p>
    <w:p w14:paraId="5DA24AAC" w14:textId="77777777" w:rsidR="007C7C0E" w:rsidRDefault="00D5392A" w:rsidP="007C7C0E">
      <w:pPr>
        <w:pStyle w:val="Heading1"/>
        <w:spacing w:before="0" w:beforeAutospacing="0" w:after="0" w:afterAutospacing="0"/>
        <w:rPr>
          <w:rFonts w:asciiTheme="majorHAnsi" w:eastAsia="Times New Roman" w:hAnsiTheme="majorHAnsi" w:cs="Times New Roman"/>
          <w:b w:val="0"/>
          <w:bCs w:val="0"/>
          <w:color w:val="003344"/>
          <w:sz w:val="24"/>
          <w:szCs w:val="24"/>
        </w:rPr>
      </w:pPr>
      <w:r>
        <w:rPr>
          <w:rFonts w:asciiTheme="majorHAnsi" w:hAnsiTheme="majorHAnsi" w:cs="Times New Roman"/>
          <w:b w:val="0"/>
          <w:sz w:val="24"/>
          <w:szCs w:val="24"/>
        </w:rPr>
        <w:t>5)</w:t>
      </w:r>
      <w:r>
        <w:rPr>
          <w:rFonts w:asciiTheme="majorHAnsi" w:hAnsiTheme="majorHAnsi" w:cs="Times New Roman"/>
          <w:b w:val="0"/>
          <w:sz w:val="24"/>
          <w:szCs w:val="24"/>
        </w:rPr>
        <w:tab/>
        <w:t>T</w:t>
      </w:r>
      <w:r w:rsidR="007C7C0E" w:rsidRPr="002E73A4">
        <w:rPr>
          <w:rFonts w:asciiTheme="majorHAnsi" w:hAnsiTheme="majorHAnsi" w:cs="Times New Roman"/>
          <w:b w:val="0"/>
          <w:sz w:val="24"/>
          <w:szCs w:val="24"/>
        </w:rPr>
        <w:t xml:space="preserve">he CBD’s three objectives are </w:t>
      </w:r>
      <w:r w:rsidR="007C7C0E" w:rsidRPr="002E73A4">
        <w:rPr>
          <w:rFonts w:asciiTheme="majorHAnsi" w:hAnsiTheme="majorHAnsi" w:cs="Courier"/>
          <w:b w:val="0"/>
          <w:sz w:val="24"/>
          <w:szCs w:val="24"/>
          <w:lang w:val="en-US"/>
        </w:rPr>
        <w:t>the conservation of biological diversity, the sustainable use of its components</w:t>
      </w:r>
      <w:r w:rsidR="007C7C0E">
        <w:rPr>
          <w:rFonts w:asciiTheme="majorHAnsi" w:hAnsiTheme="majorHAnsi" w:cs="Courier"/>
          <w:b w:val="0"/>
          <w:sz w:val="24"/>
          <w:szCs w:val="24"/>
          <w:lang w:val="en-US"/>
        </w:rPr>
        <w:t>,</w:t>
      </w:r>
      <w:r w:rsidR="007C7C0E" w:rsidRPr="002E73A4">
        <w:rPr>
          <w:rFonts w:asciiTheme="majorHAnsi" w:hAnsiTheme="majorHAnsi" w:cs="Courier"/>
          <w:b w:val="0"/>
          <w:sz w:val="24"/>
          <w:szCs w:val="24"/>
          <w:lang w:val="en-US"/>
        </w:rPr>
        <w:t xml:space="preserve"> and the fair and equitable sharing of the benefits arising out of the utilization of genetic resources. The </w:t>
      </w:r>
      <w:proofErr w:type="gramStart"/>
      <w:r w:rsidR="007C7C0E" w:rsidRPr="002E73A4">
        <w:rPr>
          <w:rFonts w:asciiTheme="majorHAnsi" w:hAnsiTheme="majorHAnsi" w:cs="Courier"/>
          <w:b w:val="0"/>
          <w:sz w:val="24"/>
          <w:szCs w:val="24"/>
          <w:lang w:val="en-US"/>
        </w:rPr>
        <w:t>la</w:t>
      </w:r>
      <w:r w:rsidR="007C7C0E">
        <w:rPr>
          <w:rFonts w:asciiTheme="majorHAnsi" w:hAnsiTheme="majorHAnsi" w:cs="Courier"/>
          <w:b w:val="0"/>
          <w:sz w:val="24"/>
          <w:szCs w:val="24"/>
          <w:lang w:val="en-US"/>
        </w:rPr>
        <w:t>st</w:t>
      </w:r>
      <w:r w:rsidR="007C7C0E" w:rsidRPr="002E73A4">
        <w:rPr>
          <w:rFonts w:asciiTheme="majorHAnsi" w:hAnsiTheme="majorHAnsi" w:cs="Courier"/>
          <w:b w:val="0"/>
          <w:sz w:val="24"/>
          <w:szCs w:val="24"/>
          <w:lang w:val="en-US"/>
        </w:rPr>
        <w:t xml:space="preserve"> objective has now been operationalized by the </w:t>
      </w:r>
      <w:r w:rsidR="007C7C0E" w:rsidRPr="002E73A4">
        <w:rPr>
          <w:rFonts w:asciiTheme="majorHAnsi" w:eastAsia="Times New Roman" w:hAnsiTheme="majorHAnsi" w:cs="Times New Roman"/>
          <w:b w:val="0"/>
          <w:iCs/>
          <w:color w:val="333333"/>
          <w:sz w:val="24"/>
          <w:szCs w:val="24"/>
        </w:rPr>
        <w:t>Nagoya Protocol on Access to Genetic Resources and the Fair and Equitable Sharing of Benefits Arising from their Utilization</w:t>
      </w:r>
      <w:proofErr w:type="gramEnd"/>
      <w:r w:rsidR="007C7C0E" w:rsidRPr="002E73A4">
        <w:rPr>
          <w:rFonts w:asciiTheme="majorHAnsi" w:eastAsia="Times New Roman" w:hAnsiTheme="majorHAnsi" w:cs="Times New Roman"/>
          <w:b w:val="0"/>
          <w:iCs/>
          <w:color w:val="333333"/>
          <w:sz w:val="24"/>
          <w:szCs w:val="24"/>
        </w:rPr>
        <w:t xml:space="preserve">. </w:t>
      </w:r>
      <w:r w:rsidR="005513C2">
        <w:rPr>
          <w:rFonts w:asciiTheme="majorHAnsi" w:eastAsia="Times New Roman" w:hAnsiTheme="majorHAnsi" w:cs="Times New Roman"/>
          <w:b w:val="0"/>
          <w:iCs/>
          <w:color w:val="333333"/>
          <w:sz w:val="24"/>
          <w:szCs w:val="24"/>
        </w:rPr>
        <w:t>T</w:t>
      </w:r>
      <w:r w:rsidR="007C7C0E" w:rsidRPr="002E73A4">
        <w:rPr>
          <w:rFonts w:asciiTheme="majorHAnsi" w:eastAsia="Times New Roman" w:hAnsiTheme="majorHAnsi" w:cs="Times New Roman"/>
          <w:b w:val="0"/>
          <w:iCs/>
          <w:color w:val="333333"/>
          <w:sz w:val="24"/>
          <w:szCs w:val="24"/>
        </w:rPr>
        <w:t xml:space="preserve">he Cartagena Protocol on Biosafety operationalised the CBD’s provisions on living modified organisms </w:t>
      </w:r>
      <w:r w:rsidR="007C7C0E">
        <w:rPr>
          <w:rFonts w:asciiTheme="majorHAnsi" w:eastAsia="Times New Roman" w:hAnsiTheme="majorHAnsi" w:cs="Times New Roman"/>
          <w:b w:val="0"/>
          <w:iCs/>
          <w:color w:val="333333"/>
          <w:sz w:val="24"/>
          <w:szCs w:val="24"/>
        </w:rPr>
        <w:t xml:space="preserve">(LMOs) </w:t>
      </w:r>
      <w:r w:rsidR="007C7C0E" w:rsidRPr="002E73A4">
        <w:rPr>
          <w:rFonts w:asciiTheme="majorHAnsi" w:eastAsia="Times New Roman" w:hAnsiTheme="majorHAnsi" w:cs="Times New Roman"/>
          <w:b w:val="0"/>
          <w:iCs/>
          <w:color w:val="333333"/>
          <w:sz w:val="24"/>
          <w:szCs w:val="24"/>
        </w:rPr>
        <w:t xml:space="preserve">resulting from biotechnology. </w:t>
      </w:r>
      <w:r w:rsidR="007C7C0E">
        <w:rPr>
          <w:rFonts w:asciiTheme="majorHAnsi" w:eastAsia="Times New Roman" w:hAnsiTheme="majorHAnsi" w:cs="Times New Roman"/>
          <w:b w:val="0"/>
          <w:iCs/>
          <w:color w:val="333333"/>
          <w:sz w:val="24"/>
          <w:szCs w:val="24"/>
        </w:rPr>
        <w:t>Additionally, t</w:t>
      </w:r>
      <w:r w:rsidR="007C7C0E" w:rsidRPr="002E73A4">
        <w:rPr>
          <w:rFonts w:asciiTheme="majorHAnsi" w:eastAsia="Times New Roman" w:hAnsiTheme="majorHAnsi" w:cs="Times New Roman"/>
          <w:b w:val="0"/>
          <w:bCs w:val="0"/>
          <w:color w:val="003344"/>
          <w:sz w:val="24"/>
          <w:szCs w:val="24"/>
        </w:rPr>
        <w:t>he Nagoya – Kuala Lumpur Supplementary Protocol on Liability and Redress to the Cartagena Protocol on Biosafety</w:t>
      </w:r>
      <w:r w:rsidR="007C7C0E">
        <w:rPr>
          <w:rFonts w:asciiTheme="majorHAnsi" w:eastAsia="Times New Roman" w:hAnsiTheme="majorHAnsi" w:cs="Times New Roman"/>
          <w:b w:val="0"/>
          <w:bCs w:val="0"/>
          <w:color w:val="003344"/>
          <w:sz w:val="24"/>
          <w:szCs w:val="24"/>
        </w:rPr>
        <w:t xml:space="preserve"> was adopted to deal with potential damage from LMOs.</w:t>
      </w:r>
    </w:p>
    <w:p w14:paraId="3617803A" w14:textId="77777777" w:rsidR="007C7C0E" w:rsidRPr="002E73A4" w:rsidRDefault="007C7C0E" w:rsidP="007C7C0E">
      <w:pPr>
        <w:pStyle w:val="Heading1"/>
        <w:spacing w:before="0" w:beforeAutospacing="0" w:after="0" w:afterAutospacing="0"/>
        <w:rPr>
          <w:rFonts w:asciiTheme="majorHAnsi" w:eastAsia="Times New Roman" w:hAnsiTheme="majorHAnsi" w:cs="Times New Roman"/>
          <w:b w:val="0"/>
          <w:bCs w:val="0"/>
          <w:color w:val="003344"/>
          <w:sz w:val="24"/>
          <w:szCs w:val="24"/>
        </w:rPr>
      </w:pPr>
    </w:p>
    <w:p w14:paraId="3E9EFF72" w14:textId="77777777" w:rsidR="007C7C0E" w:rsidRPr="00780481" w:rsidRDefault="007C7C0E" w:rsidP="007C7C0E">
      <w:pPr>
        <w:rPr>
          <w:rFonts w:asciiTheme="majorHAnsi" w:eastAsia="Times New Roman" w:hAnsiTheme="majorHAnsi" w:cs="Times New Roman"/>
        </w:rPr>
      </w:pPr>
      <w:r w:rsidRPr="00780481">
        <w:rPr>
          <w:rFonts w:asciiTheme="majorHAnsi" w:eastAsia="Times New Roman" w:hAnsiTheme="majorHAnsi" w:cs="Times New Roman"/>
        </w:rPr>
        <w:t>Th</w:t>
      </w:r>
      <w:r>
        <w:rPr>
          <w:rFonts w:asciiTheme="majorHAnsi" w:eastAsia="Times New Roman" w:hAnsiTheme="majorHAnsi" w:cs="Times New Roman"/>
        </w:rPr>
        <w:t>ese th</w:t>
      </w:r>
      <w:r w:rsidRPr="00780481">
        <w:rPr>
          <w:rFonts w:asciiTheme="majorHAnsi" w:eastAsia="Times New Roman" w:hAnsiTheme="majorHAnsi" w:cs="Times New Roman"/>
        </w:rPr>
        <w:t xml:space="preserve">ree additional legal instruments now form part of the CBD’s scope of work. The issues safeguarded by these instruments </w:t>
      </w:r>
      <w:r w:rsidR="00D5392A">
        <w:rPr>
          <w:rFonts w:asciiTheme="majorHAnsi" w:eastAsia="Times New Roman" w:hAnsiTheme="majorHAnsi" w:cs="Times New Roman"/>
        </w:rPr>
        <w:t xml:space="preserve">and their implementation </w:t>
      </w:r>
      <w:r w:rsidRPr="00780481">
        <w:rPr>
          <w:rFonts w:asciiTheme="majorHAnsi" w:eastAsia="Times New Roman" w:hAnsiTheme="majorHAnsi" w:cs="Times New Roman"/>
        </w:rPr>
        <w:t>must remain central, and not be sidelined in the negotia</w:t>
      </w:r>
      <w:r>
        <w:rPr>
          <w:rFonts w:asciiTheme="majorHAnsi" w:eastAsia="Times New Roman" w:hAnsiTheme="majorHAnsi" w:cs="Times New Roman"/>
        </w:rPr>
        <w:t>t</w:t>
      </w:r>
      <w:r w:rsidRPr="00780481">
        <w:rPr>
          <w:rFonts w:asciiTheme="majorHAnsi" w:eastAsia="Times New Roman" w:hAnsiTheme="majorHAnsi" w:cs="Times New Roman"/>
        </w:rPr>
        <w:t>ions and outcome of the post-2020 framework.</w:t>
      </w:r>
    </w:p>
    <w:p w14:paraId="74BA921A" w14:textId="77777777" w:rsidR="007C7C0E" w:rsidRDefault="007C7C0E" w:rsidP="007C7C0E">
      <w:pPr>
        <w:rPr>
          <w:rFonts w:asciiTheme="majorHAnsi" w:eastAsia="Times New Roman" w:hAnsiTheme="majorHAnsi" w:cs="Times New Roman"/>
        </w:rPr>
      </w:pPr>
    </w:p>
    <w:p w14:paraId="3483D98B" w14:textId="77777777" w:rsidR="007C7C0E" w:rsidRPr="00D5392A" w:rsidRDefault="00D5392A" w:rsidP="007C7C0E">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6)</w:t>
      </w:r>
      <w:r>
        <w:rPr>
          <w:rFonts w:asciiTheme="majorHAnsi" w:hAnsiTheme="majorHAnsi" w:cs="Times New Roman"/>
          <w:lang w:val="en-US"/>
        </w:rPr>
        <w:tab/>
      </w:r>
      <w:r w:rsidR="007C7C0E">
        <w:rPr>
          <w:rFonts w:asciiTheme="majorHAnsi" w:hAnsiTheme="majorHAnsi" w:cs="Times New Roman"/>
          <w:lang w:val="en-US"/>
        </w:rPr>
        <w:t xml:space="preserve">The CBD recognizes the role of indigenous peoples and local communities (IPLCs) in safeguarding biodiversity. Indeed, IPLCs play a crucial role in protecting forests and the biodiversity within, at the same time helping to mitigate climate change. </w:t>
      </w:r>
      <w:r w:rsidR="007C7C0E">
        <w:rPr>
          <w:rFonts w:asciiTheme="majorHAnsi" w:hAnsiTheme="majorHAnsi" w:cs="Times"/>
          <w:lang w:val="en-US"/>
        </w:rPr>
        <w:t xml:space="preserve">In addition, real solutions </w:t>
      </w:r>
      <w:r w:rsidR="005F1A5A">
        <w:rPr>
          <w:rFonts w:asciiTheme="majorHAnsi" w:hAnsiTheme="majorHAnsi" w:cs="Times"/>
          <w:lang w:val="en-US"/>
        </w:rPr>
        <w:t xml:space="preserve">to the biodiversity crisis </w:t>
      </w:r>
      <w:r w:rsidR="007C7C0E">
        <w:rPr>
          <w:rFonts w:asciiTheme="majorHAnsi" w:hAnsiTheme="majorHAnsi" w:cs="Times"/>
          <w:lang w:val="en-US"/>
        </w:rPr>
        <w:t xml:space="preserve">can be found in the numerous efforts by IPLCs, who are the guardians of biodiversity.  </w:t>
      </w:r>
    </w:p>
    <w:p w14:paraId="413D8B21" w14:textId="77777777" w:rsidR="007C7C0E" w:rsidRDefault="007C7C0E" w:rsidP="007C7C0E">
      <w:pPr>
        <w:widowControl w:val="0"/>
        <w:autoSpaceDE w:val="0"/>
        <w:autoSpaceDN w:val="0"/>
        <w:adjustRightInd w:val="0"/>
        <w:rPr>
          <w:rFonts w:asciiTheme="majorHAnsi" w:hAnsiTheme="majorHAnsi" w:cs="Times New Roman"/>
          <w:lang w:val="en-US"/>
        </w:rPr>
      </w:pPr>
    </w:p>
    <w:p w14:paraId="710F3E76" w14:textId="77777777" w:rsidR="007C7C0E" w:rsidRPr="004C5857" w:rsidRDefault="007C7C0E" w:rsidP="007C7C0E">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However, in many areas, IPLCs are facing threats from destructive logging, industrial agriculture and mining. The persistent violation of their rights means that both biodiversity and the climate remain under threat.</w:t>
      </w:r>
      <w:r w:rsidRPr="000D70AC">
        <w:rPr>
          <w:rFonts w:asciiTheme="majorHAnsi" w:hAnsiTheme="majorHAnsi" w:cs="Times New Roman"/>
          <w:lang w:val="en-US"/>
        </w:rPr>
        <w:t xml:space="preserve"> </w:t>
      </w:r>
      <w:r w:rsidR="00D5392A">
        <w:rPr>
          <w:rFonts w:asciiTheme="majorHAnsi" w:hAnsiTheme="majorHAnsi" w:cs="Times New Roman"/>
          <w:lang w:val="en-US"/>
        </w:rPr>
        <w:t>These must be addressed</w:t>
      </w:r>
      <w:r>
        <w:rPr>
          <w:rFonts w:asciiTheme="majorHAnsi" w:hAnsiTheme="majorHAnsi" w:cs="Times New Roman"/>
          <w:lang w:val="en-US"/>
        </w:rPr>
        <w:t xml:space="preserve">. And the kinds of solutions implemented by IPLCs on the ground, together with </w:t>
      </w:r>
      <w:r w:rsidR="00D5392A">
        <w:rPr>
          <w:rFonts w:asciiTheme="majorHAnsi" w:hAnsiTheme="majorHAnsi" w:cs="Times New Roman"/>
          <w:lang w:val="en-US"/>
        </w:rPr>
        <w:t xml:space="preserve">bottom-up </w:t>
      </w:r>
      <w:r>
        <w:rPr>
          <w:rFonts w:asciiTheme="majorHAnsi" w:hAnsiTheme="majorHAnsi" w:cs="Times New Roman"/>
          <w:lang w:val="en-US"/>
        </w:rPr>
        <w:t xml:space="preserve">governance must be safeguarded, promoted and entrenched in the post-2020 framework, and privileged in its negotiation process. </w:t>
      </w:r>
    </w:p>
    <w:p w14:paraId="70DC2E06" w14:textId="77777777" w:rsidR="007C7C0E" w:rsidRDefault="007C7C0E" w:rsidP="007C7C0E">
      <w:pPr>
        <w:widowControl w:val="0"/>
        <w:autoSpaceDE w:val="0"/>
        <w:autoSpaceDN w:val="0"/>
        <w:adjustRightInd w:val="0"/>
        <w:rPr>
          <w:rFonts w:asciiTheme="majorHAnsi" w:hAnsiTheme="majorHAnsi" w:cs="Times"/>
          <w:lang w:val="en-US"/>
        </w:rPr>
      </w:pPr>
    </w:p>
    <w:p w14:paraId="49DE9171" w14:textId="3B0EDB86" w:rsidR="007C7C0E" w:rsidRDefault="005C7501" w:rsidP="007C7C0E">
      <w:pPr>
        <w:widowControl w:val="0"/>
        <w:autoSpaceDE w:val="0"/>
        <w:autoSpaceDN w:val="0"/>
        <w:adjustRightInd w:val="0"/>
        <w:rPr>
          <w:rFonts w:asciiTheme="majorHAnsi" w:hAnsiTheme="majorHAnsi" w:cs="Times"/>
          <w:lang w:val="en-US"/>
        </w:rPr>
      </w:pPr>
      <w:r>
        <w:rPr>
          <w:rFonts w:asciiTheme="majorHAnsi" w:hAnsiTheme="majorHAnsi" w:cs="Times"/>
          <w:lang w:val="en-US"/>
        </w:rPr>
        <w:t>7)</w:t>
      </w:r>
      <w:r>
        <w:rPr>
          <w:rFonts w:asciiTheme="majorHAnsi" w:hAnsiTheme="majorHAnsi" w:cs="Times"/>
          <w:lang w:val="en-US"/>
        </w:rPr>
        <w:tab/>
      </w:r>
      <w:r w:rsidR="00D5392A">
        <w:rPr>
          <w:rFonts w:asciiTheme="majorHAnsi" w:hAnsiTheme="majorHAnsi" w:cs="Times"/>
          <w:lang w:val="en-US"/>
        </w:rPr>
        <w:t>In conclusion, t</w:t>
      </w:r>
      <w:r w:rsidR="00C2611F">
        <w:rPr>
          <w:rFonts w:asciiTheme="majorHAnsi" w:hAnsiTheme="majorHAnsi" w:cs="Times"/>
          <w:lang w:val="en-US"/>
        </w:rPr>
        <w:t xml:space="preserve">he </w:t>
      </w:r>
      <w:r w:rsidR="007C7C0E">
        <w:rPr>
          <w:rFonts w:asciiTheme="majorHAnsi" w:hAnsiTheme="majorHAnsi" w:cs="Times"/>
          <w:lang w:val="en-US"/>
        </w:rPr>
        <w:t xml:space="preserve">following are some </w:t>
      </w:r>
      <w:r w:rsidR="007C7C0E" w:rsidRPr="00F5035B">
        <w:rPr>
          <w:rFonts w:asciiTheme="majorHAnsi" w:hAnsiTheme="majorHAnsi" w:cs="Times"/>
          <w:lang w:val="en-US"/>
        </w:rPr>
        <w:t>key governance cornerstones</w:t>
      </w:r>
      <w:r w:rsidR="007C7C0E">
        <w:rPr>
          <w:rFonts w:asciiTheme="majorHAnsi" w:hAnsiTheme="majorHAnsi" w:cs="Times"/>
          <w:lang w:val="en-US"/>
        </w:rPr>
        <w:t xml:space="preserve"> for the post-2020 framework:</w:t>
      </w:r>
    </w:p>
    <w:p w14:paraId="7A7E803A" w14:textId="77777777" w:rsidR="007C7C0E" w:rsidRDefault="007C7C0E" w:rsidP="007C7C0E">
      <w:pPr>
        <w:widowControl w:val="0"/>
        <w:autoSpaceDE w:val="0"/>
        <w:autoSpaceDN w:val="0"/>
        <w:adjustRightInd w:val="0"/>
        <w:rPr>
          <w:rFonts w:asciiTheme="majorHAnsi" w:hAnsiTheme="majorHAnsi" w:cs="Times"/>
          <w:lang w:val="en-US"/>
        </w:rPr>
      </w:pPr>
    </w:p>
    <w:p w14:paraId="620A2BA7" w14:textId="77777777" w:rsidR="007C7C0E"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Binding targets and implementation commitments for Parties, in accordance with common but differentiated responsibilities</w:t>
      </w:r>
      <w:r w:rsidDel="00BD09FE">
        <w:rPr>
          <w:rFonts w:asciiTheme="majorHAnsi" w:hAnsiTheme="majorHAnsi" w:cs="Times"/>
          <w:lang w:val="en-US"/>
        </w:rPr>
        <w:t xml:space="preserve"> </w:t>
      </w:r>
    </w:p>
    <w:p w14:paraId="3B3985CD" w14:textId="77777777" w:rsidR="007C7C0E"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 xml:space="preserve">Contributions by other actors must be supplemental to, and not replace, commitments by Parties </w:t>
      </w:r>
    </w:p>
    <w:p w14:paraId="28CEE509" w14:textId="77777777" w:rsidR="007C7C0E" w:rsidRPr="007A5FA6"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Rigorous safeguards for private sector involvement, and ensuring corporate accountability at all levels</w:t>
      </w:r>
    </w:p>
    <w:p w14:paraId="243562C3" w14:textId="77777777" w:rsidR="007C7C0E"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Implementation of the principle of common but differentiated responsibilities for financial flows and technology transfer</w:t>
      </w:r>
    </w:p>
    <w:p w14:paraId="2F1A9A2C" w14:textId="77777777" w:rsidR="007C7C0E"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Mobilization of new and additional financial resources from developed country Parties, with robust safeguards in place for biodiversity financing mechanisms</w:t>
      </w:r>
    </w:p>
    <w:p w14:paraId="2A9960D4" w14:textId="77777777" w:rsidR="007C7C0E" w:rsidRPr="00FE7993"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 xml:space="preserve">Building upon and ensuring implementation of existing obligations, including under the thematic programmes of work, cross-cutting issues and the Protocols to the CBD </w:t>
      </w:r>
    </w:p>
    <w:p w14:paraId="59246C7F" w14:textId="77777777" w:rsidR="007C7C0E" w:rsidRPr="00FE7993"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Coherence with other relevant international agreements and processes that are supportive of the CBD’s objectives</w:t>
      </w:r>
    </w:p>
    <w:p w14:paraId="656328EA" w14:textId="77777777" w:rsidR="007C7C0E"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S</w:t>
      </w:r>
      <w:r w:rsidRPr="002A43B3">
        <w:rPr>
          <w:rFonts w:asciiTheme="majorHAnsi" w:hAnsiTheme="majorHAnsi" w:cs="Times"/>
          <w:lang w:val="en-US"/>
        </w:rPr>
        <w:t>trengthening</w:t>
      </w:r>
      <w:r>
        <w:rPr>
          <w:rFonts w:asciiTheme="majorHAnsi" w:hAnsiTheme="majorHAnsi" w:cs="Times"/>
          <w:lang w:val="en-US"/>
        </w:rPr>
        <w:t xml:space="preserve"> and protecting the</w:t>
      </w:r>
      <w:r w:rsidRPr="002A43B3">
        <w:rPr>
          <w:rFonts w:asciiTheme="majorHAnsi" w:hAnsiTheme="majorHAnsi" w:cs="Times"/>
          <w:lang w:val="en-US"/>
        </w:rPr>
        <w:t xml:space="preserve"> rights of </w:t>
      </w:r>
      <w:r>
        <w:rPr>
          <w:rFonts w:asciiTheme="majorHAnsi" w:hAnsiTheme="majorHAnsi" w:cs="Times"/>
          <w:lang w:val="en-US"/>
        </w:rPr>
        <w:t>indigenous peoples and local communities</w:t>
      </w:r>
      <w:r w:rsidRPr="002A43B3">
        <w:rPr>
          <w:rFonts w:asciiTheme="majorHAnsi" w:hAnsiTheme="majorHAnsi" w:cs="Times"/>
          <w:lang w:val="en-US"/>
        </w:rPr>
        <w:t xml:space="preserve"> </w:t>
      </w:r>
    </w:p>
    <w:p w14:paraId="28257E9D" w14:textId="77777777" w:rsidR="007C7C0E" w:rsidRPr="002A43B3"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Recognizing and incentivizing community-based solutions, including indigenous peoples and community conserved areas</w:t>
      </w:r>
    </w:p>
    <w:p w14:paraId="41770C33" w14:textId="77777777" w:rsidR="007C7C0E" w:rsidRPr="002A43B3" w:rsidRDefault="007C7C0E" w:rsidP="007C7C0E">
      <w:pPr>
        <w:pStyle w:val="ListParagraph"/>
        <w:widowControl w:val="0"/>
        <w:numPr>
          <w:ilvl w:val="0"/>
          <w:numId w:val="1"/>
        </w:numPr>
        <w:autoSpaceDE w:val="0"/>
        <w:autoSpaceDN w:val="0"/>
        <w:adjustRightInd w:val="0"/>
        <w:rPr>
          <w:rFonts w:asciiTheme="majorHAnsi" w:hAnsiTheme="majorHAnsi" w:cs="Times"/>
          <w:lang w:val="en-US"/>
        </w:rPr>
      </w:pPr>
      <w:r>
        <w:rPr>
          <w:rFonts w:asciiTheme="majorHAnsi" w:hAnsiTheme="majorHAnsi" w:cs="Times"/>
          <w:lang w:val="en-US"/>
        </w:rPr>
        <w:t>Establishing structures for bottom-up governance</w:t>
      </w:r>
    </w:p>
    <w:p w14:paraId="0F1BDF17" w14:textId="77777777" w:rsidR="000F3E01" w:rsidRDefault="000F3E01"/>
    <w:sectPr w:rsidR="000F3E01" w:rsidSect="00161ED5">
      <w:footnotePr>
        <w:numFmt w:val="lowerRoman"/>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9D22" w14:textId="77777777" w:rsidR="00705D3B" w:rsidRDefault="00705D3B" w:rsidP="007C7C0E">
      <w:r>
        <w:separator/>
      </w:r>
    </w:p>
  </w:endnote>
  <w:endnote w:type="continuationSeparator" w:id="0">
    <w:p w14:paraId="6577A745" w14:textId="77777777" w:rsidR="00705D3B" w:rsidRDefault="00705D3B" w:rsidP="007C7C0E">
      <w:r>
        <w:continuationSeparator/>
      </w:r>
    </w:p>
  </w:endnote>
  <w:endnote w:id="1">
    <w:p w14:paraId="792EBBD5" w14:textId="62827F82" w:rsidR="00705D3B" w:rsidRPr="005C7501" w:rsidRDefault="00705D3B">
      <w:pPr>
        <w:pStyle w:val="EndnoteText"/>
        <w:rPr>
          <w:rFonts w:asciiTheme="majorHAnsi" w:hAnsiTheme="majorHAnsi"/>
          <w:lang w:val="en-US"/>
        </w:rPr>
      </w:pPr>
      <w:r w:rsidRPr="005C7501">
        <w:rPr>
          <w:rStyle w:val="EndnoteReference"/>
          <w:rFonts w:asciiTheme="majorHAnsi" w:hAnsiTheme="majorHAnsi"/>
        </w:rPr>
        <w:endnoteRef/>
      </w:r>
      <w:r w:rsidRPr="005C7501">
        <w:rPr>
          <w:rFonts w:asciiTheme="majorHAnsi" w:hAnsiTheme="majorHAnsi"/>
        </w:rPr>
        <w:t xml:space="preserve"> </w:t>
      </w:r>
      <w:r w:rsidRPr="005C7501">
        <w:rPr>
          <w:rFonts w:asciiTheme="majorHAnsi" w:hAnsiTheme="majorHAnsi"/>
          <w:sz w:val="22"/>
          <w:szCs w:val="22"/>
        </w:rPr>
        <w:t xml:space="preserve">Decision </w:t>
      </w:r>
      <w:r w:rsidRPr="005C7501">
        <w:rPr>
          <w:rFonts w:asciiTheme="majorHAnsi" w:hAnsiTheme="majorHAnsi"/>
          <w:bCs/>
          <w:sz w:val="22"/>
          <w:szCs w:val="22"/>
          <w:lang w:val="en-MY"/>
        </w:rPr>
        <w:t>14/34. Comprehensive and participatory process for the preparation of the post-2020 global biodiversity framework.</w:t>
      </w:r>
      <w:r w:rsidRPr="005C7501">
        <w:rPr>
          <w:rFonts w:asciiTheme="majorHAnsi" w:hAnsiTheme="majorHAnsi"/>
          <w:sz w:val="22"/>
          <w:szCs w:val="22"/>
          <w:lang w:val="en-MY"/>
        </w:rPr>
        <w:t xml:space="preserve"> </w:t>
      </w:r>
      <w:r w:rsidRPr="005C7501">
        <w:rPr>
          <w:rFonts w:asciiTheme="majorHAnsi" w:hAnsiTheme="majorHAnsi" w:cs="Times New Roman"/>
          <w:sz w:val="22"/>
          <w:szCs w:val="22"/>
          <w:lang w:val="en-US"/>
        </w:rPr>
        <w:t xml:space="preserve">CBD/COP/DEC/14/34. 30 November 2018. </w:t>
      </w:r>
      <w:hyperlink r:id="rId1" w:history="1">
        <w:r w:rsidRPr="005C7501">
          <w:rPr>
            <w:rStyle w:val="Hyperlink"/>
            <w:rFonts w:asciiTheme="majorHAnsi" w:hAnsiTheme="majorHAnsi" w:cs="Times New Roman"/>
            <w:sz w:val="22"/>
            <w:szCs w:val="22"/>
            <w:lang w:val="en-US"/>
          </w:rPr>
          <w:t>https://www.cbd.int/doc/decisions/cop-14/cop-14-dec-34-en.pdf</w:t>
        </w:r>
      </w:hyperlink>
    </w:p>
  </w:endnote>
  <w:endnote w:id="2">
    <w:p w14:paraId="6D1066AB" w14:textId="77777777" w:rsidR="00705D3B" w:rsidRPr="00F5035B" w:rsidRDefault="00705D3B" w:rsidP="007C7C0E">
      <w:pPr>
        <w:pStyle w:val="EndnoteText"/>
        <w:rPr>
          <w:rFonts w:asciiTheme="majorHAnsi" w:hAnsiTheme="majorHAnsi"/>
          <w:sz w:val="22"/>
          <w:szCs w:val="22"/>
          <w:lang w:val="en-MY"/>
        </w:rPr>
      </w:pPr>
      <w:r w:rsidRPr="005C7501">
        <w:rPr>
          <w:rStyle w:val="EndnoteReference"/>
          <w:rFonts w:asciiTheme="majorHAnsi" w:hAnsiTheme="majorHAnsi"/>
          <w:sz w:val="22"/>
          <w:szCs w:val="22"/>
        </w:rPr>
        <w:endnoteRef/>
      </w:r>
      <w:r w:rsidRPr="005C7501">
        <w:rPr>
          <w:rFonts w:asciiTheme="majorHAnsi" w:hAnsiTheme="majorHAnsi"/>
          <w:sz w:val="22"/>
          <w:szCs w:val="22"/>
        </w:rPr>
        <w:t xml:space="preserve"> </w:t>
      </w:r>
      <w:r w:rsidRPr="005C7501">
        <w:rPr>
          <w:rFonts w:asciiTheme="majorHAnsi" w:hAnsiTheme="majorHAnsi"/>
          <w:sz w:val="22"/>
          <w:szCs w:val="22"/>
        </w:rPr>
        <w:t xml:space="preserve">See for example the case studies in </w:t>
      </w:r>
      <w:r w:rsidRPr="005C7501">
        <w:rPr>
          <w:rFonts w:asciiTheme="majorHAnsi" w:hAnsiTheme="majorHAnsi"/>
          <w:sz w:val="22"/>
          <w:szCs w:val="22"/>
          <w:lang w:val="en-MY"/>
        </w:rPr>
        <w:t>Amis de la Terre France, CETIM, Observatoire des</w:t>
      </w:r>
      <w:r w:rsidRPr="00F5035B">
        <w:rPr>
          <w:rFonts w:asciiTheme="majorHAnsi" w:hAnsiTheme="majorHAnsi"/>
          <w:sz w:val="22"/>
          <w:szCs w:val="22"/>
          <w:lang w:val="en-MY"/>
        </w:rPr>
        <w:t xml:space="preserve"> multinationales, OMAL and the Transnational Institute (TNI) (2018). </w:t>
      </w:r>
    </w:p>
  </w:endnote>
  <w:endnote w:id="3">
    <w:p w14:paraId="293F9022" w14:textId="77777777" w:rsidR="00705D3B" w:rsidRPr="00F5035B" w:rsidRDefault="00705D3B" w:rsidP="007C7C0E">
      <w:pPr>
        <w:pStyle w:val="EndnoteText"/>
        <w:rPr>
          <w:rFonts w:asciiTheme="majorHAnsi" w:hAnsiTheme="majorHAnsi"/>
          <w:sz w:val="22"/>
          <w:szCs w:val="22"/>
          <w:lang w:val="en-US"/>
        </w:rPr>
      </w:pPr>
      <w:r w:rsidRPr="00F5035B">
        <w:rPr>
          <w:rStyle w:val="EndnoteReference"/>
          <w:rFonts w:asciiTheme="majorHAnsi" w:hAnsiTheme="majorHAnsi"/>
          <w:sz w:val="22"/>
          <w:szCs w:val="22"/>
        </w:rPr>
        <w:endnoteRef/>
      </w:r>
      <w:r w:rsidRPr="00F5035B">
        <w:rPr>
          <w:rFonts w:asciiTheme="majorHAnsi" w:hAnsiTheme="majorHAnsi"/>
          <w:sz w:val="22"/>
          <w:szCs w:val="22"/>
        </w:rPr>
        <w:t xml:space="preserve"> </w:t>
      </w:r>
      <w:r w:rsidRPr="00F5035B">
        <w:rPr>
          <w:rFonts w:asciiTheme="majorHAnsi" w:hAnsiTheme="majorHAnsi"/>
          <w:sz w:val="22"/>
          <w:szCs w:val="22"/>
          <w:lang w:val="en-US"/>
        </w:rPr>
        <w:t>See for example, “</w:t>
      </w:r>
      <w:r w:rsidRPr="00F5035B">
        <w:rPr>
          <w:rFonts w:asciiTheme="majorHAnsi" w:hAnsiTheme="majorHAnsi"/>
          <w:bCs/>
          <w:sz w:val="22"/>
          <w:szCs w:val="22"/>
          <w:lang w:val="en-US"/>
        </w:rPr>
        <w:t>Biodiversity - Divergent views on progress towards resource mobilization targets” by Zhu Zhenyan and Chee Yoke Ling. TWN Info Service on Biodiversity and Tradition</w:t>
      </w:r>
      <w:r>
        <w:rPr>
          <w:rFonts w:asciiTheme="majorHAnsi" w:hAnsiTheme="majorHAnsi"/>
          <w:bCs/>
          <w:sz w:val="22"/>
          <w:szCs w:val="22"/>
          <w:lang w:val="en-US"/>
        </w:rPr>
        <w:t xml:space="preserve">al Knowledge. 22 December 2016. </w:t>
      </w:r>
      <w:hyperlink r:id="rId2" w:history="1">
        <w:r w:rsidRPr="007E2146">
          <w:rPr>
            <w:rStyle w:val="Hyperlink"/>
            <w:rFonts w:asciiTheme="majorHAnsi" w:hAnsiTheme="majorHAnsi"/>
            <w:bCs/>
            <w:sz w:val="22"/>
            <w:szCs w:val="22"/>
            <w:lang w:val="en-US"/>
          </w:rPr>
          <w:t>http://www.twn.my/title2/biotk/2016/btk161210.htm</w:t>
        </w:r>
      </w:hyperlink>
      <w:r>
        <w:rPr>
          <w:rFonts w:asciiTheme="majorHAnsi" w:hAnsiTheme="majorHAnsi"/>
          <w:bCs/>
          <w:sz w:val="22"/>
          <w:szCs w:val="22"/>
          <w:lang w:val="en-US"/>
        </w:rPr>
        <w:t xml:space="preserve"> </w:t>
      </w:r>
    </w:p>
  </w:endnote>
  <w:endnote w:id="4">
    <w:p w14:paraId="56115945" w14:textId="77777777" w:rsidR="00705D3B" w:rsidRPr="00F5035B" w:rsidRDefault="00705D3B" w:rsidP="007C7C0E">
      <w:pPr>
        <w:pStyle w:val="EndnoteText"/>
        <w:rPr>
          <w:rFonts w:asciiTheme="majorHAnsi" w:hAnsiTheme="majorHAnsi"/>
          <w:sz w:val="22"/>
          <w:szCs w:val="22"/>
          <w:lang w:val="en-US"/>
        </w:rPr>
      </w:pPr>
      <w:r w:rsidRPr="00F5035B">
        <w:rPr>
          <w:rStyle w:val="EndnoteReference"/>
          <w:rFonts w:asciiTheme="majorHAnsi" w:hAnsiTheme="majorHAnsi"/>
          <w:sz w:val="22"/>
          <w:szCs w:val="22"/>
        </w:rPr>
        <w:endnoteRef/>
      </w:r>
      <w:r w:rsidRPr="00F5035B">
        <w:rPr>
          <w:rFonts w:asciiTheme="majorHAnsi" w:hAnsiTheme="majorHAnsi"/>
          <w:sz w:val="22"/>
          <w:szCs w:val="22"/>
        </w:rPr>
        <w:t xml:space="preserve"> </w:t>
      </w:r>
      <w:r w:rsidRPr="00F5035B">
        <w:rPr>
          <w:rFonts w:asciiTheme="majorHAnsi" w:hAnsiTheme="majorHAnsi"/>
          <w:sz w:val="22"/>
          <w:szCs w:val="22"/>
          <w:lang w:val="en-US"/>
        </w:rPr>
        <w:t>Zhu and Chee (2016).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A31AC" w14:textId="77777777" w:rsidR="00705D3B" w:rsidRDefault="00705D3B" w:rsidP="007C7C0E">
      <w:r>
        <w:separator/>
      </w:r>
    </w:p>
  </w:footnote>
  <w:footnote w:type="continuationSeparator" w:id="0">
    <w:p w14:paraId="1793AC37" w14:textId="77777777" w:rsidR="00705D3B" w:rsidRDefault="00705D3B" w:rsidP="007C7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3B35"/>
    <w:multiLevelType w:val="hybridMultilevel"/>
    <w:tmpl w:val="55F4F8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0E"/>
    <w:rsid w:val="00025B11"/>
    <w:rsid w:val="000F3E01"/>
    <w:rsid w:val="00161ED5"/>
    <w:rsid w:val="00373E5E"/>
    <w:rsid w:val="005513C2"/>
    <w:rsid w:val="005C7501"/>
    <w:rsid w:val="005F1A5A"/>
    <w:rsid w:val="005F7C68"/>
    <w:rsid w:val="00705D3B"/>
    <w:rsid w:val="00755206"/>
    <w:rsid w:val="007C7C0E"/>
    <w:rsid w:val="008A13F7"/>
    <w:rsid w:val="009F47C5"/>
    <w:rsid w:val="00AB772F"/>
    <w:rsid w:val="00C2611F"/>
    <w:rsid w:val="00D5392A"/>
    <w:rsid w:val="00F643E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71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0E"/>
  </w:style>
  <w:style w:type="paragraph" w:styleId="Heading1">
    <w:name w:val="heading 1"/>
    <w:basedOn w:val="Normal"/>
    <w:link w:val="Heading1Char"/>
    <w:uiPriority w:val="9"/>
    <w:qFormat/>
    <w:rsid w:val="007C7C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0E"/>
    <w:rPr>
      <w:rFonts w:ascii="Times" w:hAnsi="Times"/>
      <w:b/>
      <w:bCs/>
      <w:kern w:val="36"/>
      <w:sz w:val="48"/>
      <w:szCs w:val="48"/>
    </w:rPr>
  </w:style>
  <w:style w:type="character" w:styleId="Hyperlink">
    <w:name w:val="Hyperlink"/>
    <w:basedOn w:val="DefaultParagraphFont"/>
    <w:uiPriority w:val="99"/>
    <w:unhideWhenUsed/>
    <w:rsid w:val="007C7C0E"/>
    <w:rPr>
      <w:color w:val="0000FF"/>
      <w:u w:val="single"/>
    </w:rPr>
  </w:style>
  <w:style w:type="paragraph" w:styleId="EndnoteText">
    <w:name w:val="endnote text"/>
    <w:basedOn w:val="Normal"/>
    <w:link w:val="EndnoteTextChar"/>
    <w:uiPriority w:val="99"/>
    <w:unhideWhenUsed/>
    <w:rsid w:val="007C7C0E"/>
  </w:style>
  <w:style w:type="character" w:customStyle="1" w:styleId="EndnoteTextChar">
    <w:name w:val="Endnote Text Char"/>
    <w:basedOn w:val="DefaultParagraphFont"/>
    <w:link w:val="EndnoteText"/>
    <w:uiPriority w:val="99"/>
    <w:rsid w:val="007C7C0E"/>
  </w:style>
  <w:style w:type="character" w:styleId="EndnoteReference">
    <w:name w:val="endnote reference"/>
    <w:basedOn w:val="DefaultParagraphFont"/>
    <w:uiPriority w:val="99"/>
    <w:unhideWhenUsed/>
    <w:rsid w:val="007C7C0E"/>
    <w:rPr>
      <w:vertAlign w:val="superscript"/>
    </w:rPr>
  </w:style>
  <w:style w:type="paragraph" w:styleId="ListParagraph">
    <w:name w:val="List Paragraph"/>
    <w:basedOn w:val="Normal"/>
    <w:uiPriority w:val="34"/>
    <w:qFormat/>
    <w:rsid w:val="007C7C0E"/>
    <w:pPr>
      <w:ind w:left="720"/>
      <w:contextualSpacing/>
    </w:pPr>
  </w:style>
  <w:style w:type="paragraph" w:styleId="NormalWeb">
    <w:name w:val="Normal (Web)"/>
    <w:basedOn w:val="Normal"/>
    <w:uiPriority w:val="99"/>
    <w:unhideWhenUsed/>
    <w:rsid w:val="007C7C0E"/>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F47C5"/>
    <w:rPr>
      <w:sz w:val="18"/>
      <w:szCs w:val="18"/>
    </w:rPr>
  </w:style>
  <w:style w:type="paragraph" w:styleId="CommentText">
    <w:name w:val="annotation text"/>
    <w:basedOn w:val="Normal"/>
    <w:link w:val="CommentTextChar"/>
    <w:uiPriority w:val="99"/>
    <w:semiHidden/>
    <w:unhideWhenUsed/>
    <w:rsid w:val="009F47C5"/>
  </w:style>
  <w:style w:type="character" w:customStyle="1" w:styleId="CommentTextChar">
    <w:name w:val="Comment Text Char"/>
    <w:basedOn w:val="DefaultParagraphFont"/>
    <w:link w:val="CommentText"/>
    <w:uiPriority w:val="99"/>
    <w:semiHidden/>
    <w:rsid w:val="009F47C5"/>
  </w:style>
  <w:style w:type="paragraph" w:styleId="CommentSubject">
    <w:name w:val="annotation subject"/>
    <w:basedOn w:val="CommentText"/>
    <w:next w:val="CommentText"/>
    <w:link w:val="CommentSubjectChar"/>
    <w:uiPriority w:val="99"/>
    <w:semiHidden/>
    <w:unhideWhenUsed/>
    <w:rsid w:val="009F47C5"/>
    <w:rPr>
      <w:b/>
      <w:bCs/>
      <w:sz w:val="20"/>
      <w:szCs w:val="20"/>
    </w:rPr>
  </w:style>
  <w:style w:type="character" w:customStyle="1" w:styleId="CommentSubjectChar">
    <w:name w:val="Comment Subject Char"/>
    <w:basedOn w:val="CommentTextChar"/>
    <w:link w:val="CommentSubject"/>
    <w:uiPriority w:val="99"/>
    <w:semiHidden/>
    <w:rsid w:val="009F47C5"/>
    <w:rPr>
      <w:b/>
      <w:bCs/>
      <w:sz w:val="20"/>
      <w:szCs w:val="20"/>
    </w:rPr>
  </w:style>
  <w:style w:type="paragraph" w:styleId="BalloonText">
    <w:name w:val="Balloon Text"/>
    <w:basedOn w:val="Normal"/>
    <w:link w:val="BalloonTextChar"/>
    <w:uiPriority w:val="99"/>
    <w:semiHidden/>
    <w:unhideWhenUsed/>
    <w:rsid w:val="009F4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C5"/>
    <w:rPr>
      <w:rFonts w:ascii="Lucida Grande" w:hAnsi="Lucida Grande" w:cs="Lucida Grande"/>
      <w:sz w:val="18"/>
      <w:szCs w:val="18"/>
    </w:rPr>
  </w:style>
  <w:style w:type="paragraph" w:styleId="FootnoteText">
    <w:name w:val="footnote text"/>
    <w:basedOn w:val="Normal"/>
    <w:link w:val="FootnoteTextChar"/>
    <w:uiPriority w:val="99"/>
    <w:unhideWhenUsed/>
    <w:rsid w:val="005C7501"/>
  </w:style>
  <w:style w:type="character" w:customStyle="1" w:styleId="FootnoteTextChar">
    <w:name w:val="Footnote Text Char"/>
    <w:basedOn w:val="DefaultParagraphFont"/>
    <w:link w:val="FootnoteText"/>
    <w:uiPriority w:val="99"/>
    <w:rsid w:val="005C7501"/>
  </w:style>
  <w:style w:type="character" w:styleId="FootnoteReference">
    <w:name w:val="footnote reference"/>
    <w:basedOn w:val="DefaultParagraphFont"/>
    <w:uiPriority w:val="99"/>
    <w:unhideWhenUsed/>
    <w:rsid w:val="005C75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0E"/>
  </w:style>
  <w:style w:type="paragraph" w:styleId="Heading1">
    <w:name w:val="heading 1"/>
    <w:basedOn w:val="Normal"/>
    <w:link w:val="Heading1Char"/>
    <w:uiPriority w:val="9"/>
    <w:qFormat/>
    <w:rsid w:val="007C7C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0E"/>
    <w:rPr>
      <w:rFonts w:ascii="Times" w:hAnsi="Times"/>
      <w:b/>
      <w:bCs/>
      <w:kern w:val="36"/>
      <w:sz w:val="48"/>
      <w:szCs w:val="48"/>
    </w:rPr>
  </w:style>
  <w:style w:type="character" w:styleId="Hyperlink">
    <w:name w:val="Hyperlink"/>
    <w:basedOn w:val="DefaultParagraphFont"/>
    <w:uiPriority w:val="99"/>
    <w:unhideWhenUsed/>
    <w:rsid w:val="007C7C0E"/>
    <w:rPr>
      <w:color w:val="0000FF"/>
      <w:u w:val="single"/>
    </w:rPr>
  </w:style>
  <w:style w:type="paragraph" w:styleId="EndnoteText">
    <w:name w:val="endnote text"/>
    <w:basedOn w:val="Normal"/>
    <w:link w:val="EndnoteTextChar"/>
    <w:uiPriority w:val="99"/>
    <w:unhideWhenUsed/>
    <w:rsid w:val="007C7C0E"/>
  </w:style>
  <w:style w:type="character" w:customStyle="1" w:styleId="EndnoteTextChar">
    <w:name w:val="Endnote Text Char"/>
    <w:basedOn w:val="DefaultParagraphFont"/>
    <w:link w:val="EndnoteText"/>
    <w:uiPriority w:val="99"/>
    <w:rsid w:val="007C7C0E"/>
  </w:style>
  <w:style w:type="character" w:styleId="EndnoteReference">
    <w:name w:val="endnote reference"/>
    <w:basedOn w:val="DefaultParagraphFont"/>
    <w:uiPriority w:val="99"/>
    <w:unhideWhenUsed/>
    <w:rsid w:val="007C7C0E"/>
    <w:rPr>
      <w:vertAlign w:val="superscript"/>
    </w:rPr>
  </w:style>
  <w:style w:type="paragraph" w:styleId="ListParagraph">
    <w:name w:val="List Paragraph"/>
    <w:basedOn w:val="Normal"/>
    <w:uiPriority w:val="34"/>
    <w:qFormat/>
    <w:rsid w:val="007C7C0E"/>
    <w:pPr>
      <w:ind w:left="720"/>
      <w:contextualSpacing/>
    </w:pPr>
  </w:style>
  <w:style w:type="paragraph" w:styleId="NormalWeb">
    <w:name w:val="Normal (Web)"/>
    <w:basedOn w:val="Normal"/>
    <w:uiPriority w:val="99"/>
    <w:unhideWhenUsed/>
    <w:rsid w:val="007C7C0E"/>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F47C5"/>
    <w:rPr>
      <w:sz w:val="18"/>
      <w:szCs w:val="18"/>
    </w:rPr>
  </w:style>
  <w:style w:type="paragraph" w:styleId="CommentText">
    <w:name w:val="annotation text"/>
    <w:basedOn w:val="Normal"/>
    <w:link w:val="CommentTextChar"/>
    <w:uiPriority w:val="99"/>
    <w:semiHidden/>
    <w:unhideWhenUsed/>
    <w:rsid w:val="009F47C5"/>
  </w:style>
  <w:style w:type="character" w:customStyle="1" w:styleId="CommentTextChar">
    <w:name w:val="Comment Text Char"/>
    <w:basedOn w:val="DefaultParagraphFont"/>
    <w:link w:val="CommentText"/>
    <w:uiPriority w:val="99"/>
    <w:semiHidden/>
    <w:rsid w:val="009F47C5"/>
  </w:style>
  <w:style w:type="paragraph" w:styleId="CommentSubject">
    <w:name w:val="annotation subject"/>
    <w:basedOn w:val="CommentText"/>
    <w:next w:val="CommentText"/>
    <w:link w:val="CommentSubjectChar"/>
    <w:uiPriority w:val="99"/>
    <w:semiHidden/>
    <w:unhideWhenUsed/>
    <w:rsid w:val="009F47C5"/>
    <w:rPr>
      <w:b/>
      <w:bCs/>
      <w:sz w:val="20"/>
      <w:szCs w:val="20"/>
    </w:rPr>
  </w:style>
  <w:style w:type="character" w:customStyle="1" w:styleId="CommentSubjectChar">
    <w:name w:val="Comment Subject Char"/>
    <w:basedOn w:val="CommentTextChar"/>
    <w:link w:val="CommentSubject"/>
    <w:uiPriority w:val="99"/>
    <w:semiHidden/>
    <w:rsid w:val="009F47C5"/>
    <w:rPr>
      <w:b/>
      <w:bCs/>
      <w:sz w:val="20"/>
      <w:szCs w:val="20"/>
    </w:rPr>
  </w:style>
  <w:style w:type="paragraph" w:styleId="BalloonText">
    <w:name w:val="Balloon Text"/>
    <w:basedOn w:val="Normal"/>
    <w:link w:val="BalloonTextChar"/>
    <w:uiPriority w:val="99"/>
    <w:semiHidden/>
    <w:unhideWhenUsed/>
    <w:rsid w:val="009F4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C5"/>
    <w:rPr>
      <w:rFonts w:ascii="Lucida Grande" w:hAnsi="Lucida Grande" w:cs="Lucida Grande"/>
      <w:sz w:val="18"/>
      <w:szCs w:val="18"/>
    </w:rPr>
  </w:style>
  <w:style w:type="paragraph" w:styleId="FootnoteText">
    <w:name w:val="footnote text"/>
    <w:basedOn w:val="Normal"/>
    <w:link w:val="FootnoteTextChar"/>
    <w:uiPriority w:val="99"/>
    <w:unhideWhenUsed/>
    <w:rsid w:val="005C7501"/>
  </w:style>
  <w:style w:type="character" w:customStyle="1" w:styleId="FootnoteTextChar">
    <w:name w:val="Footnote Text Char"/>
    <w:basedOn w:val="DefaultParagraphFont"/>
    <w:link w:val="FootnoteText"/>
    <w:uiPriority w:val="99"/>
    <w:rsid w:val="005C7501"/>
  </w:style>
  <w:style w:type="character" w:styleId="FootnoteReference">
    <w:name w:val="footnote reference"/>
    <w:basedOn w:val="DefaultParagraphFont"/>
    <w:uiPriority w:val="99"/>
    <w:unhideWhenUsed/>
    <w:rsid w:val="005C7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7204">
      <w:bodyDiv w:val="1"/>
      <w:marLeft w:val="0"/>
      <w:marRight w:val="0"/>
      <w:marTop w:val="0"/>
      <w:marBottom w:val="0"/>
      <w:divBdr>
        <w:top w:val="none" w:sz="0" w:space="0" w:color="auto"/>
        <w:left w:val="none" w:sz="0" w:space="0" w:color="auto"/>
        <w:bottom w:val="none" w:sz="0" w:space="0" w:color="auto"/>
        <w:right w:val="none" w:sz="0" w:space="0" w:color="auto"/>
      </w:divBdr>
      <w:divsChild>
        <w:div w:id="1315598424">
          <w:marLeft w:val="0"/>
          <w:marRight w:val="0"/>
          <w:marTop w:val="0"/>
          <w:marBottom w:val="0"/>
          <w:divBdr>
            <w:top w:val="none" w:sz="0" w:space="0" w:color="auto"/>
            <w:left w:val="none" w:sz="0" w:space="0" w:color="auto"/>
            <w:bottom w:val="none" w:sz="0" w:space="0" w:color="auto"/>
            <w:right w:val="none" w:sz="0" w:space="0" w:color="auto"/>
          </w:divBdr>
          <w:divsChild>
            <w:div w:id="1911766603">
              <w:marLeft w:val="0"/>
              <w:marRight w:val="0"/>
              <w:marTop w:val="0"/>
              <w:marBottom w:val="0"/>
              <w:divBdr>
                <w:top w:val="none" w:sz="0" w:space="0" w:color="auto"/>
                <w:left w:val="none" w:sz="0" w:space="0" w:color="auto"/>
                <w:bottom w:val="none" w:sz="0" w:space="0" w:color="auto"/>
                <w:right w:val="none" w:sz="0" w:space="0" w:color="auto"/>
              </w:divBdr>
              <w:divsChild>
                <w:div w:id="3004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www.cbd.int/doc/decisions/cop-14/cop-14-dec-34-en.pdf" TargetMode="External"/><Relationship Id="rId2" Type="http://schemas.openxmlformats.org/officeDocument/2006/relationships/hyperlink" Target="http://www.twn.my/title2/biotk/2016/btk1612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1155</Words>
  <Characters>6590</Characters>
  <Application>Microsoft Macintosh Word</Application>
  <DocSecurity>0</DocSecurity>
  <Lines>54</Lines>
  <Paragraphs>15</Paragraphs>
  <ScaleCrop>false</ScaleCrop>
  <Company>TWN</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 Lim</dc:creator>
  <cp:keywords/>
  <dc:description/>
  <cp:lastModifiedBy>Li Lin Lim</cp:lastModifiedBy>
  <cp:revision>3</cp:revision>
  <dcterms:created xsi:type="dcterms:W3CDTF">2019-04-15T14:43:00Z</dcterms:created>
  <dcterms:modified xsi:type="dcterms:W3CDTF">2019-04-15T14:54:00Z</dcterms:modified>
</cp:coreProperties>
</file>