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AF264" w14:textId="77777777" w:rsidR="00A2000C" w:rsidRDefault="00A2000C" w:rsidP="00CB6CB9">
      <w:pPr>
        <w:tabs>
          <w:tab w:val="left" w:pos="720"/>
        </w:tabs>
        <w:ind w:left="360"/>
        <w:jc w:val="both"/>
        <w:rPr>
          <w:sz w:val="22"/>
          <w:szCs w:val="22"/>
        </w:rPr>
      </w:pPr>
    </w:p>
    <w:p w14:paraId="16B1C677" w14:textId="77777777" w:rsidR="00EC787C" w:rsidRDefault="00EC787C" w:rsidP="00EC787C">
      <w:pPr>
        <w:pStyle w:val="ListParagraph"/>
        <w:rPr>
          <w:sz w:val="22"/>
          <w:szCs w:val="22"/>
        </w:rPr>
      </w:pPr>
    </w:p>
    <w:p w14:paraId="3D178F6F" w14:textId="77777777" w:rsidR="00624FAA" w:rsidRPr="000731D0" w:rsidRDefault="00F07A19" w:rsidP="005D2E65">
      <w:pPr>
        <w:pStyle w:val="Default"/>
        <w:jc w:val="center"/>
        <w:rPr>
          <w:b/>
          <w:sz w:val="22"/>
          <w:szCs w:val="22"/>
        </w:rPr>
      </w:pPr>
      <w:r>
        <w:rPr>
          <w:b/>
          <w:sz w:val="22"/>
          <w:szCs w:val="22"/>
        </w:rPr>
        <w:t>NIGERIA</w:t>
      </w:r>
      <w:r w:rsidR="000644D4">
        <w:rPr>
          <w:b/>
          <w:sz w:val="22"/>
          <w:szCs w:val="22"/>
        </w:rPr>
        <w:t xml:space="preserve"> </w:t>
      </w:r>
      <w:r w:rsidR="00624FAA" w:rsidRPr="000731D0">
        <w:rPr>
          <w:b/>
          <w:sz w:val="22"/>
          <w:szCs w:val="22"/>
        </w:rPr>
        <w:t>COMMENTS</w:t>
      </w:r>
    </w:p>
    <w:p w14:paraId="4BE664BF" w14:textId="77777777" w:rsidR="00624FAA" w:rsidRPr="00532BBA" w:rsidRDefault="00624FAA" w:rsidP="00DB71FC">
      <w:pPr>
        <w:pStyle w:val="Default"/>
        <w:jc w:val="center"/>
        <w:rPr>
          <w:b/>
          <w:sz w:val="22"/>
          <w:szCs w:val="22"/>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14"/>
        <w:gridCol w:w="974"/>
        <w:gridCol w:w="195"/>
        <w:gridCol w:w="1043"/>
        <w:gridCol w:w="8"/>
        <w:gridCol w:w="23"/>
        <w:gridCol w:w="5732"/>
      </w:tblGrid>
      <w:tr w:rsidR="005D2E65" w:rsidRPr="000C0B6C" w14:paraId="6FEE580C" w14:textId="77777777" w:rsidTr="005D2E65">
        <w:trPr>
          <w:trHeight w:val="242"/>
        </w:trPr>
        <w:tc>
          <w:tcPr>
            <w:tcW w:w="9606" w:type="dxa"/>
            <w:gridSpan w:val="8"/>
          </w:tcPr>
          <w:p w14:paraId="60B3E1E7" w14:textId="77777777" w:rsidR="005D2E65" w:rsidRPr="000C0B6C" w:rsidRDefault="005D2E65" w:rsidP="00642AC0">
            <w:pPr>
              <w:jc w:val="center"/>
              <w:rPr>
                <w:b/>
              </w:rPr>
            </w:pPr>
            <w:r>
              <w:rPr>
                <w:b/>
              </w:rPr>
              <w:t xml:space="preserve">Review comments on the draft monitoring framework for the post-2020 </w:t>
            </w:r>
            <w:r w:rsidR="004C508E">
              <w:rPr>
                <w:b/>
              </w:rPr>
              <w:t>G</w:t>
            </w:r>
            <w:r>
              <w:rPr>
                <w:b/>
              </w:rPr>
              <w:t xml:space="preserve">lobal </w:t>
            </w:r>
            <w:r w:rsidR="004C508E">
              <w:rPr>
                <w:b/>
              </w:rPr>
              <w:t>B</w:t>
            </w:r>
            <w:r>
              <w:rPr>
                <w:b/>
              </w:rPr>
              <w:t xml:space="preserve">iodiversity </w:t>
            </w:r>
            <w:r w:rsidR="004C508E">
              <w:rPr>
                <w:b/>
              </w:rPr>
              <w:t>F</w:t>
            </w:r>
            <w:r>
              <w:rPr>
                <w:b/>
              </w:rPr>
              <w:t>ramework</w:t>
            </w:r>
          </w:p>
        </w:tc>
      </w:tr>
      <w:tr w:rsidR="005D2E65" w:rsidRPr="000C0B6C" w14:paraId="1F1A05C6" w14:textId="77777777" w:rsidTr="005D2E65">
        <w:trPr>
          <w:trHeight w:val="233"/>
        </w:trPr>
        <w:tc>
          <w:tcPr>
            <w:tcW w:w="9606" w:type="dxa"/>
            <w:gridSpan w:val="8"/>
            <w:shd w:val="clear" w:color="auto" w:fill="C0C0C0"/>
          </w:tcPr>
          <w:p w14:paraId="25B4AB3D" w14:textId="77777777" w:rsidR="005D2E65" w:rsidRPr="000C0B6C" w:rsidRDefault="005D2E65" w:rsidP="00690111">
            <w:pPr>
              <w:jc w:val="center"/>
              <w:rPr>
                <w:i/>
              </w:rPr>
            </w:pPr>
            <w:r w:rsidRPr="000C0B6C">
              <w:rPr>
                <w:i/>
              </w:rPr>
              <w:t>Contact information</w:t>
            </w:r>
          </w:p>
        </w:tc>
      </w:tr>
      <w:tr w:rsidR="005D2E65" w:rsidRPr="000C0B6C" w14:paraId="40EEADBE" w14:textId="77777777" w:rsidTr="00FD49F6">
        <w:trPr>
          <w:trHeight w:val="270"/>
        </w:trPr>
        <w:tc>
          <w:tcPr>
            <w:tcW w:w="2800" w:type="dxa"/>
            <w:gridSpan w:val="4"/>
          </w:tcPr>
          <w:p w14:paraId="445C42C3" w14:textId="77777777" w:rsidR="005D2E65" w:rsidRPr="000C0B6C" w:rsidRDefault="005D2E65" w:rsidP="00690111">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6806" w:type="dxa"/>
            <w:gridSpan w:val="4"/>
          </w:tcPr>
          <w:p w14:paraId="227A17C5" w14:textId="117BA82A" w:rsidR="005D2E65" w:rsidRPr="000731D0" w:rsidRDefault="008614C2" w:rsidP="00690111">
            <w:proofErr w:type="spellStart"/>
            <w:r>
              <w:t>Egbuwalo</w:t>
            </w:r>
            <w:proofErr w:type="spellEnd"/>
          </w:p>
        </w:tc>
      </w:tr>
      <w:tr w:rsidR="005D2E65" w:rsidRPr="000C0B6C" w14:paraId="72CF2D5C" w14:textId="77777777" w:rsidTr="00FD49F6">
        <w:trPr>
          <w:trHeight w:val="270"/>
        </w:trPr>
        <w:tc>
          <w:tcPr>
            <w:tcW w:w="2800" w:type="dxa"/>
            <w:gridSpan w:val="4"/>
          </w:tcPr>
          <w:p w14:paraId="1F8C2F50" w14:textId="77777777" w:rsidR="005D2E65" w:rsidRPr="000C0B6C" w:rsidRDefault="005D2E65" w:rsidP="00690111">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6806" w:type="dxa"/>
            <w:gridSpan w:val="4"/>
          </w:tcPr>
          <w:p w14:paraId="5FFFC902" w14:textId="66BDFFC7" w:rsidR="005D2E65" w:rsidRPr="000731D0" w:rsidRDefault="008614C2" w:rsidP="00690111">
            <w:proofErr w:type="spellStart"/>
            <w:r>
              <w:t>Sikeade</w:t>
            </w:r>
            <w:proofErr w:type="spellEnd"/>
            <w:r>
              <w:t xml:space="preserve"> </w:t>
            </w:r>
            <w:proofErr w:type="spellStart"/>
            <w:r w:rsidR="00F07A19">
              <w:t>Oluwakemi</w:t>
            </w:r>
            <w:proofErr w:type="spellEnd"/>
            <w:r w:rsidR="00F07A19">
              <w:t xml:space="preserve"> </w:t>
            </w:r>
          </w:p>
        </w:tc>
      </w:tr>
      <w:tr w:rsidR="005D2E65" w:rsidRPr="000C0B6C" w14:paraId="71F2A20A" w14:textId="77777777" w:rsidTr="00FD49F6">
        <w:trPr>
          <w:trHeight w:val="280"/>
        </w:trPr>
        <w:tc>
          <w:tcPr>
            <w:tcW w:w="2800" w:type="dxa"/>
            <w:gridSpan w:val="4"/>
          </w:tcPr>
          <w:p w14:paraId="110C283F" w14:textId="77777777" w:rsidR="005D2E65" w:rsidRPr="000C0B6C" w:rsidRDefault="005D2E65" w:rsidP="00690111">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6806" w:type="dxa"/>
            <w:gridSpan w:val="4"/>
          </w:tcPr>
          <w:p w14:paraId="1A70BC40" w14:textId="77777777" w:rsidR="005D2E65" w:rsidRPr="00F15E27" w:rsidRDefault="00F07A19" w:rsidP="00F15E27">
            <w:r>
              <w:t>Nigeria</w:t>
            </w:r>
          </w:p>
        </w:tc>
      </w:tr>
      <w:tr w:rsidR="005D2E65" w:rsidRPr="00F15E27" w14:paraId="7AFFABB8" w14:textId="77777777" w:rsidTr="00FD49F6">
        <w:trPr>
          <w:trHeight w:val="270"/>
        </w:trPr>
        <w:tc>
          <w:tcPr>
            <w:tcW w:w="2800" w:type="dxa"/>
            <w:gridSpan w:val="4"/>
          </w:tcPr>
          <w:p w14:paraId="043F3BB8" w14:textId="77777777" w:rsidR="005D2E65" w:rsidRPr="000C0B6C" w:rsidRDefault="005D2E65" w:rsidP="00690111">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6806" w:type="dxa"/>
            <w:gridSpan w:val="4"/>
          </w:tcPr>
          <w:p w14:paraId="08E2AC7B" w14:textId="77777777" w:rsidR="00B324C4" w:rsidRPr="00941C55" w:rsidRDefault="00F07A19" w:rsidP="00D77E65">
            <w:pPr>
              <w:pStyle w:val="NormalWeb"/>
              <w:rPr>
                <w:lang w:val="en-US" w:eastAsia="en-US"/>
              </w:rPr>
            </w:pPr>
            <w:r w:rsidRPr="00F07A19">
              <w:rPr>
                <w:lang w:val="en-US" w:eastAsia="en-US"/>
              </w:rPr>
              <w:t xml:space="preserve">Federal Department of Forestry </w:t>
            </w:r>
            <w:r>
              <w:rPr>
                <w:lang w:val="en-US" w:eastAsia="en-US"/>
              </w:rPr>
              <w:t xml:space="preserve">/ </w:t>
            </w:r>
            <w:r w:rsidRPr="00F07A19">
              <w:rPr>
                <w:lang w:val="en-US" w:eastAsia="en-US"/>
              </w:rPr>
              <w:t>Federal Ministry of Environment</w:t>
            </w:r>
          </w:p>
        </w:tc>
      </w:tr>
      <w:tr w:rsidR="005D2E65" w:rsidRPr="000731D0" w14:paraId="0D7DEEFA" w14:textId="77777777" w:rsidTr="00FD49F6">
        <w:trPr>
          <w:trHeight w:val="280"/>
        </w:trPr>
        <w:tc>
          <w:tcPr>
            <w:tcW w:w="2800" w:type="dxa"/>
            <w:gridSpan w:val="4"/>
          </w:tcPr>
          <w:p w14:paraId="3D6BA529" w14:textId="77777777" w:rsidR="005D2E65" w:rsidRPr="000C0B6C" w:rsidRDefault="005D2E65" w:rsidP="00690111">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6806" w:type="dxa"/>
            <w:gridSpan w:val="4"/>
          </w:tcPr>
          <w:p w14:paraId="65ABDE59" w14:textId="77777777" w:rsidR="00941C55" w:rsidRPr="00D77E65" w:rsidRDefault="00F07A19" w:rsidP="00F07A19">
            <w:pPr>
              <w:pStyle w:val="NormalWeb"/>
              <w:rPr>
                <w:lang w:val="en-US" w:eastAsia="en-US"/>
              </w:rPr>
            </w:pPr>
            <w:r w:rsidRPr="00F07A19">
              <w:rPr>
                <w:lang w:val="en-US" w:eastAsia="en-US"/>
              </w:rPr>
              <w:t xml:space="preserve">Plot 393/394, Augustus </w:t>
            </w:r>
            <w:proofErr w:type="spellStart"/>
            <w:r w:rsidRPr="00F07A19">
              <w:rPr>
                <w:lang w:val="en-US" w:eastAsia="en-US"/>
              </w:rPr>
              <w:t>Aikhomu</w:t>
            </w:r>
            <w:proofErr w:type="spellEnd"/>
            <w:r w:rsidRPr="00F07A19">
              <w:rPr>
                <w:lang w:val="en-US" w:eastAsia="en-US"/>
              </w:rPr>
              <w:t xml:space="preserve"> Way Utako District</w:t>
            </w:r>
            <w:r w:rsidRPr="00F07A19">
              <w:rPr>
                <w:lang w:val="en-US" w:eastAsia="en-US"/>
              </w:rPr>
              <w:br/>
              <w:t xml:space="preserve">P.M.B. 468, </w:t>
            </w:r>
            <w:proofErr w:type="spellStart"/>
            <w:r w:rsidRPr="00F07A19">
              <w:rPr>
                <w:lang w:val="en-US" w:eastAsia="en-US"/>
              </w:rPr>
              <w:t>Garki</w:t>
            </w:r>
            <w:proofErr w:type="spellEnd"/>
            <w:r w:rsidRPr="00F07A19">
              <w:rPr>
                <w:lang w:val="en-US" w:eastAsia="en-US"/>
              </w:rPr>
              <w:t xml:space="preserve"> </w:t>
            </w:r>
          </w:p>
        </w:tc>
      </w:tr>
      <w:tr w:rsidR="005D2E65" w:rsidRPr="000C0B6C" w14:paraId="42E47D93" w14:textId="77777777" w:rsidTr="00FD49F6">
        <w:trPr>
          <w:trHeight w:val="270"/>
        </w:trPr>
        <w:tc>
          <w:tcPr>
            <w:tcW w:w="2800" w:type="dxa"/>
            <w:gridSpan w:val="4"/>
          </w:tcPr>
          <w:p w14:paraId="33459CDA" w14:textId="77777777" w:rsidR="005D2E65" w:rsidRPr="000C0B6C" w:rsidRDefault="005D2E65" w:rsidP="00690111">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6806" w:type="dxa"/>
            <w:gridSpan w:val="4"/>
          </w:tcPr>
          <w:p w14:paraId="109F1B3C" w14:textId="77777777" w:rsidR="005D2E65" w:rsidRPr="000731D0" w:rsidRDefault="00F07A19" w:rsidP="00690111">
            <w:r>
              <w:t>Abuja</w:t>
            </w:r>
          </w:p>
        </w:tc>
      </w:tr>
      <w:tr w:rsidR="005D2E65" w:rsidRPr="000C0B6C" w14:paraId="33D125AB" w14:textId="77777777" w:rsidTr="00FD49F6">
        <w:trPr>
          <w:trHeight w:val="280"/>
        </w:trPr>
        <w:tc>
          <w:tcPr>
            <w:tcW w:w="2800" w:type="dxa"/>
            <w:gridSpan w:val="4"/>
          </w:tcPr>
          <w:p w14:paraId="52B253C2" w14:textId="77777777" w:rsidR="005D2E65" w:rsidRPr="000C0B6C" w:rsidRDefault="005D2E65" w:rsidP="00690111">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6806" w:type="dxa"/>
            <w:gridSpan w:val="4"/>
          </w:tcPr>
          <w:p w14:paraId="1E440DC6" w14:textId="77777777" w:rsidR="005D2E65" w:rsidRPr="000731D0" w:rsidRDefault="00F07A19" w:rsidP="00690111">
            <w:r>
              <w:t>Nigeria</w:t>
            </w:r>
          </w:p>
        </w:tc>
      </w:tr>
      <w:tr w:rsidR="005D2E65" w:rsidRPr="000C0B6C" w14:paraId="79CF69AB" w14:textId="77777777" w:rsidTr="00FD49F6">
        <w:trPr>
          <w:trHeight w:val="233"/>
        </w:trPr>
        <w:tc>
          <w:tcPr>
            <w:tcW w:w="2800" w:type="dxa"/>
            <w:gridSpan w:val="4"/>
          </w:tcPr>
          <w:p w14:paraId="799EE88F" w14:textId="77777777" w:rsidR="005D2E65" w:rsidRPr="000C0B6C" w:rsidRDefault="005D2E65" w:rsidP="00690111">
            <w:pPr>
              <w:pStyle w:val="CommentSubject"/>
              <w:rPr>
                <w:sz w:val="22"/>
                <w:szCs w:val="22"/>
              </w:rPr>
            </w:pPr>
            <w:r w:rsidRPr="000C0B6C">
              <w:rPr>
                <w:sz w:val="22"/>
                <w:szCs w:val="22"/>
              </w:rPr>
              <w:t>E-mail:</w:t>
            </w:r>
          </w:p>
        </w:tc>
        <w:tc>
          <w:tcPr>
            <w:tcW w:w="6806" w:type="dxa"/>
            <w:gridSpan w:val="4"/>
          </w:tcPr>
          <w:p w14:paraId="604CB52D" w14:textId="77777777" w:rsidR="005D2E65" w:rsidRPr="00F15E27" w:rsidRDefault="00C775DC" w:rsidP="00B324C4">
            <w:hyperlink r:id="rId8" w:history="1">
              <w:r w:rsidR="00F07A19" w:rsidRPr="00D57B90">
                <w:rPr>
                  <w:rStyle w:val="Hyperlink"/>
                </w:rPr>
                <w:t>sikeadeegbuwalo@gmail.com</w:t>
              </w:r>
            </w:hyperlink>
            <w:r w:rsidR="00F07A19">
              <w:t xml:space="preserve"> </w:t>
            </w:r>
          </w:p>
        </w:tc>
      </w:tr>
      <w:tr w:rsidR="004F0B61" w:rsidRPr="000C0B6C" w14:paraId="4DCD03A8" w14:textId="77777777" w:rsidTr="00796A1A">
        <w:trPr>
          <w:trHeight w:val="224"/>
        </w:trPr>
        <w:tc>
          <w:tcPr>
            <w:tcW w:w="9606" w:type="dxa"/>
            <w:gridSpan w:val="8"/>
            <w:shd w:val="clear" w:color="auto" w:fill="C0C0C0"/>
          </w:tcPr>
          <w:p w14:paraId="2515BBA9" w14:textId="77777777" w:rsidR="004F0B61" w:rsidRPr="00063F6C" w:rsidRDefault="004F0B61" w:rsidP="00690111">
            <w:pPr>
              <w:jc w:val="center"/>
              <w:rPr>
                <w:b/>
                <w:i/>
              </w:rPr>
            </w:pPr>
            <w:r w:rsidRPr="00063F6C">
              <w:rPr>
                <w:b/>
                <w:i/>
                <w:highlight w:val="lightGray"/>
              </w:rPr>
              <w:t>General Comments</w:t>
            </w:r>
          </w:p>
        </w:tc>
      </w:tr>
      <w:tr w:rsidR="004F0B61" w:rsidRPr="00CB5914" w14:paraId="4C4457D8" w14:textId="77777777" w:rsidTr="00796A1A">
        <w:trPr>
          <w:trHeight w:val="224"/>
        </w:trPr>
        <w:tc>
          <w:tcPr>
            <w:tcW w:w="9606" w:type="dxa"/>
            <w:gridSpan w:val="8"/>
          </w:tcPr>
          <w:p w14:paraId="4D1225E3" w14:textId="77777777" w:rsidR="004F0B61" w:rsidRPr="00063F6C" w:rsidRDefault="004F0B61" w:rsidP="00690111">
            <w:pPr>
              <w:rPr>
                <w:b/>
                <w:sz w:val="22"/>
                <w:szCs w:val="22"/>
                <w:lang w:val="fr-SN"/>
              </w:rPr>
            </w:pPr>
          </w:p>
        </w:tc>
      </w:tr>
      <w:tr w:rsidR="004F0B61" w:rsidRPr="00CB5914" w14:paraId="72908EA6" w14:textId="77777777" w:rsidTr="00796A1A">
        <w:trPr>
          <w:trHeight w:val="224"/>
        </w:trPr>
        <w:tc>
          <w:tcPr>
            <w:tcW w:w="9606" w:type="dxa"/>
            <w:gridSpan w:val="8"/>
          </w:tcPr>
          <w:p w14:paraId="74EAE643" w14:textId="77777777" w:rsidR="004F0B61" w:rsidRPr="00063F6C" w:rsidRDefault="004F0B61" w:rsidP="00690111">
            <w:pPr>
              <w:rPr>
                <w:b/>
                <w:sz w:val="22"/>
                <w:szCs w:val="22"/>
                <w:lang w:val="fr-SN"/>
              </w:rPr>
            </w:pPr>
          </w:p>
        </w:tc>
      </w:tr>
      <w:tr w:rsidR="004F0B61" w:rsidRPr="00CB5914" w14:paraId="34643764" w14:textId="77777777" w:rsidTr="00796A1A">
        <w:trPr>
          <w:trHeight w:val="224"/>
        </w:trPr>
        <w:tc>
          <w:tcPr>
            <w:tcW w:w="9606" w:type="dxa"/>
            <w:gridSpan w:val="8"/>
          </w:tcPr>
          <w:p w14:paraId="2EBD6F51" w14:textId="77777777" w:rsidR="004F0B61" w:rsidRPr="00063F6C" w:rsidRDefault="004F0B61" w:rsidP="00690111">
            <w:pPr>
              <w:rPr>
                <w:b/>
                <w:sz w:val="22"/>
                <w:szCs w:val="22"/>
                <w:lang w:val="fr-SN"/>
              </w:rPr>
            </w:pPr>
          </w:p>
        </w:tc>
      </w:tr>
      <w:tr w:rsidR="004F0B61" w:rsidRPr="00CB5914" w14:paraId="3B447291" w14:textId="77777777" w:rsidTr="00796A1A">
        <w:trPr>
          <w:trHeight w:val="224"/>
        </w:trPr>
        <w:tc>
          <w:tcPr>
            <w:tcW w:w="9606" w:type="dxa"/>
            <w:gridSpan w:val="8"/>
          </w:tcPr>
          <w:p w14:paraId="03ADBD51" w14:textId="77777777" w:rsidR="004F0B61" w:rsidRPr="00063F6C" w:rsidRDefault="004F0B61" w:rsidP="00690111">
            <w:pPr>
              <w:rPr>
                <w:b/>
                <w:sz w:val="22"/>
                <w:szCs w:val="22"/>
                <w:lang w:val="fr-SN"/>
              </w:rPr>
            </w:pPr>
          </w:p>
        </w:tc>
      </w:tr>
      <w:tr w:rsidR="004F0B61" w:rsidRPr="000C0B6C" w14:paraId="346DE3B5" w14:textId="77777777" w:rsidTr="00796A1A">
        <w:trPr>
          <w:trHeight w:val="224"/>
        </w:trPr>
        <w:tc>
          <w:tcPr>
            <w:tcW w:w="9606" w:type="dxa"/>
            <w:gridSpan w:val="8"/>
            <w:shd w:val="clear" w:color="auto" w:fill="C0C0C0"/>
          </w:tcPr>
          <w:p w14:paraId="4BEBE99C" w14:textId="77777777" w:rsidR="004F0B61" w:rsidRPr="000C0B6C" w:rsidRDefault="004F0B61" w:rsidP="00796A1A">
            <w:pPr>
              <w:jc w:val="center"/>
              <w:rPr>
                <w:b/>
                <w:i/>
              </w:rPr>
            </w:pPr>
            <w:r>
              <w:rPr>
                <w:b/>
                <w:i/>
                <w:highlight w:val="lightGray"/>
              </w:rPr>
              <w:t xml:space="preserve">Specific </w:t>
            </w:r>
            <w:r w:rsidRPr="000C0B6C">
              <w:rPr>
                <w:b/>
                <w:i/>
                <w:highlight w:val="lightGray"/>
              </w:rPr>
              <w:t>Comments</w:t>
            </w:r>
          </w:p>
        </w:tc>
      </w:tr>
      <w:tr w:rsidR="005D2E65" w:rsidRPr="000C0B6C" w14:paraId="030DA4E5" w14:textId="77777777" w:rsidTr="005D6649">
        <w:trPr>
          <w:trHeight w:val="224"/>
        </w:trPr>
        <w:tc>
          <w:tcPr>
            <w:tcW w:w="817" w:type="dxa"/>
          </w:tcPr>
          <w:p w14:paraId="76C56F04" w14:textId="77777777" w:rsidR="005D2E65" w:rsidRPr="000C0B6C" w:rsidRDefault="005D2E65" w:rsidP="00690111">
            <w:pPr>
              <w:rPr>
                <w:b/>
                <w:sz w:val="22"/>
                <w:szCs w:val="22"/>
              </w:rPr>
            </w:pPr>
            <w:r>
              <w:rPr>
                <w:b/>
                <w:sz w:val="22"/>
                <w:szCs w:val="22"/>
              </w:rPr>
              <w:t>Table</w:t>
            </w:r>
          </w:p>
        </w:tc>
        <w:tc>
          <w:tcPr>
            <w:tcW w:w="814" w:type="dxa"/>
          </w:tcPr>
          <w:p w14:paraId="0F40EB9C" w14:textId="77777777" w:rsidR="005D2E65" w:rsidRPr="000C0B6C" w:rsidRDefault="005D2E65" w:rsidP="00690111">
            <w:pPr>
              <w:rPr>
                <w:b/>
                <w:sz w:val="22"/>
                <w:szCs w:val="22"/>
              </w:rPr>
            </w:pPr>
            <w:r w:rsidRPr="000C0B6C">
              <w:rPr>
                <w:b/>
                <w:sz w:val="22"/>
                <w:szCs w:val="22"/>
              </w:rPr>
              <w:t>Page</w:t>
            </w:r>
          </w:p>
        </w:tc>
        <w:tc>
          <w:tcPr>
            <w:tcW w:w="974" w:type="dxa"/>
          </w:tcPr>
          <w:p w14:paraId="489B7C97" w14:textId="77777777" w:rsidR="005D2E65" w:rsidRPr="000C0B6C" w:rsidRDefault="005D2E65" w:rsidP="00690111">
            <w:pPr>
              <w:rPr>
                <w:b/>
              </w:rPr>
            </w:pPr>
            <w:r>
              <w:rPr>
                <w:b/>
                <w:sz w:val="22"/>
                <w:szCs w:val="22"/>
              </w:rPr>
              <w:t>Column letter</w:t>
            </w:r>
          </w:p>
        </w:tc>
        <w:tc>
          <w:tcPr>
            <w:tcW w:w="1238" w:type="dxa"/>
            <w:gridSpan w:val="2"/>
          </w:tcPr>
          <w:p w14:paraId="10077A2F" w14:textId="77777777" w:rsidR="005D2E65" w:rsidRPr="000C0B6C" w:rsidRDefault="005D2E65" w:rsidP="00211568">
            <w:pPr>
              <w:rPr>
                <w:b/>
              </w:rPr>
            </w:pPr>
            <w:r>
              <w:rPr>
                <w:b/>
              </w:rPr>
              <w:t>Row number</w:t>
            </w:r>
          </w:p>
        </w:tc>
        <w:tc>
          <w:tcPr>
            <w:tcW w:w="5763" w:type="dxa"/>
            <w:gridSpan w:val="3"/>
          </w:tcPr>
          <w:p w14:paraId="09E721F0" w14:textId="77777777" w:rsidR="005D2E65" w:rsidRPr="000C0B6C" w:rsidRDefault="005D2E65" w:rsidP="00690111">
            <w:pPr>
              <w:rPr>
                <w:b/>
              </w:rPr>
            </w:pPr>
            <w:r w:rsidRPr="000C0B6C">
              <w:rPr>
                <w:b/>
                <w:sz w:val="22"/>
                <w:szCs w:val="22"/>
              </w:rPr>
              <w:t>Comment</w:t>
            </w:r>
          </w:p>
        </w:tc>
      </w:tr>
      <w:tr w:rsidR="00F15E27" w:rsidRPr="003F6FA5" w14:paraId="4E38F062" w14:textId="77777777" w:rsidTr="005D6649">
        <w:trPr>
          <w:trHeight w:val="224"/>
        </w:trPr>
        <w:tc>
          <w:tcPr>
            <w:tcW w:w="817" w:type="dxa"/>
          </w:tcPr>
          <w:p w14:paraId="3D7B9B37" w14:textId="77777777" w:rsidR="00F15E27" w:rsidRPr="003F6FA5" w:rsidRDefault="00F15E27" w:rsidP="00F15E27">
            <w:r w:rsidRPr="003F6FA5">
              <w:t>1</w:t>
            </w:r>
          </w:p>
        </w:tc>
        <w:tc>
          <w:tcPr>
            <w:tcW w:w="814" w:type="dxa"/>
          </w:tcPr>
          <w:p w14:paraId="49FE6566" w14:textId="1615A749" w:rsidR="00F15E27" w:rsidRPr="003F6FA5" w:rsidRDefault="00CC0EF5" w:rsidP="00F15E27">
            <w:r>
              <w:t>3</w:t>
            </w:r>
          </w:p>
        </w:tc>
        <w:tc>
          <w:tcPr>
            <w:tcW w:w="974" w:type="dxa"/>
          </w:tcPr>
          <w:p w14:paraId="3F84D16C" w14:textId="77777777" w:rsidR="00F15E27" w:rsidRPr="003F6FA5" w:rsidRDefault="00F15E27" w:rsidP="00F15E27">
            <w:r w:rsidRPr="003F6FA5">
              <w:t>B</w:t>
            </w:r>
          </w:p>
        </w:tc>
        <w:tc>
          <w:tcPr>
            <w:tcW w:w="1238" w:type="dxa"/>
            <w:gridSpan w:val="2"/>
          </w:tcPr>
          <w:p w14:paraId="6562EE21" w14:textId="77777777" w:rsidR="00F15E27" w:rsidRPr="003F6FA5" w:rsidRDefault="00F15E27" w:rsidP="00F15E27">
            <w:r w:rsidRPr="003F6FA5">
              <w:t>25-26</w:t>
            </w:r>
          </w:p>
        </w:tc>
        <w:tc>
          <w:tcPr>
            <w:tcW w:w="5763" w:type="dxa"/>
            <w:gridSpan w:val="3"/>
          </w:tcPr>
          <w:p w14:paraId="1F565649" w14:textId="77777777" w:rsidR="00F15E27" w:rsidRDefault="00F15E27" w:rsidP="00F15E27">
            <w:r>
              <w:t>In addition to “</w:t>
            </w:r>
            <w:r w:rsidRPr="006761F6">
              <w:t>Trends in fragmentation and quality of other marine and coastal ecosystems</w:t>
            </w:r>
            <w:r>
              <w:t>”, we recommend adding a monitoring element on interconnectivity of marine protected areas which is critical, for example, for the protection of highly migratory species. The WDPA may be used to assess this.</w:t>
            </w:r>
          </w:p>
        </w:tc>
      </w:tr>
      <w:tr w:rsidR="00CC0EF5" w:rsidRPr="00F15E27" w14:paraId="380FEB1D" w14:textId="77777777" w:rsidTr="005D6649">
        <w:trPr>
          <w:trHeight w:val="224"/>
        </w:trPr>
        <w:tc>
          <w:tcPr>
            <w:tcW w:w="817" w:type="dxa"/>
          </w:tcPr>
          <w:p w14:paraId="6B7C6A8E" w14:textId="55BB8097" w:rsidR="00CC0EF5" w:rsidRPr="003F6FA5" w:rsidRDefault="00CC0EF5" w:rsidP="00F15E27">
            <w:r>
              <w:t>1</w:t>
            </w:r>
          </w:p>
        </w:tc>
        <w:tc>
          <w:tcPr>
            <w:tcW w:w="814" w:type="dxa"/>
          </w:tcPr>
          <w:p w14:paraId="1F10B99B" w14:textId="1540FE85" w:rsidR="00CC0EF5" w:rsidRPr="003F6FA5" w:rsidRDefault="00CC0EF5" w:rsidP="00F15E27">
            <w:r>
              <w:t>3</w:t>
            </w:r>
          </w:p>
        </w:tc>
        <w:tc>
          <w:tcPr>
            <w:tcW w:w="974" w:type="dxa"/>
          </w:tcPr>
          <w:p w14:paraId="5FAD3810" w14:textId="7970E9BD" w:rsidR="00CC0EF5" w:rsidRPr="003F6FA5" w:rsidRDefault="00CC0EF5" w:rsidP="00F15E27">
            <w:r>
              <w:t>C</w:t>
            </w:r>
          </w:p>
        </w:tc>
        <w:tc>
          <w:tcPr>
            <w:tcW w:w="1238" w:type="dxa"/>
            <w:gridSpan w:val="2"/>
          </w:tcPr>
          <w:p w14:paraId="134CA5F7" w14:textId="25372B6B" w:rsidR="00CC0EF5" w:rsidRPr="003F6FA5" w:rsidRDefault="00CC0EF5" w:rsidP="00F15E27">
            <w:r>
              <w:t>29</w:t>
            </w:r>
          </w:p>
        </w:tc>
        <w:tc>
          <w:tcPr>
            <w:tcW w:w="5763" w:type="dxa"/>
            <w:gridSpan w:val="3"/>
          </w:tcPr>
          <w:p w14:paraId="7E87BAA3" w14:textId="0684730D" w:rsidR="00CC0EF5" w:rsidRPr="006761F6" w:rsidRDefault="00CC0EF5" w:rsidP="000F5D0D">
            <w:pPr>
              <w:tabs>
                <w:tab w:val="left" w:pos="1750"/>
              </w:tabs>
            </w:pPr>
            <w:r>
              <w:t>Delete the parenthesis specifying that the extinction indicator would be limited to birds and mammals. T</w:t>
            </w:r>
            <w:r w:rsidRPr="000F5D0D">
              <w:t>he IPBES Global Assessment found that 40 per cent of amphibian species, almost a third of reef-forming corals, sharks and shark relatives are currently threatened with extinction</w:t>
            </w:r>
            <w:r w:rsidR="0021692B">
              <w:t>. The indicator needs to be comprehensive enough to address the full range of IPBES findings on the extinction crisis.</w:t>
            </w:r>
          </w:p>
        </w:tc>
      </w:tr>
      <w:tr w:rsidR="0021692B" w:rsidRPr="00F15E27" w14:paraId="5BE306EC" w14:textId="77777777" w:rsidTr="005D6649">
        <w:trPr>
          <w:trHeight w:val="224"/>
        </w:trPr>
        <w:tc>
          <w:tcPr>
            <w:tcW w:w="817" w:type="dxa"/>
          </w:tcPr>
          <w:p w14:paraId="0CFA2FAF" w14:textId="321B3BE1" w:rsidR="0021692B" w:rsidRPr="003F6FA5" w:rsidRDefault="0021692B" w:rsidP="0021692B">
            <w:r>
              <w:t>1</w:t>
            </w:r>
          </w:p>
        </w:tc>
        <w:tc>
          <w:tcPr>
            <w:tcW w:w="814" w:type="dxa"/>
          </w:tcPr>
          <w:p w14:paraId="75040B5C" w14:textId="59D4F496" w:rsidR="0021692B" w:rsidRPr="003F6FA5" w:rsidRDefault="0021692B" w:rsidP="0021692B">
            <w:r>
              <w:t>3</w:t>
            </w:r>
          </w:p>
        </w:tc>
        <w:tc>
          <w:tcPr>
            <w:tcW w:w="974" w:type="dxa"/>
          </w:tcPr>
          <w:p w14:paraId="3734D0DE" w14:textId="59B81421" w:rsidR="0021692B" w:rsidRPr="003F6FA5" w:rsidRDefault="0021692B" w:rsidP="0021692B">
            <w:r>
              <w:t>C</w:t>
            </w:r>
          </w:p>
        </w:tc>
        <w:tc>
          <w:tcPr>
            <w:tcW w:w="1238" w:type="dxa"/>
            <w:gridSpan w:val="2"/>
          </w:tcPr>
          <w:p w14:paraId="003DA5A6" w14:textId="5A13BE0C" w:rsidR="0021692B" w:rsidRPr="003F6FA5" w:rsidRDefault="0021692B" w:rsidP="0021692B">
            <w:r>
              <w:t>30</w:t>
            </w:r>
          </w:p>
        </w:tc>
        <w:tc>
          <w:tcPr>
            <w:tcW w:w="5763" w:type="dxa"/>
            <w:gridSpan w:val="3"/>
          </w:tcPr>
          <w:p w14:paraId="58089257" w14:textId="72699EB1" w:rsidR="0021692B" w:rsidRPr="006761F6" w:rsidRDefault="0021692B" w:rsidP="0021692B">
            <w:r>
              <w:t xml:space="preserve">Use the number of threatened species protected </w:t>
            </w:r>
            <w:r w:rsidR="005515DC">
              <w:t xml:space="preserve">by conservation action </w:t>
            </w:r>
            <w:r>
              <w:t xml:space="preserve">as an indicator instead of referring to the number of extinctions prevented </w:t>
            </w:r>
            <w:r w:rsidR="005515DC">
              <w:t>(the number of extinctions prevented is impossible to evaluate whereas the number of threatened species protected is tangible and concrete).</w:t>
            </w:r>
          </w:p>
        </w:tc>
      </w:tr>
      <w:tr w:rsidR="005515DC" w:rsidRPr="00F15E27" w14:paraId="177BA9FB" w14:textId="77777777" w:rsidTr="005D6649">
        <w:trPr>
          <w:trHeight w:val="224"/>
        </w:trPr>
        <w:tc>
          <w:tcPr>
            <w:tcW w:w="817" w:type="dxa"/>
          </w:tcPr>
          <w:p w14:paraId="3D9DBF1E" w14:textId="7E34CCE2" w:rsidR="005515DC" w:rsidRPr="003F6FA5" w:rsidRDefault="005515DC" w:rsidP="00F15E27">
            <w:r>
              <w:t>1</w:t>
            </w:r>
          </w:p>
        </w:tc>
        <w:tc>
          <w:tcPr>
            <w:tcW w:w="814" w:type="dxa"/>
          </w:tcPr>
          <w:p w14:paraId="67B9A495" w14:textId="4AA4FDFA" w:rsidR="005515DC" w:rsidRPr="003F6FA5" w:rsidRDefault="005515DC" w:rsidP="00F15E27">
            <w:r>
              <w:t>3</w:t>
            </w:r>
          </w:p>
        </w:tc>
        <w:tc>
          <w:tcPr>
            <w:tcW w:w="974" w:type="dxa"/>
          </w:tcPr>
          <w:p w14:paraId="57EBDB4B" w14:textId="1FD4EEC3" w:rsidR="005515DC" w:rsidRPr="003F6FA5" w:rsidRDefault="005515DC" w:rsidP="00F15E27">
            <w:r>
              <w:t>A4</w:t>
            </w:r>
          </w:p>
        </w:tc>
        <w:tc>
          <w:tcPr>
            <w:tcW w:w="1238" w:type="dxa"/>
            <w:gridSpan w:val="2"/>
          </w:tcPr>
          <w:p w14:paraId="0E48AD0F" w14:textId="65B9C0E8" w:rsidR="005515DC" w:rsidRPr="003F6FA5" w:rsidRDefault="005515DC" w:rsidP="00F15E27">
            <w:r>
              <w:t>34-35</w:t>
            </w:r>
          </w:p>
        </w:tc>
        <w:tc>
          <w:tcPr>
            <w:tcW w:w="5763" w:type="dxa"/>
            <w:gridSpan w:val="3"/>
          </w:tcPr>
          <w:p w14:paraId="1523BFA4" w14:textId="406C46C3" w:rsidR="005515DC" w:rsidRPr="006761F6" w:rsidRDefault="005515DC" w:rsidP="00F15E27">
            <w:r>
              <w:t>Turn the word “population” to the plural form (to read “A4. Increase the populations and health of species).</w:t>
            </w:r>
          </w:p>
        </w:tc>
      </w:tr>
      <w:tr w:rsidR="00F15E27" w:rsidRPr="00F15E27" w14:paraId="7FFF28D6" w14:textId="77777777" w:rsidTr="005D6649">
        <w:trPr>
          <w:trHeight w:val="224"/>
        </w:trPr>
        <w:tc>
          <w:tcPr>
            <w:tcW w:w="817" w:type="dxa"/>
          </w:tcPr>
          <w:p w14:paraId="796AAC7A" w14:textId="77777777" w:rsidR="00F15E27" w:rsidRPr="003F6FA5" w:rsidRDefault="00F15E27" w:rsidP="00F15E27">
            <w:r w:rsidRPr="003F6FA5">
              <w:lastRenderedPageBreak/>
              <w:t>1</w:t>
            </w:r>
          </w:p>
        </w:tc>
        <w:tc>
          <w:tcPr>
            <w:tcW w:w="814" w:type="dxa"/>
          </w:tcPr>
          <w:p w14:paraId="0C67AC19" w14:textId="77777777" w:rsidR="00F15E27" w:rsidRPr="003F6FA5" w:rsidRDefault="00F15E27" w:rsidP="00F15E27">
            <w:r w:rsidRPr="003F6FA5">
              <w:t>3</w:t>
            </w:r>
          </w:p>
        </w:tc>
        <w:tc>
          <w:tcPr>
            <w:tcW w:w="974" w:type="dxa"/>
          </w:tcPr>
          <w:p w14:paraId="00420497" w14:textId="77777777" w:rsidR="00F15E27" w:rsidRPr="003F6FA5" w:rsidRDefault="00F15E27" w:rsidP="00F15E27">
            <w:r w:rsidRPr="003F6FA5">
              <w:t>C</w:t>
            </w:r>
          </w:p>
        </w:tc>
        <w:tc>
          <w:tcPr>
            <w:tcW w:w="1238" w:type="dxa"/>
            <w:gridSpan w:val="2"/>
          </w:tcPr>
          <w:p w14:paraId="7FB6CF98" w14:textId="77777777" w:rsidR="00F15E27" w:rsidRPr="003F6FA5" w:rsidRDefault="00F15E27" w:rsidP="00F15E27">
            <w:r w:rsidRPr="003F6FA5">
              <w:t>34-35</w:t>
            </w:r>
          </w:p>
        </w:tc>
        <w:tc>
          <w:tcPr>
            <w:tcW w:w="5763" w:type="dxa"/>
            <w:gridSpan w:val="3"/>
          </w:tcPr>
          <w:p w14:paraId="23470A02" w14:textId="77777777" w:rsidR="00F15E27" w:rsidRDefault="00F15E27" w:rsidP="00F15E27">
            <w:r w:rsidRPr="006761F6">
              <w:t xml:space="preserve">It could be argued that a fisheries indicator is </w:t>
            </w:r>
            <w:r>
              <w:t xml:space="preserve">from Goal A and specifically section A4 and A5 as well. Unsustainable and excessive fishing </w:t>
            </w:r>
            <w:r w:rsidRPr="006761F6">
              <w:t>obviously threaten</w:t>
            </w:r>
            <w:r>
              <w:t>s</w:t>
            </w:r>
            <w:r w:rsidRPr="006761F6">
              <w:t xml:space="preserve"> the resilience of species and their genetic diversity</w:t>
            </w:r>
            <w:r>
              <w:t xml:space="preserve">. The following are several recommended indicators for consideration: </w:t>
            </w:r>
          </w:p>
          <w:p w14:paraId="7757C677" w14:textId="77777777" w:rsidR="00F15E27" w:rsidRDefault="00F15E27" w:rsidP="00F15E27">
            <w:pPr>
              <w:ind w:left="319" w:hanging="119"/>
            </w:pPr>
            <w:r>
              <w:t xml:space="preserve">- </w:t>
            </w:r>
            <w:r w:rsidRPr="00490A1B">
              <w:t xml:space="preserve">Fisheries Management Effectiveness </w:t>
            </w:r>
            <w:r>
              <w:t>(Ocean Health Index)</w:t>
            </w:r>
          </w:p>
          <w:p w14:paraId="7D65B7F7" w14:textId="77777777" w:rsidR="00F15E27" w:rsidRDefault="00F15E27" w:rsidP="00F15E27">
            <w:pPr>
              <w:ind w:left="319" w:hanging="119"/>
            </w:pPr>
            <w:r>
              <w:t xml:space="preserve">- </w:t>
            </w:r>
            <w:r w:rsidRPr="00490A1B">
              <w:t>Number of fisheries with precautionary science-based management plans</w:t>
            </w:r>
          </w:p>
          <w:p w14:paraId="424F7EEF" w14:textId="77777777" w:rsidR="00F15E27" w:rsidRDefault="00F15E27" w:rsidP="00F15E27">
            <w:pPr>
              <w:ind w:left="319" w:hanging="119"/>
            </w:pPr>
            <w:r>
              <w:t xml:space="preserve">- </w:t>
            </w:r>
            <w:r w:rsidRPr="00490A1B">
              <w:t>Changes in the ecological health and stock abundance of fisheries</w:t>
            </w:r>
          </w:p>
          <w:p w14:paraId="7EC56891" w14:textId="77777777" w:rsidR="00F15E27" w:rsidRDefault="00F15E27" w:rsidP="00F15E27">
            <w:pPr>
              <w:ind w:left="319" w:hanging="119"/>
            </w:pPr>
            <w:r>
              <w:t>- Number of fisheries where full harvest strategies have been adopted, implemented, or are in development.</w:t>
            </w:r>
          </w:p>
          <w:p w14:paraId="76498965" w14:textId="77777777" w:rsidR="00F15E27" w:rsidRDefault="00F15E27" w:rsidP="00F15E27">
            <w:pPr>
              <w:ind w:left="319" w:hanging="119"/>
            </w:pPr>
            <w:r>
              <w:t>- Number of fisheries with sufficient observer coverage systems to address illegal and/or unsustainable harvest and to correctly estimate bycatch rates.</w:t>
            </w:r>
          </w:p>
          <w:p w14:paraId="7E28D84E" w14:textId="77777777" w:rsidR="00F15E27" w:rsidRPr="00F15E27" w:rsidRDefault="00F15E27" w:rsidP="00F15E27">
            <w:pPr>
              <w:ind w:left="319" w:hanging="119"/>
            </w:pPr>
            <w:r>
              <w:t>- Number of fisheries where management is based on formal stock assessments</w:t>
            </w:r>
          </w:p>
        </w:tc>
      </w:tr>
      <w:tr w:rsidR="002172D0" w:rsidRPr="00F15E27" w14:paraId="7E222077" w14:textId="77777777" w:rsidTr="005D6649">
        <w:trPr>
          <w:trHeight w:val="224"/>
        </w:trPr>
        <w:tc>
          <w:tcPr>
            <w:tcW w:w="817" w:type="dxa"/>
          </w:tcPr>
          <w:p w14:paraId="26E39C47" w14:textId="31BF8C4B" w:rsidR="002172D0" w:rsidRPr="003F6FA5" w:rsidRDefault="002172D0" w:rsidP="002172D0">
            <w:r>
              <w:rPr>
                <w:sz w:val="22"/>
                <w:szCs w:val="22"/>
                <w:lang w:eastAsia="ja-JP"/>
              </w:rPr>
              <w:t>1</w:t>
            </w:r>
          </w:p>
        </w:tc>
        <w:tc>
          <w:tcPr>
            <w:tcW w:w="814" w:type="dxa"/>
          </w:tcPr>
          <w:p w14:paraId="04EF27EA" w14:textId="1C75DDA8" w:rsidR="002172D0" w:rsidRPr="003F6FA5" w:rsidRDefault="002172D0" w:rsidP="002172D0">
            <w:r>
              <w:rPr>
                <w:sz w:val="22"/>
                <w:szCs w:val="22"/>
                <w:lang w:eastAsia="ja-JP"/>
              </w:rPr>
              <w:t>5</w:t>
            </w:r>
          </w:p>
        </w:tc>
        <w:tc>
          <w:tcPr>
            <w:tcW w:w="974" w:type="dxa"/>
          </w:tcPr>
          <w:p w14:paraId="65DAE07F" w14:textId="70C549A6" w:rsidR="002172D0" w:rsidRPr="003F6FA5" w:rsidRDefault="002172D0" w:rsidP="002172D0">
            <w:r>
              <w:rPr>
                <w:sz w:val="22"/>
                <w:szCs w:val="22"/>
                <w:lang w:eastAsia="ja-JP"/>
              </w:rPr>
              <w:t>B</w:t>
            </w:r>
          </w:p>
        </w:tc>
        <w:tc>
          <w:tcPr>
            <w:tcW w:w="1238" w:type="dxa"/>
            <w:gridSpan w:val="2"/>
          </w:tcPr>
          <w:p w14:paraId="18E35396" w14:textId="1D65496D" w:rsidR="002172D0" w:rsidRPr="003F6FA5" w:rsidRDefault="002172D0" w:rsidP="002172D0">
            <w:r>
              <w:t>51-63</w:t>
            </w:r>
          </w:p>
        </w:tc>
        <w:tc>
          <w:tcPr>
            <w:tcW w:w="5763" w:type="dxa"/>
            <w:gridSpan w:val="3"/>
          </w:tcPr>
          <w:p w14:paraId="640A6719" w14:textId="43504277" w:rsidR="002172D0" w:rsidRPr="006761F6" w:rsidRDefault="002172D0" w:rsidP="002172D0">
            <w:r>
              <w:rPr>
                <w:sz w:val="22"/>
                <w:szCs w:val="22"/>
              </w:rPr>
              <w:t>Under the “B1. Nature’s regulating contributions including climate regulation, disaster prevention and other” monitoring elements, add a new monitoring element of “Trends in the regulation of Biodiversity” to measure progress towards national and international policy setting (legislation and regulation) that is protective of biodiversity. The focus here would be to monitor compliance and implementation under MEAs as well as progress made in strengthening national environmental policies and their implementation.</w:t>
            </w:r>
          </w:p>
        </w:tc>
      </w:tr>
      <w:tr w:rsidR="00F15E27" w:rsidRPr="00F15E27" w14:paraId="430688D1" w14:textId="77777777" w:rsidTr="005D6649">
        <w:trPr>
          <w:trHeight w:val="224"/>
        </w:trPr>
        <w:tc>
          <w:tcPr>
            <w:tcW w:w="817" w:type="dxa"/>
          </w:tcPr>
          <w:p w14:paraId="7ACE875C" w14:textId="77777777" w:rsidR="00F15E27" w:rsidRPr="000C0B6C" w:rsidRDefault="00F15E27" w:rsidP="00F15E27">
            <w:r>
              <w:t>2</w:t>
            </w:r>
          </w:p>
        </w:tc>
        <w:tc>
          <w:tcPr>
            <w:tcW w:w="814" w:type="dxa"/>
          </w:tcPr>
          <w:p w14:paraId="602BCABB" w14:textId="77777777" w:rsidR="00F15E27" w:rsidRPr="000C0B6C" w:rsidRDefault="00F15E27" w:rsidP="00F15E27">
            <w:r>
              <w:t>8</w:t>
            </w:r>
          </w:p>
        </w:tc>
        <w:tc>
          <w:tcPr>
            <w:tcW w:w="974" w:type="dxa"/>
          </w:tcPr>
          <w:p w14:paraId="0B0D60F2" w14:textId="77777777" w:rsidR="00F15E27" w:rsidRPr="000C0B6C" w:rsidRDefault="00F15E27" w:rsidP="00F15E27">
            <w:r>
              <w:t>B</w:t>
            </w:r>
          </w:p>
        </w:tc>
        <w:tc>
          <w:tcPr>
            <w:tcW w:w="1238" w:type="dxa"/>
            <w:gridSpan w:val="2"/>
          </w:tcPr>
          <w:p w14:paraId="1B4CE4CE" w14:textId="77777777" w:rsidR="00F15E27" w:rsidRPr="000C0B6C" w:rsidRDefault="00F15E27" w:rsidP="00F15E27">
            <w:r>
              <w:t>1</w:t>
            </w:r>
          </w:p>
        </w:tc>
        <w:tc>
          <w:tcPr>
            <w:tcW w:w="5763" w:type="dxa"/>
            <w:gridSpan w:val="3"/>
          </w:tcPr>
          <w:p w14:paraId="6FF271D9" w14:textId="77777777" w:rsidR="00F15E27" w:rsidRPr="00F15E27" w:rsidRDefault="00F15E27" w:rsidP="00F15E27">
            <w:r w:rsidRPr="00F15E27">
              <w:t>Correct the monitoring element that currently reads “</w:t>
            </w:r>
            <w:r w:rsidRPr="00F15E27">
              <w:rPr>
                <w:b/>
                <w:bCs/>
              </w:rPr>
              <w:t>Trends</w:t>
            </w:r>
            <w:r w:rsidRPr="00F15E27">
              <w:t xml:space="preserve"> in area under spatial land-use plans” to say “</w:t>
            </w:r>
            <w:r w:rsidRPr="00F15E27">
              <w:rPr>
                <w:b/>
                <w:bCs/>
                <w:u w:val="double"/>
              </w:rPr>
              <w:t>Increase</w:t>
            </w:r>
            <w:r w:rsidRPr="00F15E27">
              <w:t xml:space="preserve"> in area under spatial land-use plans”</w:t>
            </w:r>
          </w:p>
        </w:tc>
      </w:tr>
      <w:tr w:rsidR="00755AD5" w:rsidRPr="00F15E27" w14:paraId="6AB5325E" w14:textId="77777777" w:rsidTr="005D6649">
        <w:trPr>
          <w:trHeight w:val="224"/>
        </w:trPr>
        <w:tc>
          <w:tcPr>
            <w:tcW w:w="817" w:type="dxa"/>
          </w:tcPr>
          <w:p w14:paraId="6CBBA4D9" w14:textId="77777777" w:rsidR="00755AD5" w:rsidRDefault="00755AD5" w:rsidP="00F15E27">
            <w:r>
              <w:t>2</w:t>
            </w:r>
          </w:p>
        </w:tc>
        <w:tc>
          <w:tcPr>
            <w:tcW w:w="814" w:type="dxa"/>
          </w:tcPr>
          <w:p w14:paraId="75AFFA63" w14:textId="77777777" w:rsidR="00755AD5" w:rsidRDefault="00755AD5" w:rsidP="00F15E27">
            <w:r>
              <w:t>8</w:t>
            </w:r>
          </w:p>
        </w:tc>
        <w:tc>
          <w:tcPr>
            <w:tcW w:w="974" w:type="dxa"/>
          </w:tcPr>
          <w:p w14:paraId="7B2594FB" w14:textId="77777777" w:rsidR="00755AD5" w:rsidRDefault="00755AD5" w:rsidP="00F15E27">
            <w:r>
              <w:t>B</w:t>
            </w:r>
          </w:p>
        </w:tc>
        <w:tc>
          <w:tcPr>
            <w:tcW w:w="1238" w:type="dxa"/>
            <w:gridSpan w:val="2"/>
          </w:tcPr>
          <w:p w14:paraId="6BD16C79" w14:textId="77777777" w:rsidR="00755AD5" w:rsidRDefault="00755AD5" w:rsidP="00F15E27">
            <w:r>
              <w:t>6-11</w:t>
            </w:r>
          </w:p>
        </w:tc>
        <w:tc>
          <w:tcPr>
            <w:tcW w:w="5763" w:type="dxa"/>
            <w:gridSpan w:val="3"/>
          </w:tcPr>
          <w:p w14:paraId="5C3B5192" w14:textId="77777777" w:rsidR="00755AD5" w:rsidRPr="00F15E27" w:rsidRDefault="00755AD5" w:rsidP="00F15E27">
            <w:r w:rsidRPr="000020C9">
              <w:t xml:space="preserve">We recommend adding trends in </w:t>
            </w:r>
            <w:r w:rsidRPr="000020C9">
              <w:rPr>
                <w:u w:val="single"/>
              </w:rPr>
              <w:t>ecosystem integrity</w:t>
            </w:r>
            <w:r w:rsidRPr="000020C9">
              <w:t xml:space="preserve"> as a monitoring element with the following new indicator</w:t>
            </w:r>
            <w:proofErr w:type="gramStart"/>
            <w:r w:rsidRPr="000020C9">
              <w:t>:  “</w:t>
            </w:r>
            <w:proofErr w:type="gramEnd"/>
            <w:r w:rsidRPr="000020C9">
              <w:t>Ecosystem Integrity” (found within Ocean Health Index)</w:t>
            </w:r>
          </w:p>
        </w:tc>
      </w:tr>
      <w:tr w:rsidR="00F15E27" w:rsidRPr="00BE48DE" w14:paraId="12CA8E23" w14:textId="77777777" w:rsidTr="005D6649">
        <w:trPr>
          <w:trHeight w:val="224"/>
        </w:trPr>
        <w:tc>
          <w:tcPr>
            <w:tcW w:w="817" w:type="dxa"/>
          </w:tcPr>
          <w:p w14:paraId="445A224E" w14:textId="77777777" w:rsidR="00F15E27" w:rsidRPr="00BE48DE" w:rsidRDefault="00F15E27" w:rsidP="00F15E27">
            <w:r w:rsidRPr="00BE48DE">
              <w:t>2</w:t>
            </w:r>
          </w:p>
        </w:tc>
        <w:tc>
          <w:tcPr>
            <w:tcW w:w="814" w:type="dxa"/>
          </w:tcPr>
          <w:p w14:paraId="50E2E23A" w14:textId="77777777" w:rsidR="00F15E27" w:rsidRPr="00BE48DE" w:rsidRDefault="00F15E27" w:rsidP="00F15E27">
            <w:r w:rsidRPr="00BE48DE">
              <w:t>10</w:t>
            </w:r>
          </w:p>
        </w:tc>
        <w:tc>
          <w:tcPr>
            <w:tcW w:w="974" w:type="dxa"/>
          </w:tcPr>
          <w:p w14:paraId="2B0DA762" w14:textId="77777777" w:rsidR="00F15E27" w:rsidRPr="00BE48DE" w:rsidRDefault="00F15E27" w:rsidP="00F15E27">
            <w:r w:rsidRPr="00BE48DE">
              <w:t>B</w:t>
            </w:r>
          </w:p>
        </w:tc>
        <w:tc>
          <w:tcPr>
            <w:tcW w:w="1238" w:type="dxa"/>
            <w:gridSpan w:val="2"/>
          </w:tcPr>
          <w:p w14:paraId="45DB2C0C" w14:textId="77777777" w:rsidR="00F15E27" w:rsidRPr="00BE48DE" w:rsidRDefault="00F15E27" w:rsidP="00F15E27">
            <w:r w:rsidRPr="00BE48DE">
              <w:t>26</w:t>
            </w:r>
          </w:p>
        </w:tc>
        <w:tc>
          <w:tcPr>
            <w:tcW w:w="5763" w:type="dxa"/>
            <w:gridSpan w:val="3"/>
          </w:tcPr>
          <w:p w14:paraId="0435B336" w14:textId="77777777" w:rsidR="00EE291E" w:rsidRDefault="00EE291E" w:rsidP="00EE291E">
            <w:r>
              <w:t>T</w:t>
            </w:r>
            <w:r w:rsidRPr="002171A7">
              <w:t xml:space="preserve">here is no direct mention of the sustainability of fisheries as a metric. As </w:t>
            </w:r>
            <w:r>
              <w:t>one</w:t>
            </w:r>
            <w:r w:rsidRPr="002171A7">
              <w:t xml:space="preserve"> move</w:t>
            </w:r>
            <w:r>
              <w:t>s</w:t>
            </w:r>
            <w:r w:rsidRPr="002171A7">
              <w:t xml:space="preserve"> further from the coast (where development, habitat change, pollution etc</w:t>
            </w:r>
            <w:r>
              <w:t>.</w:t>
            </w:r>
            <w:r w:rsidRPr="002171A7">
              <w:t xml:space="preserve"> are all potential human impacts) then overfishing and damaging fishing practices </w:t>
            </w:r>
            <w:r>
              <w:t>become</w:t>
            </w:r>
            <w:r w:rsidRPr="002171A7">
              <w:t xml:space="preserve"> </w:t>
            </w:r>
            <w:r>
              <w:t xml:space="preserve">one of the prominent </w:t>
            </w:r>
            <w:r w:rsidRPr="002171A7">
              <w:t>way</w:t>
            </w:r>
            <w:r>
              <w:t>s</w:t>
            </w:r>
            <w:r w:rsidRPr="002171A7">
              <w:t xml:space="preserve"> in which a marine ecosystem is degraded. </w:t>
            </w:r>
            <w:r>
              <w:t xml:space="preserve">As stated under the goals section, we recommend the following relevant indicators for consideration: </w:t>
            </w:r>
          </w:p>
          <w:p w14:paraId="1B28D2D8" w14:textId="77777777" w:rsidR="00EE291E" w:rsidRDefault="00EE291E" w:rsidP="00EE291E">
            <w:pPr>
              <w:ind w:left="461" w:hanging="142"/>
            </w:pPr>
            <w:r>
              <w:t xml:space="preserve">- </w:t>
            </w:r>
            <w:r w:rsidRPr="00490A1B">
              <w:t xml:space="preserve">Fisheries Management Effectiveness </w:t>
            </w:r>
            <w:r>
              <w:t>(Ocean Health Index)</w:t>
            </w:r>
          </w:p>
          <w:p w14:paraId="082D731A" w14:textId="77777777" w:rsidR="00EE291E" w:rsidRDefault="00EE291E" w:rsidP="00EE291E">
            <w:pPr>
              <w:ind w:left="461" w:hanging="142"/>
            </w:pPr>
            <w:r>
              <w:t xml:space="preserve">- </w:t>
            </w:r>
            <w:r w:rsidRPr="00490A1B">
              <w:t>Number of fisheries with precautionary science-based management plans</w:t>
            </w:r>
          </w:p>
          <w:p w14:paraId="52A55CA0" w14:textId="77777777" w:rsidR="00EE291E" w:rsidRDefault="00EE291E" w:rsidP="00EE291E">
            <w:pPr>
              <w:ind w:left="461" w:hanging="142"/>
            </w:pPr>
            <w:r>
              <w:t xml:space="preserve">- </w:t>
            </w:r>
            <w:r w:rsidRPr="00490A1B">
              <w:t>Changes in the ecological health and stock abundance of fisheries</w:t>
            </w:r>
          </w:p>
          <w:p w14:paraId="2CDF3819" w14:textId="77777777" w:rsidR="00EE291E" w:rsidRDefault="00EE291E" w:rsidP="00EE291E">
            <w:pPr>
              <w:ind w:left="461" w:hanging="142"/>
            </w:pPr>
            <w:r>
              <w:lastRenderedPageBreak/>
              <w:t>- Number of fisheries where full harvest strategies have been adopted, implemented, or are in development.</w:t>
            </w:r>
          </w:p>
          <w:p w14:paraId="0A77E5FC" w14:textId="77777777" w:rsidR="00EE291E" w:rsidRDefault="00EE291E" w:rsidP="00EE291E">
            <w:pPr>
              <w:ind w:left="461" w:hanging="142"/>
            </w:pPr>
            <w:r>
              <w:t>- Number of fisheries with sufficient observer coverage systems to address illegal and/or unsustainable harvest and to correctly estimate bycatch rates.</w:t>
            </w:r>
          </w:p>
          <w:p w14:paraId="34BEB24A" w14:textId="77777777" w:rsidR="00F15E27" w:rsidRPr="00BE48DE" w:rsidRDefault="00EE291E" w:rsidP="00EE291E">
            <w:pPr>
              <w:ind w:left="461" w:hanging="142"/>
            </w:pPr>
            <w:r>
              <w:t>- Number of fisheries where management is based on formal stock assessments</w:t>
            </w:r>
          </w:p>
        </w:tc>
      </w:tr>
      <w:tr w:rsidR="002439B5" w:rsidRPr="00BE48DE" w14:paraId="2B1DAA91" w14:textId="77777777" w:rsidTr="005D6649">
        <w:trPr>
          <w:trHeight w:val="224"/>
        </w:trPr>
        <w:tc>
          <w:tcPr>
            <w:tcW w:w="817" w:type="dxa"/>
          </w:tcPr>
          <w:p w14:paraId="7FBB929A" w14:textId="77777777" w:rsidR="002439B5" w:rsidRPr="00BE48DE" w:rsidRDefault="002439B5" w:rsidP="00F15E27">
            <w:r>
              <w:lastRenderedPageBreak/>
              <w:t>2</w:t>
            </w:r>
          </w:p>
        </w:tc>
        <w:tc>
          <w:tcPr>
            <w:tcW w:w="814" w:type="dxa"/>
          </w:tcPr>
          <w:p w14:paraId="59F41F7F" w14:textId="77777777" w:rsidR="002439B5" w:rsidRPr="00BE48DE" w:rsidRDefault="002439B5" w:rsidP="00F15E27">
            <w:r>
              <w:t>11</w:t>
            </w:r>
          </w:p>
        </w:tc>
        <w:tc>
          <w:tcPr>
            <w:tcW w:w="974" w:type="dxa"/>
          </w:tcPr>
          <w:p w14:paraId="0569273A" w14:textId="77777777" w:rsidR="002439B5" w:rsidRPr="00BE48DE" w:rsidRDefault="002439B5" w:rsidP="00F15E27">
            <w:r>
              <w:t>C</w:t>
            </w:r>
          </w:p>
        </w:tc>
        <w:tc>
          <w:tcPr>
            <w:tcW w:w="1238" w:type="dxa"/>
            <w:gridSpan w:val="2"/>
          </w:tcPr>
          <w:p w14:paraId="2E12989D" w14:textId="77777777" w:rsidR="002439B5" w:rsidRPr="00BE48DE" w:rsidRDefault="002439B5" w:rsidP="00F15E27">
            <w:r>
              <w:t>39-42</w:t>
            </w:r>
          </w:p>
        </w:tc>
        <w:tc>
          <w:tcPr>
            <w:tcW w:w="5763" w:type="dxa"/>
            <w:gridSpan w:val="3"/>
          </w:tcPr>
          <w:p w14:paraId="1A758FE3" w14:textId="77777777" w:rsidR="002439B5" w:rsidRDefault="002439B5" w:rsidP="00EE291E">
            <w:r>
              <w:t>Recommend adding an</w:t>
            </w:r>
            <w:r w:rsidRPr="00705AE2">
              <w:t xml:space="preserve"> additional indicator under this monitoring element </w:t>
            </w:r>
            <w:r>
              <w:t>as follows: “</w:t>
            </w:r>
            <w:r w:rsidRPr="00705AE2">
              <w:t>Protected area or OECM coverage of Ecologically or Biologically Significant Areas (EBSAs)</w:t>
            </w:r>
            <w:r>
              <w:t>.”</w:t>
            </w:r>
          </w:p>
        </w:tc>
      </w:tr>
      <w:tr w:rsidR="006771A5" w14:paraId="26258C8A" w14:textId="77777777" w:rsidTr="005D6649">
        <w:trPr>
          <w:trHeight w:val="224"/>
        </w:trPr>
        <w:tc>
          <w:tcPr>
            <w:tcW w:w="817" w:type="dxa"/>
            <w:tcBorders>
              <w:top w:val="single" w:sz="4" w:space="0" w:color="auto"/>
              <w:left w:val="single" w:sz="4" w:space="0" w:color="auto"/>
              <w:bottom w:val="single" w:sz="4" w:space="0" w:color="auto"/>
              <w:right w:val="single" w:sz="4" w:space="0" w:color="auto"/>
            </w:tcBorders>
            <w:hideMark/>
          </w:tcPr>
          <w:p w14:paraId="71D4D775" w14:textId="77777777" w:rsidR="006771A5" w:rsidRDefault="006771A5">
            <w:pPr>
              <w:rPr>
                <w:sz w:val="22"/>
                <w:szCs w:val="22"/>
                <w:lang w:eastAsia="ja-JP"/>
              </w:rPr>
            </w:pPr>
            <w:r>
              <w:rPr>
                <w:sz w:val="22"/>
                <w:szCs w:val="22"/>
                <w:lang w:eastAsia="ja-JP"/>
              </w:rPr>
              <w:t>2</w:t>
            </w:r>
          </w:p>
        </w:tc>
        <w:tc>
          <w:tcPr>
            <w:tcW w:w="814" w:type="dxa"/>
            <w:tcBorders>
              <w:top w:val="single" w:sz="4" w:space="0" w:color="auto"/>
              <w:left w:val="single" w:sz="4" w:space="0" w:color="auto"/>
              <w:bottom w:val="single" w:sz="4" w:space="0" w:color="auto"/>
              <w:right w:val="single" w:sz="4" w:space="0" w:color="auto"/>
            </w:tcBorders>
            <w:hideMark/>
          </w:tcPr>
          <w:p w14:paraId="0D5AA908" w14:textId="77777777" w:rsidR="006771A5" w:rsidRDefault="006771A5">
            <w:pPr>
              <w:rPr>
                <w:sz w:val="22"/>
                <w:szCs w:val="22"/>
                <w:lang w:eastAsia="ja-JP"/>
              </w:rPr>
            </w:pPr>
            <w:r>
              <w:rPr>
                <w:sz w:val="22"/>
                <w:szCs w:val="22"/>
                <w:lang w:eastAsia="ja-JP"/>
              </w:rPr>
              <w:t>12</w:t>
            </w:r>
          </w:p>
        </w:tc>
        <w:tc>
          <w:tcPr>
            <w:tcW w:w="974" w:type="dxa"/>
            <w:tcBorders>
              <w:top w:val="single" w:sz="4" w:space="0" w:color="auto"/>
              <w:left w:val="single" w:sz="4" w:space="0" w:color="auto"/>
              <w:bottom w:val="single" w:sz="4" w:space="0" w:color="auto"/>
              <w:right w:val="single" w:sz="4" w:space="0" w:color="auto"/>
            </w:tcBorders>
            <w:hideMark/>
          </w:tcPr>
          <w:p w14:paraId="6A133F64" w14:textId="77777777" w:rsidR="006771A5" w:rsidRDefault="006771A5">
            <w:pPr>
              <w:rPr>
                <w:sz w:val="22"/>
                <w:szCs w:val="22"/>
                <w:lang w:eastAsia="ja-JP"/>
              </w:rPr>
            </w:pPr>
            <w:r>
              <w:rPr>
                <w:sz w:val="22"/>
                <w:szCs w:val="22"/>
                <w:lang w:eastAsia="ja-JP"/>
              </w:rPr>
              <w:t>B</w:t>
            </w:r>
          </w:p>
        </w:tc>
        <w:tc>
          <w:tcPr>
            <w:tcW w:w="1269" w:type="dxa"/>
            <w:gridSpan w:val="4"/>
            <w:tcBorders>
              <w:top w:val="single" w:sz="4" w:space="0" w:color="auto"/>
              <w:left w:val="single" w:sz="4" w:space="0" w:color="auto"/>
              <w:bottom w:val="single" w:sz="4" w:space="0" w:color="auto"/>
              <w:right w:val="single" w:sz="4" w:space="0" w:color="auto"/>
            </w:tcBorders>
            <w:hideMark/>
          </w:tcPr>
          <w:p w14:paraId="7F73D4F6" w14:textId="77777777" w:rsidR="006771A5" w:rsidRDefault="006771A5">
            <w:pPr>
              <w:rPr>
                <w:sz w:val="22"/>
                <w:szCs w:val="22"/>
                <w:lang w:eastAsia="ja-JP"/>
              </w:rPr>
            </w:pPr>
            <w:r>
              <w:rPr>
                <w:sz w:val="22"/>
                <w:szCs w:val="22"/>
                <w:lang w:eastAsia="ja-JP"/>
              </w:rPr>
              <w:t>54</w:t>
            </w:r>
          </w:p>
        </w:tc>
        <w:tc>
          <w:tcPr>
            <w:tcW w:w="5732" w:type="dxa"/>
            <w:tcBorders>
              <w:top w:val="single" w:sz="4" w:space="0" w:color="auto"/>
              <w:left w:val="single" w:sz="4" w:space="0" w:color="auto"/>
              <w:bottom w:val="single" w:sz="4" w:space="0" w:color="auto"/>
              <w:right w:val="single" w:sz="4" w:space="0" w:color="auto"/>
            </w:tcBorders>
          </w:tcPr>
          <w:p w14:paraId="19BDE851" w14:textId="68CA1A84" w:rsidR="006771A5" w:rsidRDefault="006771A5">
            <w:pPr>
              <w:rPr>
                <w:sz w:val="22"/>
                <w:szCs w:val="22"/>
                <w:lang w:eastAsia="ja-JP"/>
              </w:rPr>
            </w:pPr>
            <w:r>
              <w:rPr>
                <w:sz w:val="22"/>
                <w:szCs w:val="22"/>
                <w:lang w:eastAsia="ja-JP"/>
              </w:rPr>
              <w:t>Under Component T3.1 (Active recovery and conservation management actions), we recommend deleting “</w:t>
            </w:r>
            <w:proofErr w:type="spellStart"/>
            <w:r>
              <w:rPr>
                <w:sz w:val="22"/>
                <w:szCs w:val="22"/>
                <w:lang w:eastAsia="ja-JP"/>
              </w:rPr>
              <w:t>programmes</w:t>
            </w:r>
            <w:proofErr w:type="spellEnd"/>
            <w:r>
              <w:rPr>
                <w:sz w:val="22"/>
                <w:szCs w:val="22"/>
                <w:lang w:eastAsia="ja-JP"/>
              </w:rPr>
              <w:t xml:space="preserve">” so the monitoring element tracks species’ recovery instead of tracking </w:t>
            </w:r>
            <w:proofErr w:type="spellStart"/>
            <w:r>
              <w:rPr>
                <w:sz w:val="22"/>
                <w:szCs w:val="22"/>
                <w:lang w:eastAsia="ja-JP"/>
              </w:rPr>
              <w:t>programmes</w:t>
            </w:r>
            <w:proofErr w:type="spellEnd"/>
            <w:r>
              <w:rPr>
                <w:sz w:val="22"/>
                <w:szCs w:val="22"/>
                <w:lang w:eastAsia="ja-JP"/>
              </w:rPr>
              <w:t xml:space="preserve"> for species’ recovery. </w:t>
            </w:r>
          </w:p>
          <w:p w14:paraId="25862426" w14:textId="77777777" w:rsidR="006771A5" w:rsidRDefault="006771A5">
            <w:pPr>
              <w:rPr>
                <w:sz w:val="22"/>
                <w:szCs w:val="22"/>
                <w:lang w:eastAsia="ja-JP"/>
              </w:rPr>
            </w:pPr>
          </w:p>
        </w:tc>
      </w:tr>
      <w:tr w:rsidR="006771A5" w:rsidRPr="00BE48DE" w14:paraId="241952CA" w14:textId="77777777" w:rsidTr="005D6649">
        <w:trPr>
          <w:trHeight w:val="224"/>
        </w:trPr>
        <w:tc>
          <w:tcPr>
            <w:tcW w:w="817" w:type="dxa"/>
          </w:tcPr>
          <w:p w14:paraId="07A17236" w14:textId="0DBD13DA" w:rsidR="006771A5" w:rsidRPr="00BE48DE" w:rsidRDefault="006771A5" w:rsidP="006771A5">
            <w:r>
              <w:rPr>
                <w:sz w:val="22"/>
                <w:szCs w:val="22"/>
                <w:lang w:eastAsia="ja-JP"/>
              </w:rPr>
              <w:t>2</w:t>
            </w:r>
          </w:p>
        </w:tc>
        <w:tc>
          <w:tcPr>
            <w:tcW w:w="814" w:type="dxa"/>
          </w:tcPr>
          <w:p w14:paraId="57A72A3A" w14:textId="29AF56AE" w:rsidR="006771A5" w:rsidRPr="00BE48DE" w:rsidRDefault="006771A5" w:rsidP="006771A5">
            <w:r>
              <w:rPr>
                <w:sz w:val="22"/>
                <w:szCs w:val="22"/>
                <w:lang w:eastAsia="ja-JP"/>
              </w:rPr>
              <w:t>12</w:t>
            </w:r>
          </w:p>
        </w:tc>
        <w:tc>
          <w:tcPr>
            <w:tcW w:w="974" w:type="dxa"/>
          </w:tcPr>
          <w:p w14:paraId="430BDE25" w14:textId="469D2BCD" w:rsidR="006771A5" w:rsidRPr="00BE48DE" w:rsidRDefault="006771A5" w:rsidP="006771A5">
            <w:r>
              <w:rPr>
                <w:sz w:val="22"/>
                <w:szCs w:val="22"/>
                <w:lang w:eastAsia="ja-JP"/>
              </w:rPr>
              <w:t>B</w:t>
            </w:r>
          </w:p>
        </w:tc>
        <w:tc>
          <w:tcPr>
            <w:tcW w:w="1238" w:type="dxa"/>
            <w:gridSpan w:val="2"/>
          </w:tcPr>
          <w:p w14:paraId="16A6221B" w14:textId="77777777" w:rsidR="006771A5" w:rsidRDefault="006771A5" w:rsidP="006771A5">
            <w:pPr>
              <w:rPr>
                <w:sz w:val="22"/>
                <w:szCs w:val="22"/>
                <w:lang w:eastAsia="ja-JP"/>
              </w:rPr>
            </w:pPr>
            <w:r>
              <w:rPr>
                <w:sz w:val="22"/>
                <w:szCs w:val="22"/>
                <w:lang w:eastAsia="ja-JP"/>
              </w:rPr>
              <w:t>55.1</w:t>
            </w:r>
          </w:p>
          <w:p w14:paraId="3955FA92" w14:textId="7E7715FC" w:rsidR="006771A5" w:rsidRPr="00BE48DE" w:rsidRDefault="006771A5" w:rsidP="006771A5">
            <w:r>
              <w:rPr>
                <w:sz w:val="22"/>
                <w:szCs w:val="22"/>
                <w:lang w:eastAsia="ja-JP"/>
              </w:rPr>
              <w:t>(suggested)</w:t>
            </w:r>
          </w:p>
        </w:tc>
        <w:tc>
          <w:tcPr>
            <w:tcW w:w="5763" w:type="dxa"/>
            <w:gridSpan w:val="3"/>
          </w:tcPr>
          <w:p w14:paraId="39935CE2" w14:textId="654FAD85" w:rsidR="006771A5" w:rsidRDefault="006771A5" w:rsidP="006771A5">
            <w:pPr>
              <w:rPr>
                <w:sz w:val="22"/>
                <w:szCs w:val="22"/>
                <w:lang w:eastAsia="ja-JP"/>
              </w:rPr>
            </w:pPr>
            <w:r>
              <w:rPr>
                <w:sz w:val="22"/>
                <w:szCs w:val="22"/>
                <w:lang w:eastAsia="ja-JP"/>
              </w:rPr>
              <w:t xml:space="preserve">Under Component T3.2 (Reduced human wildlife conflicts), add a monitoring element </w:t>
            </w:r>
            <w:r w:rsidR="00FD49F6">
              <w:rPr>
                <w:sz w:val="22"/>
                <w:szCs w:val="22"/>
                <w:lang w:eastAsia="ja-JP"/>
              </w:rPr>
              <w:t xml:space="preserve">to track “Trends in </w:t>
            </w:r>
            <w:r>
              <w:rPr>
                <w:sz w:val="22"/>
                <w:szCs w:val="22"/>
                <w:lang w:eastAsia="ja-JP"/>
              </w:rPr>
              <w:t>national and international policies for species’ recovery</w:t>
            </w:r>
            <w:r w:rsidR="00FD49F6">
              <w:rPr>
                <w:sz w:val="22"/>
                <w:szCs w:val="22"/>
                <w:lang w:eastAsia="ja-JP"/>
              </w:rPr>
              <w:t>”</w:t>
            </w:r>
            <w:r>
              <w:rPr>
                <w:sz w:val="22"/>
                <w:szCs w:val="22"/>
                <w:lang w:eastAsia="ja-JP"/>
              </w:rPr>
              <w:t xml:space="preserve"> as they</w:t>
            </w:r>
            <w:r w:rsidR="00FD49F6">
              <w:rPr>
                <w:sz w:val="22"/>
                <w:szCs w:val="22"/>
                <w:lang w:eastAsia="ja-JP"/>
              </w:rPr>
              <w:t xml:space="preserve"> impact and</w:t>
            </w:r>
            <w:r>
              <w:rPr>
                <w:sz w:val="22"/>
                <w:szCs w:val="22"/>
                <w:lang w:eastAsia="ja-JP"/>
              </w:rPr>
              <w:t xml:space="preserve"> are designed to address human and wildlife conflicts.</w:t>
            </w:r>
          </w:p>
          <w:p w14:paraId="327A97AB" w14:textId="655F1926" w:rsidR="006771A5" w:rsidRDefault="006771A5" w:rsidP="006771A5">
            <w:r>
              <w:rPr>
                <w:sz w:val="22"/>
                <w:szCs w:val="22"/>
                <w:lang w:eastAsia="ja-JP"/>
              </w:rPr>
              <w:t xml:space="preserve"> </w:t>
            </w:r>
          </w:p>
        </w:tc>
      </w:tr>
      <w:tr w:rsidR="00EE291E" w:rsidRPr="00BE48DE" w14:paraId="363B745C" w14:textId="77777777" w:rsidTr="005D6649">
        <w:trPr>
          <w:trHeight w:val="224"/>
        </w:trPr>
        <w:tc>
          <w:tcPr>
            <w:tcW w:w="817" w:type="dxa"/>
          </w:tcPr>
          <w:p w14:paraId="2C2551DF" w14:textId="77777777" w:rsidR="00EE291E" w:rsidRPr="00BE48DE" w:rsidRDefault="00EE291E" w:rsidP="00EE291E">
            <w:r w:rsidRPr="00BE48DE">
              <w:t>2</w:t>
            </w:r>
          </w:p>
        </w:tc>
        <w:tc>
          <w:tcPr>
            <w:tcW w:w="814" w:type="dxa"/>
          </w:tcPr>
          <w:p w14:paraId="2EC29FA5" w14:textId="77777777" w:rsidR="00EE291E" w:rsidRPr="00BE48DE" w:rsidRDefault="00EE291E" w:rsidP="00EE291E">
            <w:r w:rsidRPr="00BE48DE">
              <w:t>12</w:t>
            </w:r>
          </w:p>
        </w:tc>
        <w:tc>
          <w:tcPr>
            <w:tcW w:w="974" w:type="dxa"/>
          </w:tcPr>
          <w:p w14:paraId="7B73494A" w14:textId="77777777" w:rsidR="00EE291E" w:rsidRPr="00BE48DE" w:rsidRDefault="00EE291E" w:rsidP="00EE291E">
            <w:r w:rsidRPr="00BE48DE">
              <w:t>C</w:t>
            </w:r>
          </w:p>
        </w:tc>
        <w:tc>
          <w:tcPr>
            <w:tcW w:w="1238" w:type="dxa"/>
            <w:gridSpan w:val="2"/>
          </w:tcPr>
          <w:p w14:paraId="10CF9F9C" w14:textId="77777777" w:rsidR="00EE291E" w:rsidRPr="00BE48DE" w:rsidRDefault="00EE291E" w:rsidP="00EE291E">
            <w:r w:rsidRPr="00BE48DE">
              <w:t>56</w:t>
            </w:r>
          </w:p>
        </w:tc>
        <w:tc>
          <w:tcPr>
            <w:tcW w:w="5763" w:type="dxa"/>
            <w:gridSpan w:val="3"/>
          </w:tcPr>
          <w:p w14:paraId="082AE3BD" w14:textId="77777777" w:rsidR="00EE291E" w:rsidRDefault="00EE291E" w:rsidP="00EE291E">
            <w:r>
              <w:t>We note a bycatch related monitoring element is included under Target 8, but it also belongs here if we are talking about sustainable and safe harvest. Suggest including this monitoring element here as well: “Trends in population and extinction risk in bycatch species”</w:t>
            </w:r>
          </w:p>
          <w:p w14:paraId="706F88BF" w14:textId="77777777" w:rsidR="00EE291E" w:rsidRDefault="00EE291E" w:rsidP="00EE291E"/>
          <w:p w14:paraId="01DE0558" w14:textId="77777777" w:rsidR="00EE291E" w:rsidRDefault="00EE291E" w:rsidP="00EE291E">
            <w:r>
              <w:t>Another example of harvest that is unstainable and harmful is when it uses</w:t>
            </w:r>
            <w:r w:rsidRPr="00DB1B46">
              <w:t xml:space="preserve"> bottom trawling, dynamite fishing</w:t>
            </w:r>
            <w:r>
              <w:t>. Perhaps one indicator to add here is as follows:</w:t>
            </w:r>
          </w:p>
          <w:p w14:paraId="3D7FC17C" w14:textId="77777777" w:rsidR="00EE291E" w:rsidRDefault="00EE291E" w:rsidP="00EE291E"/>
          <w:p w14:paraId="692E7495" w14:textId="77777777" w:rsidR="00EE291E" w:rsidRDefault="00EE291E" w:rsidP="00EE291E">
            <w:r>
              <w:t>“Increase in legislation prohibiting destructive fishing activities such as bottom trawling and dynamite fishing, etc.</w:t>
            </w:r>
          </w:p>
        </w:tc>
      </w:tr>
      <w:tr w:rsidR="00FD49F6" w:rsidRPr="00BE48DE" w14:paraId="52D46B87" w14:textId="77777777" w:rsidTr="005D6649">
        <w:trPr>
          <w:trHeight w:val="224"/>
        </w:trPr>
        <w:tc>
          <w:tcPr>
            <w:tcW w:w="817" w:type="dxa"/>
          </w:tcPr>
          <w:p w14:paraId="52368BCC" w14:textId="37436BEB" w:rsidR="00FD49F6" w:rsidRPr="00BE48DE" w:rsidRDefault="00FD49F6" w:rsidP="00FD49F6">
            <w:r>
              <w:rPr>
                <w:sz w:val="22"/>
                <w:szCs w:val="22"/>
                <w:lang w:eastAsia="ja-JP"/>
              </w:rPr>
              <w:t>2</w:t>
            </w:r>
          </w:p>
        </w:tc>
        <w:tc>
          <w:tcPr>
            <w:tcW w:w="814" w:type="dxa"/>
          </w:tcPr>
          <w:p w14:paraId="119E02A1" w14:textId="308FEBB7" w:rsidR="00FD49F6" w:rsidRPr="00BE48DE" w:rsidRDefault="00FD49F6" w:rsidP="00FD49F6">
            <w:r>
              <w:rPr>
                <w:sz w:val="22"/>
                <w:szCs w:val="22"/>
                <w:lang w:eastAsia="ja-JP"/>
              </w:rPr>
              <w:t>13</w:t>
            </w:r>
          </w:p>
        </w:tc>
        <w:tc>
          <w:tcPr>
            <w:tcW w:w="974" w:type="dxa"/>
          </w:tcPr>
          <w:p w14:paraId="75D7A08B" w14:textId="1C52A10D" w:rsidR="00FD49F6" w:rsidRPr="00BE48DE" w:rsidRDefault="00FD49F6" w:rsidP="00FD49F6">
            <w:r>
              <w:rPr>
                <w:sz w:val="22"/>
                <w:szCs w:val="22"/>
                <w:lang w:eastAsia="ja-JP"/>
              </w:rPr>
              <w:t>B</w:t>
            </w:r>
          </w:p>
        </w:tc>
        <w:tc>
          <w:tcPr>
            <w:tcW w:w="1238" w:type="dxa"/>
            <w:gridSpan w:val="2"/>
          </w:tcPr>
          <w:p w14:paraId="6C36EE54" w14:textId="7D1C2041" w:rsidR="00FD49F6" w:rsidRPr="00BE48DE" w:rsidRDefault="00FD49F6" w:rsidP="00FD49F6">
            <w:r>
              <w:rPr>
                <w:sz w:val="22"/>
                <w:szCs w:val="22"/>
                <w:lang w:eastAsia="ja-JP"/>
              </w:rPr>
              <w:t xml:space="preserve">56-60 </w:t>
            </w:r>
          </w:p>
        </w:tc>
        <w:tc>
          <w:tcPr>
            <w:tcW w:w="5763" w:type="dxa"/>
            <w:gridSpan w:val="3"/>
          </w:tcPr>
          <w:p w14:paraId="1261F3D8" w14:textId="6BCD0D1D" w:rsidR="00FD49F6" w:rsidRPr="000F5D0D" w:rsidRDefault="00FD49F6" w:rsidP="00FD49F6">
            <w:pPr>
              <w:rPr>
                <w:sz w:val="22"/>
                <w:szCs w:val="22"/>
                <w:lang w:eastAsia="ja-JP"/>
              </w:rPr>
            </w:pPr>
            <w:r>
              <w:rPr>
                <w:sz w:val="22"/>
                <w:szCs w:val="22"/>
                <w:lang w:eastAsia="ja-JP"/>
              </w:rPr>
              <w:t xml:space="preserve">Under Component T4.1, add </w:t>
            </w:r>
            <w:r w:rsidR="004B6604">
              <w:rPr>
                <w:sz w:val="22"/>
                <w:szCs w:val="22"/>
                <w:lang w:eastAsia="ja-JP"/>
              </w:rPr>
              <w:t>two</w:t>
            </w:r>
            <w:r>
              <w:rPr>
                <w:sz w:val="22"/>
                <w:szCs w:val="22"/>
                <w:lang w:eastAsia="ja-JP"/>
              </w:rPr>
              <w:t xml:space="preserve"> new monitoring element</w:t>
            </w:r>
            <w:r w:rsidR="004B6604">
              <w:rPr>
                <w:sz w:val="22"/>
                <w:szCs w:val="22"/>
                <w:lang w:eastAsia="ja-JP"/>
              </w:rPr>
              <w:t>s</w:t>
            </w:r>
            <w:r>
              <w:rPr>
                <w:sz w:val="22"/>
                <w:szCs w:val="22"/>
                <w:lang w:eastAsia="ja-JP"/>
              </w:rPr>
              <w:t xml:space="preserve"> that look at trends in the regulation of harvest and use</w:t>
            </w:r>
            <w:r w:rsidR="004B6604">
              <w:rPr>
                <w:sz w:val="22"/>
                <w:szCs w:val="22"/>
                <w:lang w:eastAsia="ja-JP"/>
              </w:rPr>
              <w:t xml:space="preserve"> and trends in </w:t>
            </w:r>
            <w:r w:rsidR="004B6604">
              <w:rPr>
                <w:sz w:val="22"/>
                <w:szCs w:val="22"/>
              </w:rPr>
              <w:t>legal protection for species threatened with extinction</w:t>
            </w:r>
            <w:r>
              <w:rPr>
                <w:sz w:val="22"/>
                <w:szCs w:val="22"/>
                <w:lang w:eastAsia="ja-JP"/>
              </w:rPr>
              <w:t>. Indicators should include the number of threatened species protected by domestic legislation</w:t>
            </w:r>
            <w:r w:rsidR="004B6604">
              <w:rPr>
                <w:sz w:val="22"/>
                <w:szCs w:val="22"/>
                <w:lang w:eastAsia="ja-JP"/>
              </w:rPr>
              <w:t xml:space="preserve"> or by MEAs and the </w:t>
            </w:r>
            <w:r w:rsidR="004B6604">
              <w:rPr>
                <w:sz w:val="22"/>
                <w:szCs w:val="22"/>
              </w:rPr>
              <w:t xml:space="preserve">number of countries with national legislation consistent with </w:t>
            </w:r>
            <w:proofErr w:type="spellStart"/>
            <w:r w:rsidR="004B6604">
              <w:rPr>
                <w:sz w:val="22"/>
                <w:szCs w:val="22"/>
              </w:rPr>
              <w:t>MEAs</w:t>
            </w:r>
            <w:r>
              <w:rPr>
                <w:sz w:val="22"/>
                <w:szCs w:val="22"/>
                <w:lang w:eastAsia="ja-JP"/>
              </w:rPr>
              <w:t>.</w:t>
            </w:r>
            <w:proofErr w:type="spellEnd"/>
          </w:p>
        </w:tc>
      </w:tr>
      <w:tr w:rsidR="004B6604" w14:paraId="58CD8BC2" w14:textId="77777777" w:rsidTr="005D6649">
        <w:trPr>
          <w:trHeight w:val="224"/>
        </w:trPr>
        <w:tc>
          <w:tcPr>
            <w:tcW w:w="817" w:type="dxa"/>
            <w:tcBorders>
              <w:top w:val="single" w:sz="4" w:space="0" w:color="auto"/>
              <w:left w:val="single" w:sz="4" w:space="0" w:color="auto"/>
              <w:bottom w:val="single" w:sz="4" w:space="0" w:color="auto"/>
              <w:right w:val="single" w:sz="4" w:space="0" w:color="auto"/>
            </w:tcBorders>
            <w:hideMark/>
          </w:tcPr>
          <w:p w14:paraId="040AB071" w14:textId="77777777" w:rsidR="004B6604" w:rsidRDefault="004B6604">
            <w:pPr>
              <w:rPr>
                <w:sz w:val="22"/>
                <w:szCs w:val="22"/>
                <w:lang w:eastAsia="ja-JP"/>
              </w:rPr>
            </w:pPr>
            <w:r>
              <w:rPr>
                <w:sz w:val="22"/>
                <w:szCs w:val="22"/>
                <w:lang w:eastAsia="ja-JP"/>
              </w:rPr>
              <w:t>2</w:t>
            </w:r>
          </w:p>
        </w:tc>
        <w:tc>
          <w:tcPr>
            <w:tcW w:w="814" w:type="dxa"/>
            <w:tcBorders>
              <w:top w:val="single" w:sz="4" w:space="0" w:color="auto"/>
              <w:left w:val="single" w:sz="4" w:space="0" w:color="auto"/>
              <w:bottom w:val="single" w:sz="4" w:space="0" w:color="auto"/>
              <w:right w:val="single" w:sz="4" w:space="0" w:color="auto"/>
            </w:tcBorders>
            <w:hideMark/>
          </w:tcPr>
          <w:p w14:paraId="291F8D0F" w14:textId="77777777" w:rsidR="004B6604" w:rsidRDefault="004B6604">
            <w:pPr>
              <w:rPr>
                <w:sz w:val="22"/>
                <w:szCs w:val="22"/>
                <w:lang w:eastAsia="ja-JP"/>
              </w:rPr>
            </w:pPr>
            <w:r>
              <w:rPr>
                <w:sz w:val="22"/>
                <w:szCs w:val="22"/>
                <w:lang w:eastAsia="ja-JP"/>
              </w:rPr>
              <w:t>13</w:t>
            </w:r>
          </w:p>
        </w:tc>
        <w:tc>
          <w:tcPr>
            <w:tcW w:w="974" w:type="dxa"/>
            <w:tcBorders>
              <w:top w:val="single" w:sz="4" w:space="0" w:color="auto"/>
              <w:left w:val="single" w:sz="4" w:space="0" w:color="auto"/>
              <w:bottom w:val="single" w:sz="4" w:space="0" w:color="auto"/>
              <w:right w:val="single" w:sz="4" w:space="0" w:color="auto"/>
            </w:tcBorders>
            <w:hideMark/>
          </w:tcPr>
          <w:p w14:paraId="3A734028" w14:textId="77777777" w:rsidR="004B6604" w:rsidRDefault="004B6604">
            <w:pPr>
              <w:rPr>
                <w:sz w:val="22"/>
                <w:szCs w:val="22"/>
                <w:lang w:eastAsia="ja-JP"/>
              </w:rPr>
            </w:pPr>
            <w:r>
              <w:rPr>
                <w:sz w:val="22"/>
                <w:szCs w:val="22"/>
                <w:lang w:eastAsia="ja-JP"/>
              </w:rPr>
              <w:t>B</w:t>
            </w:r>
          </w:p>
        </w:tc>
        <w:tc>
          <w:tcPr>
            <w:tcW w:w="1246" w:type="dxa"/>
            <w:gridSpan w:val="3"/>
            <w:tcBorders>
              <w:top w:val="single" w:sz="4" w:space="0" w:color="auto"/>
              <w:left w:val="single" w:sz="4" w:space="0" w:color="auto"/>
              <w:bottom w:val="single" w:sz="4" w:space="0" w:color="auto"/>
              <w:right w:val="single" w:sz="4" w:space="0" w:color="auto"/>
            </w:tcBorders>
            <w:hideMark/>
          </w:tcPr>
          <w:p w14:paraId="727111D9" w14:textId="77777777" w:rsidR="004B6604" w:rsidRDefault="004B6604">
            <w:pPr>
              <w:rPr>
                <w:sz w:val="22"/>
                <w:szCs w:val="22"/>
                <w:lang w:eastAsia="ja-JP"/>
              </w:rPr>
            </w:pPr>
            <w:r>
              <w:rPr>
                <w:sz w:val="22"/>
                <w:szCs w:val="22"/>
                <w:lang w:eastAsia="ja-JP"/>
              </w:rPr>
              <w:t>61.1 (suggested)</w:t>
            </w:r>
          </w:p>
        </w:tc>
        <w:tc>
          <w:tcPr>
            <w:tcW w:w="5755" w:type="dxa"/>
            <w:gridSpan w:val="2"/>
            <w:tcBorders>
              <w:top w:val="single" w:sz="4" w:space="0" w:color="auto"/>
              <w:left w:val="single" w:sz="4" w:space="0" w:color="auto"/>
              <w:bottom w:val="single" w:sz="4" w:space="0" w:color="auto"/>
              <w:right w:val="single" w:sz="4" w:space="0" w:color="auto"/>
            </w:tcBorders>
          </w:tcPr>
          <w:p w14:paraId="3F91D60D" w14:textId="5A001F17" w:rsidR="004B6604" w:rsidRDefault="004B6604">
            <w:pPr>
              <w:rPr>
                <w:sz w:val="22"/>
                <w:szCs w:val="22"/>
                <w:lang w:eastAsia="ja-JP"/>
              </w:rPr>
            </w:pPr>
            <w:r>
              <w:rPr>
                <w:sz w:val="22"/>
                <w:szCs w:val="22"/>
                <w:lang w:val="en-CA" w:eastAsia="ja-JP"/>
              </w:rPr>
              <w:t xml:space="preserve">Under Component </w:t>
            </w:r>
            <w:r>
              <w:rPr>
                <w:sz w:val="22"/>
                <w:szCs w:val="22"/>
                <w:lang w:eastAsia="ja-JP"/>
              </w:rPr>
              <w:t xml:space="preserve">T4.2. (Trade is legal, sustainable and safe for human health and biodiversity), add a new monitoring element that looks at </w:t>
            </w:r>
            <w:r>
              <w:rPr>
                <w:sz w:val="22"/>
                <w:szCs w:val="22"/>
                <w:lang w:val="en-CA" w:eastAsia="ja-JP"/>
              </w:rPr>
              <w:t>Trends in legal protection for species threatened with extinction. Indicators should include: p</w:t>
            </w:r>
            <w:proofErr w:type="spellStart"/>
            <w:r>
              <w:rPr>
                <w:sz w:val="22"/>
                <w:szCs w:val="22"/>
                <w:lang w:eastAsia="ja-JP"/>
              </w:rPr>
              <w:t>roportion</w:t>
            </w:r>
            <w:proofErr w:type="spellEnd"/>
            <w:r>
              <w:rPr>
                <w:sz w:val="22"/>
                <w:szCs w:val="22"/>
                <w:lang w:eastAsia="ja-JP"/>
              </w:rPr>
              <w:t xml:space="preserve"> of legal and illegal wildlife trade that consists of species threatened with extinction, number of countries with national legislation that is consistent with CITES requirements </w:t>
            </w:r>
            <w:r>
              <w:rPr>
                <w:sz w:val="22"/>
                <w:szCs w:val="22"/>
                <w:lang w:eastAsia="ja-JP"/>
              </w:rPr>
              <w:lastRenderedPageBreak/>
              <w:t xml:space="preserve">and proportion of species that are threatened with extinction that are protected by CITES. </w:t>
            </w:r>
          </w:p>
        </w:tc>
      </w:tr>
      <w:tr w:rsidR="00EE291E" w:rsidRPr="00A94BAB" w14:paraId="52EB6DF7" w14:textId="77777777" w:rsidTr="005D6649">
        <w:trPr>
          <w:trHeight w:val="224"/>
        </w:trPr>
        <w:tc>
          <w:tcPr>
            <w:tcW w:w="817" w:type="dxa"/>
          </w:tcPr>
          <w:p w14:paraId="21EBCD68" w14:textId="77777777" w:rsidR="00EE291E" w:rsidRPr="00A94BAB" w:rsidRDefault="00EE291E" w:rsidP="00EE291E">
            <w:r w:rsidRPr="00A94BAB">
              <w:lastRenderedPageBreak/>
              <w:t>2</w:t>
            </w:r>
          </w:p>
        </w:tc>
        <w:tc>
          <w:tcPr>
            <w:tcW w:w="814" w:type="dxa"/>
          </w:tcPr>
          <w:p w14:paraId="6E33DC68" w14:textId="77777777" w:rsidR="00EE291E" w:rsidRPr="00A94BAB" w:rsidRDefault="00EE291E" w:rsidP="00EE291E">
            <w:r w:rsidRPr="00A94BAB">
              <w:t>18</w:t>
            </w:r>
          </w:p>
        </w:tc>
        <w:tc>
          <w:tcPr>
            <w:tcW w:w="974" w:type="dxa"/>
          </w:tcPr>
          <w:p w14:paraId="569B6283" w14:textId="77777777" w:rsidR="00EE291E" w:rsidRPr="00A94BAB" w:rsidRDefault="00EE291E" w:rsidP="00EE291E">
            <w:r w:rsidRPr="00A94BAB">
              <w:t>C</w:t>
            </w:r>
          </w:p>
        </w:tc>
        <w:tc>
          <w:tcPr>
            <w:tcW w:w="1238" w:type="dxa"/>
            <w:gridSpan w:val="2"/>
          </w:tcPr>
          <w:p w14:paraId="221F289D" w14:textId="77777777" w:rsidR="00EE291E" w:rsidRPr="00A94BAB" w:rsidRDefault="00EE291E" w:rsidP="00EE291E">
            <w:r w:rsidRPr="00A94BAB">
              <w:t>105-109</w:t>
            </w:r>
          </w:p>
        </w:tc>
        <w:tc>
          <w:tcPr>
            <w:tcW w:w="5763" w:type="dxa"/>
            <w:gridSpan w:val="3"/>
          </w:tcPr>
          <w:p w14:paraId="2065CD87" w14:textId="77777777" w:rsidR="00EE291E" w:rsidRDefault="00EE291E" w:rsidP="00EE291E">
            <w:r>
              <w:t>"Sustainable fisheries management" must incorporate "ecosystem-based fisheries management". This will help insure benefits to communities from other avenues besides harvesting such as tourism or recreation.</w:t>
            </w:r>
          </w:p>
          <w:p w14:paraId="7C8A7A3F" w14:textId="77777777" w:rsidR="00EE291E" w:rsidRDefault="00EE291E" w:rsidP="00EE291E"/>
          <w:p w14:paraId="6780CAA8" w14:textId="77777777" w:rsidR="00EE291E" w:rsidRPr="00A94BAB" w:rsidRDefault="00EE291E" w:rsidP="00EE291E">
            <w:r>
              <w:t>Suggest including an additional indicator here as follows: “Number of countries using ecosystem-based approaches to manage marine areas (SDG indicator 14.2.1)”</w:t>
            </w:r>
          </w:p>
        </w:tc>
      </w:tr>
      <w:tr w:rsidR="005D6649" w:rsidRPr="00EE291E" w14:paraId="2F7F7C33" w14:textId="77777777" w:rsidTr="005D6649">
        <w:trPr>
          <w:trHeight w:val="224"/>
        </w:trPr>
        <w:tc>
          <w:tcPr>
            <w:tcW w:w="817" w:type="dxa"/>
          </w:tcPr>
          <w:p w14:paraId="3C953CDC" w14:textId="5489F394" w:rsidR="005D6649" w:rsidRDefault="005D6649" w:rsidP="005D6649">
            <w:r>
              <w:rPr>
                <w:sz w:val="22"/>
                <w:szCs w:val="22"/>
                <w:lang w:eastAsia="ja-JP"/>
              </w:rPr>
              <w:t>2</w:t>
            </w:r>
          </w:p>
        </w:tc>
        <w:tc>
          <w:tcPr>
            <w:tcW w:w="814" w:type="dxa"/>
          </w:tcPr>
          <w:p w14:paraId="444CA99A" w14:textId="4B5257BF" w:rsidR="005D6649" w:rsidRDefault="005D6649" w:rsidP="005D6649">
            <w:r>
              <w:rPr>
                <w:sz w:val="22"/>
                <w:szCs w:val="22"/>
                <w:lang w:eastAsia="ja-JP"/>
              </w:rPr>
              <w:t>19</w:t>
            </w:r>
          </w:p>
        </w:tc>
        <w:tc>
          <w:tcPr>
            <w:tcW w:w="974" w:type="dxa"/>
          </w:tcPr>
          <w:p w14:paraId="4C133F14" w14:textId="30FD1234" w:rsidR="005D6649" w:rsidRDefault="005D6649" w:rsidP="005D6649">
            <w:r>
              <w:rPr>
                <w:sz w:val="22"/>
                <w:szCs w:val="22"/>
                <w:lang w:eastAsia="ja-JP"/>
              </w:rPr>
              <w:t>B</w:t>
            </w:r>
          </w:p>
        </w:tc>
        <w:tc>
          <w:tcPr>
            <w:tcW w:w="1238" w:type="dxa"/>
            <w:gridSpan w:val="2"/>
          </w:tcPr>
          <w:p w14:paraId="1967BCB5" w14:textId="77B02A3B" w:rsidR="005D6649" w:rsidRDefault="005D6649" w:rsidP="005D6649">
            <w:r>
              <w:rPr>
                <w:sz w:val="22"/>
                <w:szCs w:val="22"/>
                <w:lang w:eastAsia="ja-JP"/>
              </w:rPr>
              <w:t>114</w:t>
            </w:r>
          </w:p>
        </w:tc>
        <w:tc>
          <w:tcPr>
            <w:tcW w:w="5763" w:type="dxa"/>
            <w:gridSpan w:val="3"/>
          </w:tcPr>
          <w:p w14:paraId="3BBF2872" w14:textId="2D62E958" w:rsidR="005D6649" w:rsidRDefault="005D6649">
            <w:r>
              <w:rPr>
                <w:sz w:val="22"/>
                <w:szCs w:val="22"/>
                <w:lang w:val="en-CA" w:eastAsia="ja-JP"/>
              </w:rPr>
              <w:t xml:space="preserve">Under Component T8.2 amend the existing monitoring element (Trends in terrestrial wild species of fauna used for food and medicine) to include flora and emphasize trends in the use of threatened species as follows: “Trends in terrestrial wild species of fauna </w:t>
            </w:r>
            <w:r w:rsidRPr="000F5D0D">
              <w:rPr>
                <w:b/>
                <w:bCs/>
                <w:sz w:val="22"/>
                <w:szCs w:val="22"/>
                <w:u w:val="single"/>
                <w:lang w:val="en-CA" w:eastAsia="ja-JP"/>
              </w:rPr>
              <w:t>and flora</w:t>
            </w:r>
            <w:r w:rsidRPr="005D6649">
              <w:rPr>
                <w:sz w:val="22"/>
                <w:szCs w:val="22"/>
                <w:lang w:val="en-CA" w:eastAsia="ja-JP"/>
              </w:rPr>
              <w:t xml:space="preserve"> used for food and medicine </w:t>
            </w:r>
            <w:r w:rsidRPr="000F5D0D">
              <w:rPr>
                <w:b/>
                <w:bCs/>
                <w:sz w:val="22"/>
                <w:szCs w:val="22"/>
                <w:u w:val="single"/>
                <w:lang w:val="en-CA" w:eastAsia="ja-JP"/>
              </w:rPr>
              <w:t>especially threatened species</w:t>
            </w:r>
            <w:r w:rsidRPr="000F5D0D">
              <w:rPr>
                <w:sz w:val="22"/>
                <w:szCs w:val="22"/>
                <w:lang w:val="en-CA" w:eastAsia="ja-JP"/>
              </w:rPr>
              <w:t>.”</w:t>
            </w:r>
          </w:p>
        </w:tc>
      </w:tr>
      <w:tr w:rsidR="00EE291E" w:rsidRPr="00EE291E" w14:paraId="23C7EAED" w14:textId="77777777" w:rsidTr="005D6649">
        <w:trPr>
          <w:trHeight w:val="224"/>
        </w:trPr>
        <w:tc>
          <w:tcPr>
            <w:tcW w:w="817" w:type="dxa"/>
          </w:tcPr>
          <w:p w14:paraId="2CE67BE4" w14:textId="77777777" w:rsidR="00EE291E" w:rsidRPr="000C0B6C" w:rsidRDefault="00EE291E" w:rsidP="00EE291E">
            <w:r>
              <w:t>2</w:t>
            </w:r>
          </w:p>
        </w:tc>
        <w:tc>
          <w:tcPr>
            <w:tcW w:w="814" w:type="dxa"/>
          </w:tcPr>
          <w:p w14:paraId="212BA788" w14:textId="77777777" w:rsidR="00EE291E" w:rsidRPr="000C0B6C" w:rsidRDefault="00EE291E" w:rsidP="00EE291E">
            <w:r>
              <w:t>33</w:t>
            </w:r>
          </w:p>
        </w:tc>
        <w:tc>
          <w:tcPr>
            <w:tcW w:w="974" w:type="dxa"/>
          </w:tcPr>
          <w:p w14:paraId="22C6CDBF" w14:textId="77777777" w:rsidR="00EE291E" w:rsidRPr="000C0B6C" w:rsidRDefault="00EE291E" w:rsidP="00EE291E">
            <w:r>
              <w:t xml:space="preserve">B </w:t>
            </w:r>
          </w:p>
        </w:tc>
        <w:tc>
          <w:tcPr>
            <w:tcW w:w="1238" w:type="dxa"/>
            <w:gridSpan w:val="2"/>
          </w:tcPr>
          <w:p w14:paraId="3FCFDAD9" w14:textId="77777777" w:rsidR="00EE291E" w:rsidRDefault="00EE291E" w:rsidP="00EE291E">
            <w:r>
              <w:t>205-206</w:t>
            </w:r>
          </w:p>
        </w:tc>
        <w:tc>
          <w:tcPr>
            <w:tcW w:w="5763" w:type="dxa"/>
            <w:gridSpan w:val="3"/>
          </w:tcPr>
          <w:p w14:paraId="240B9518" w14:textId="77777777" w:rsidR="00EE291E" w:rsidRDefault="00EE291E" w:rsidP="00EE291E">
            <w:r>
              <w:t>Recommend editing monitoring element as follows:</w:t>
            </w:r>
          </w:p>
          <w:p w14:paraId="6B638086" w14:textId="77777777" w:rsidR="00EE291E" w:rsidRDefault="00EE291E" w:rsidP="00EE291E"/>
          <w:p w14:paraId="63468778" w14:textId="77777777" w:rsidR="00EE291E" w:rsidRPr="00EE291E" w:rsidRDefault="00EE291E" w:rsidP="00EE291E">
            <w:r>
              <w:t>“</w:t>
            </w:r>
            <w:r w:rsidRPr="00BD7793">
              <w:t xml:space="preserve">Trends in development and application of public incentives that </w:t>
            </w:r>
            <w:r w:rsidRPr="00EE291E">
              <w:rPr>
                <w:strike/>
              </w:rPr>
              <w:t>promote</w:t>
            </w:r>
            <w:r w:rsidRPr="00BD7793">
              <w:t xml:space="preserve"> </w:t>
            </w:r>
            <w:r w:rsidRPr="00EE291E">
              <w:rPr>
                <w:b/>
                <w:bCs/>
                <w:u w:val="double"/>
              </w:rPr>
              <w:t>ensure</w:t>
            </w:r>
            <w:r>
              <w:t xml:space="preserve"> </w:t>
            </w:r>
            <w:r w:rsidRPr="00BD7793">
              <w:t>biodiversity conservation and sustainable use</w:t>
            </w:r>
            <w:r>
              <w:t>”</w:t>
            </w:r>
          </w:p>
        </w:tc>
      </w:tr>
      <w:tr w:rsidR="00EE291E" w:rsidRPr="00EE291E" w14:paraId="4EA4793A" w14:textId="77777777" w:rsidTr="005D6649">
        <w:trPr>
          <w:trHeight w:val="224"/>
        </w:trPr>
        <w:tc>
          <w:tcPr>
            <w:tcW w:w="817" w:type="dxa"/>
          </w:tcPr>
          <w:p w14:paraId="478C41E4" w14:textId="77777777" w:rsidR="00EE291E" w:rsidRPr="00A94BAB" w:rsidRDefault="00EE291E" w:rsidP="00EE291E">
            <w:r w:rsidRPr="00A94BAB">
              <w:t>2</w:t>
            </w:r>
          </w:p>
        </w:tc>
        <w:tc>
          <w:tcPr>
            <w:tcW w:w="814" w:type="dxa"/>
          </w:tcPr>
          <w:p w14:paraId="6AC89FB7" w14:textId="77777777" w:rsidR="00EE291E" w:rsidRPr="00A94BAB" w:rsidRDefault="00EE291E" w:rsidP="00EE291E">
            <w:r w:rsidRPr="00A94BAB">
              <w:t>33</w:t>
            </w:r>
          </w:p>
        </w:tc>
        <w:tc>
          <w:tcPr>
            <w:tcW w:w="974" w:type="dxa"/>
          </w:tcPr>
          <w:p w14:paraId="2DA43228" w14:textId="77777777" w:rsidR="00EE291E" w:rsidRPr="00A94BAB" w:rsidRDefault="00EE291E" w:rsidP="00EE291E">
            <w:r w:rsidRPr="00A94BAB">
              <w:t>C</w:t>
            </w:r>
          </w:p>
        </w:tc>
        <w:tc>
          <w:tcPr>
            <w:tcW w:w="1238" w:type="dxa"/>
            <w:gridSpan w:val="2"/>
          </w:tcPr>
          <w:p w14:paraId="0F24F9FB" w14:textId="77777777" w:rsidR="00EE291E" w:rsidRPr="00A94BAB" w:rsidRDefault="00EE291E" w:rsidP="00EE291E">
            <w:r w:rsidRPr="00A94BAB">
              <w:t>208-210</w:t>
            </w:r>
          </w:p>
        </w:tc>
        <w:tc>
          <w:tcPr>
            <w:tcW w:w="5763" w:type="dxa"/>
            <w:gridSpan w:val="3"/>
          </w:tcPr>
          <w:p w14:paraId="1896D6AC" w14:textId="77777777" w:rsidR="00EE291E" w:rsidRDefault="00EE291E" w:rsidP="00EE291E">
            <w:r w:rsidRPr="00B21195">
              <w:t>Indicators</w:t>
            </w:r>
            <w:r>
              <w:t xml:space="preserve"> listed are</w:t>
            </w:r>
            <w:r w:rsidRPr="00B21195">
              <w:t xml:space="preserve"> limited to agriculture and fossil fuel</w:t>
            </w:r>
            <w:r>
              <w:t>s</w:t>
            </w:r>
            <w:r w:rsidRPr="00B21195">
              <w:t>. These are important</w:t>
            </w:r>
            <w:r>
              <w:t xml:space="preserve">, but recommend also adding </w:t>
            </w:r>
            <w:r w:rsidRPr="00B21195">
              <w:t xml:space="preserve">“forestry and fisheries”. </w:t>
            </w:r>
          </w:p>
          <w:p w14:paraId="6DB638B5" w14:textId="77777777" w:rsidR="00EE291E" w:rsidRDefault="00EE291E" w:rsidP="00EE291E"/>
          <w:p w14:paraId="02AA68C0" w14:textId="77777777" w:rsidR="00EE291E" w:rsidRDefault="00EE291E" w:rsidP="00EE291E">
            <w:r>
              <w:t xml:space="preserve">Suggest this additional monitoring element: </w:t>
            </w:r>
          </w:p>
          <w:p w14:paraId="5E813DED" w14:textId="77777777" w:rsidR="00EE291E" w:rsidRDefault="00EE291E" w:rsidP="00EE291E"/>
          <w:p w14:paraId="1F31A570" w14:textId="77777777" w:rsidR="00EE291E" w:rsidRPr="00EE291E" w:rsidRDefault="00EE291E" w:rsidP="00EE291E">
            <w:r w:rsidRPr="00B21195">
              <w:t>“Trends in the elimination and reduction of harmful fisheries subsidies under the WTO Agreement of Fisheries Subsidies”</w:t>
            </w:r>
          </w:p>
        </w:tc>
      </w:tr>
    </w:tbl>
    <w:p w14:paraId="16CB811C" w14:textId="77777777" w:rsidR="00AA726F" w:rsidRPr="00EE291E" w:rsidRDefault="00AA726F" w:rsidP="00DB71FC">
      <w:pPr>
        <w:pStyle w:val="Default"/>
        <w:jc w:val="center"/>
        <w:rPr>
          <w:b/>
          <w:sz w:val="22"/>
          <w:szCs w:val="22"/>
          <w:u w:val="single"/>
        </w:rPr>
      </w:pPr>
    </w:p>
    <w:p w14:paraId="1824DD40" w14:textId="77777777" w:rsidR="00AA726F" w:rsidRPr="00624FAA" w:rsidRDefault="00624FAA" w:rsidP="00DB71FC">
      <w:pPr>
        <w:jc w:val="both"/>
        <w:rPr>
          <w:i/>
          <w:szCs w:val="22"/>
        </w:rPr>
      </w:pPr>
      <w:r w:rsidRPr="00624FAA">
        <w:rPr>
          <w:i/>
          <w:sz w:val="22"/>
          <w:szCs w:val="22"/>
        </w:rPr>
        <w:t xml:space="preserve">Comments should be sent by e-mail to </w:t>
      </w:r>
      <w:hyperlink r:id="rId9" w:history="1">
        <w:r w:rsidRPr="00624FAA">
          <w:rPr>
            <w:rStyle w:val="Hyperlink"/>
            <w:i/>
            <w:sz w:val="22"/>
            <w:szCs w:val="22"/>
          </w:rPr>
          <w:t>secretariat@cbd.int</w:t>
        </w:r>
      </w:hyperlink>
      <w:r w:rsidRPr="00153018">
        <w:rPr>
          <w:i/>
          <w:sz w:val="22"/>
          <w:szCs w:val="22"/>
        </w:rPr>
        <w:t xml:space="preserve"> </w:t>
      </w:r>
      <w:r w:rsidRPr="002337AC">
        <w:rPr>
          <w:b/>
          <w:i/>
          <w:sz w:val="22"/>
          <w:szCs w:val="22"/>
        </w:rPr>
        <w:t xml:space="preserve">no later than </w:t>
      </w:r>
      <w:r w:rsidR="007112B5">
        <w:rPr>
          <w:b/>
          <w:i/>
          <w:sz w:val="22"/>
          <w:szCs w:val="22"/>
        </w:rPr>
        <w:t>15</w:t>
      </w:r>
      <w:r w:rsidR="002337AC" w:rsidRPr="002337AC">
        <w:rPr>
          <w:b/>
          <w:i/>
          <w:sz w:val="22"/>
          <w:szCs w:val="22"/>
        </w:rPr>
        <w:t xml:space="preserve"> </w:t>
      </w:r>
      <w:r w:rsidR="007112B5">
        <w:rPr>
          <w:b/>
          <w:i/>
          <w:sz w:val="22"/>
          <w:szCs w:val="22"/>
        </w:rPr>
        <w:t>August</w:t>
      </w:r>
      <w:r w:rsidR="002337AC" w:rsidRPr="002337AC">
        <w:rPr>
          <w:b/>
          <w:i/>
          <w:sz w:val="22"/>
          <w:szCs w:val="22"/>
        </w:rPr>
        <w:t xml:space="preserve"> 2020</w:t>
      </w:r>
      <w:r w:rsidRPr="00153018">
        <w:rPr>
          <w:i/>
          <w:sz w:val="22"/>
          <w:szCs w:val="22"/>
        </w:rPr>
        <w:t>.</w:t>
      </w:r>
    </w:p>
    <w:sectPr w:rsidR="00AA726F" w:rsidRPr="00624FAA" w:rsidSect="00A312D8">
      <w:headerReference w:type="first" r:id="rId10"/>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42268" w14:textId="77777777" w:rsidR="00C775DC" w:rsidRDefault="00C775DC">
      <w:r>
        <w:separator/>
      </w:r>
    </w:p>
  </w:endnote>
  <w:endnote w:type="continuationSeparator" w:id="0">
    <w:p w14:paraId="51CEDB2C" w14:textId="77777777" w:rsidR="00C775DC" w:rsidRDefault="00C7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C4131" w14:textId="77777777" w:rsidR="00C775DC" w:rsidRDefault="00C775DC">
      <w:r>
        <w:separator/>
      </w:r>
    </w:p>
  </w:footnote>
  <w:footnote w:type="continuationSeparator" w:id="0">
    <w:p w14:paraId="1680E85F" w14:textId="77777777" w:rsidR="00C775DC" w:rsidRDefault="00C77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5C5F" w14:textId="77777777" w:rsidR="00AA726F" w:rsidRDefault="00AA726F" w:rsidP="00CB31A6">
    <w:pPr>
      <w:pStyle w:val="Header"/>
      <w:tabs>
        <w:tab w:val="clear" w:pos="8640"/>
        <w:tab w:val="right" w:pos="10260"/>
      </w:tabs>
      <w:spacing w:line="480" w:lineRule="auto"/>
      <w:ind w:left="-1260" w:right="-856"/>
      <w:jc w:val="cent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7B2"/>
    <w:multiLevelType w:val="hybridMultilevel"/>
    <w:tmpl w:val="3FA2A88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56873"/>
    <w:multiLevelType w:val="hybridMultilevel"/>
    <w:tmpl w:val="7DEC24CA"/>
    <w:lvl w:ilvl="0" w:tplc="95CADAC6">
      <w:start w:val="1"/>
      <w:numFmt w:val="decimal"/>
      <w:lvlText w:val="%1."/>
      <w:lvlJc w:val="left"/>
      <w:pPr>
        <w:tabs>
          <w:tab w:val="num" w:pos="360"/>
        </w:tabs>
        <w:ind w:left="648"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0E7244"/>
    <w:multiLevelType w:val="hybridMultilevel"/>
    <w:tmpl w:val="1C3C7ED0"/>
    <w:lvl w:ilvl="0" w:tplc="8564EC36">
      <w:numFmt w:val="bullet"/>
      <w:lvlText w:val="-"/>
      <w:lvlJc w:val="left"/>
      <w:pPr>
        <w:ind w:left="720" w:hanging="360"/>
      </w:pPr>
      <w:rPr>
        <w:rFonts w:ascii="Times New Roman" w:eastAsia="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FD5BF7"/>
    <w:multiLevelType w:val="hybridMultilevel"/>
    <w:tmpl w:val="A5FAFA7A"/>
    <w:lvl w:ilvl="0" w:tplc="BBECF624">
      <w:start w:val="1"/>
      <w:numFmt w:val="decimal"/>
      <w:lvlText w:val="%1."/>
      <w:lvlJc w:val="left"/>
      <w:pPr>
        <w:tabs>
          <w:tab w:val="num" w:pos="360"/>
        </w:tabs>
        <w:ind w:firstLine="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AF568D"/>
    <w:multiLevelType w:val="hybridMultilevel"/>
    <w:tmpl w:val="71E6DD7A"/>
    <w:lvl w:ilvl="0" w:tplc="88BAF25C">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E34F8F"/>
    <w:multiLevelType w:val="hybridMultilevel"/>
    <w:tmpl w:val="E9C86018"/>
    <w:lvl w:ilvl="0" w:tplc="1009000F">
      <w:start w:val="1"/>
      <w:numFmt w:val="decimal"/>
      <w:lvlText w:val="%1."/>
      <w:lvlJc w:val="left"/>
      <w:pPr>
        <w:ind w:left="720" w:hanging="360"/>
      </w:pPr>
    </w:lvl>
    <w:lvl w:ilvl="1" w:tplc="DB8ABA6C">
      <w:numFmt w:val="bullet"/>
      <w:lvlText w:val="-"/>
      <w:lvlJc w:val="lef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8EE6CE1"/>
    <w:multiLevelType w:val="hybridMultilevel"/>
    <w:tmpl w:val="652478F6"/>
    <w:lvl w:ilvl="0" w:tplc="DB8ABA6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095B87"/>
    <w:multiLevelType w:val="hybridMultilevel"/>
    <w:tmpl w:val="2B76C638"/>
    <w:lvl w:ilvl="0" w:tplc="4D1A35D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9DE01C9"/>
    <w:multiLevelType w:val="hybridMultilevel"/>
    <w:tmpl w:val="7B32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8"/>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AE"/>
    <w:rsid w:val="0000434A"/>
    <w:rsid w:val="0001655B"/>
    <w:rsid w:val="00020CB7"/>
    <w:rsid w:val="000225E9"/>
    <w:rsid w:val="0002384F"/>
    <w:rsid w:val="00037FA8"/>
    <w:rsid w:val="00053583"/>
    <w:rsid w:val="00060F26"/>
    <w:rsid w:val="00063F6C"/>
    <w:rsid w:val="000644D4"/>
    <w:rsid w:val="000731D0"/>
    <w:rsid w:val="00082816"/>
    <w:rsid w:val="00090581"/>
    <w:rsid w:val="000968B8"/>
    <w:rsid w:val="00097BF9"/>
    <w:rsid w:val="000A1EAF"/>
    <w:rsid w:val="000B6228"/>
    <w:rsid w:val="000C0B6C"/>
    <w:rsid w:val="000F5D0D"/>
    <w:rsid w:val="000F623C"/>
    <w:rsid w:val="0011369D"/>
    <w:rsid w:val="001208DE"/>
    <w:rsid w:val="00131A78"/>
    <w:rsid w:val="001474BA"/>
    <w:rsid w:val="00153018"/>
    <w:rsid w:val="00170A3F"/>
    <w:rsid w:val="00171923"/>
    <w:rsid w:val="001771FC"/>
    <w:rsid w:val="0018460B"/>
    <w:rsid w:val="001A7B51"/>
    <w:rsid w:val="001B7642"/>
    <w:rsid w:val="001C24BA"/>
    <w:rsid w:val="001D3754"/>
    <w:rsid w:val="001E3E11"/>
    <w:rsid w:val="001F34E8"/>
    <w:rsid w:val="00203867"/>
    <w:rsid w:val="00211568"/>
    <w:rsid w:val="0021692B"/>
    <w:rsid w:val="002171A7"/>
    <w:rsid w:val="002172D0"/>
    <w:rsid w:val="002324A3"/>
    <w:rsid w:val="002337AC"/>
    <w:rsid w:val="0024280E"/>
    <w:rsid w:val="002439B5"/>
    <w:rsid w:val="00244FE0"/>
    <w:rsid w:val="00247402"/>
    <w:rsid w:val="00290379"/>
    <w:rsid w:val="00290B46"/>
    <w:rsid w:val="00291D3A"/>
    <w:rsid w:val="002920D4"/>
    <w:rsid w:val="00293F53"/>
    <w:rsid w:val="00297A07"/>
    <w:rsid w:val="002A5D51"/>
    <w:rsid w:val="002A6DA8"/>
    <w:rsid w:val="002B24BA"/>
    <w:rsid w:val="002D065D"/>
    <w:rsid w:val="002F57F1"/>
    <w:rsid w:val="00305B1F"/>
    <w:rsid w:val="00312698"/>
    <w:rsid w:val="00323670"/>
    <w:rsid w:val="003249B9"/>
    <w:rsid w:val="00332A6E"/>
    <w:rsid w:val="00333F18"/>
    <w:rsid w:val="00335407"/>
    <w:rsid w:val="00384EB6"/>
    <w:rsid w:val="003B6338"/>
    <w:rsid w:val="003C06FB"/>
    <w:rsid w:val="003C437C"/>
    <w:rsid w:val="003D6BBF"/>
    <w:rsid w:val="003E0BA2"/>
    <w:rsid w:val="003E63A9"/>
    <w:rsid w:val="003F5EC1"/>
    <w:rsid w:val="003F6FA5"/>
    <w:rsid w:val="00404BD3"/>
    <w:rsid w:val="0043164D"/>
    <w:rsid w:val="004422E0"/>
    <w:rsid w:val="00453D8F"/>
    <w:rsid w:val="00454CE8"/>
    <w:rsid w:val="00455385"/>
    <w:rsid w:val="00462A2A"/>
    <w:rsid w:val="004710AE"/>
    <w:rsid w:val="00487C28"/>
    <w:rsid w:val="00490A1B"/>
    <w:rsid w:val="00495268"/>
    <w:rsid w:val="004B6604"/>
    <w:rsid w:val="004C508E"/>
    <w:rsid w:val="004E0928"/>
    <w:rsid w:val="004E4BCF"/>
    <w:rsid w:val="004F0B61"/>
    <w:rsid w:val="004F1EB4"/>
    <w:rsid w:val="00506FCD"/>
    <w:rsid w:val="0051362C"/>
    <w:rsid w:val="00532BBA"/>
    <w:rsid w:val="005469ED"/>
    <w:rsid w:val="005515DC"/>
    <w:rsid w:val="0055668B"/>
    <w:rsid w:val="0057440D"/>
    <w:rsid w:val="005824FC"/>
    <w:rsid w:val="00584541"/>
    <w:rsid w:val="00585692"/>
    <w:rsid w:val="00590627"/>
    <w:rsid w:val="005932D5"/>
    <w:rsid w:val="005A2E47"/>
    <w:rsid w:val="005A7DA1"/>
    <w:rsid w:val="005C3F60"/>
    <w:rsid w:val="005D2E65"/>
    <w:rsid w:val="005D5557"/>
    <w:rsid w:val="005D6649"/>
    <w:rsid w:val="005E08D6"/>
    <w:rsid w:val="005E2407"/>
    <w:rsid w:val="005E5888"/>
    <w:rsid w:val="005F0260"/>
    <w:rsid w:val="00600804"/>
    <w:rsid w:val="006056FD"/>
    <w:rsid w:val="00624C82"/>
    <w:rsid w:val="00624FAA"/>
    <w:rsid w:val="00626CE8"/>
    <w:rsid w:val="00627EC7"/>
    <w:rsid w:val="00642AC0"/>
    <w:rsid w:val="00650D5C"/>
    <w:rsid w:val="006545D8"/>
    <w:rsid w:val="0065543E"/>
    <w:rsid w:val="00661157"/>
    <w:rsid w:val="006618C3"/>
    <w:rsid w:val="00665BC7"/>
    <w:rsid w:val="006761F6"/>
    <w:rsid w:val="006771A5"/>
    <w:rsid w:val="00690111"/>
    <w:rsid w:val="006D5291"/>
    <w:rsid w:val="006F40ED"/>
    <w:rsid w:val="006F4D56"/>
    <w:rsid w:val="00705AE2"/>
    <w:rsid w:val="007112B5"/>
    <w:rsid w:val="007247BD"/>
    <w:rsid w:val="00750EDF"/>
    <w:rsid w:val="00755AD5"/>
    <w:rsid w:val="00757A3C"/>
    <w:rsid w:val="0079367D"/>
    <w:rsid w:val="00796A1A"/>
    <w:rsid w:val="007A24E9"/>
    <w:rsid w:val="007C0C1B"/>
    <w:rsid w:val="007D13B8"/>
    <w:rsid w:val="007E0DED"/>
    <w:rsid w:val="007F04C6"/>
    <w:rsid w:val="00801D1A"/>
    <w:rsid w:val="00804363"/>
    <w:rsid w:val="00832E1E"/>
    <w:rsid w:val="00840313"/>
    <w:rsid w:val="008614C2"/>
    <w:rsid w:val="0088404B"/>
    <w:rsid w:val="008911E7"/>
    <w:rsid w:val="00891D64"/>
    <w:rsid w:val="008A2175"/>
    <w:rsid w:val="008B0624"/>
    <w:rsid w:val="008B4E41"/>
    <w:rsid w:val="008C24A3"/>
    <w:rsid w:val="008C4B6B"/>
    <w:rsid w:val="008D46F4"/>
    <w:rsid w:val="008E5267"/>
    <w:rsid w:val="008E5DA6"/>
    <w:rsid w:val="008F5C0E"/>
    <w:rsid w:val="009343FE"/>
    <w:rsid w:val="00941C55"/>
    <w:rsid w:val="00945444"/>
    <w:rsid w:val="00947BAE"/>
    <w:rsid w:val="00957C8F"/>
    <w:rsid w:val="00980DCE"/>
    <w:rsid w:val="00985B44"/>
    <w:rsid w:val="00990C4C"/>
    <w:rsid w:val="009B53FD"/>
    <w:rsid w:val="009C0234"/>
    <w:rsid w:val="009D0254"/>
    <w:rsid w:val="009D02A0"/>
    <w:rsid w:val="009D1904"/>
    <w:rsid w:val="009E5F12"/>
    <w:rsid w:val="009E7EB7"/>
    <w:rsid w:val="009F28E0"/>
    <w:rsid w:val="009F5BA9"/>
    <w:rsid w:val="00A2000C"/>
    <w:rsid w:val="00A312D8"/>
    <w:rsid w:val="00A34C5A"/>
    <w:rsid w:val="00A35A86"/>
    <w:rsid w:val="00A36004"/>
    <w:rsid w:val="00A62047"/>
    <w:rsid w:val="00A753F1"/>
    <w:rsid w:val="00A94BAB"/>
    <w:rsid w:val="00AA45C5"/>
    <w:rsid w:val="00AA726F"/>
    <w:rsid w:val="00AC73F7"/>
    <w:rsid w:val="00AE6FEC"/>
    <w:rsid w:val="00AF6208"/>
    <w:rsid w:val="00B0290E"/>
    <w:rsid w:val="00B02B94"/>
    <w:rsid w:val="00B02D03"/>
    <w:rsid w:val="00B06B2E"/>
    <w:rsid w:val="00B21195"/>
    <w:rsid w:val="00B324C4"/>
    <w:rsid w:val="00B411D0"/>
    <w:rsid w:val="00B64750"/>
    <w:rsid w:val="00B65D31"/>
    <w:rsid w:val="00B7328F"/>
    <w:rsid w:val="00B76BE3"/>
    <w:rsid w:val="00B80CF2"/>
    <w:rsid w:val="00B81C6D"/>
    <w:rsid w:val="00B93D50"/>
    <w:rsid w:val="00BC09B3"/>
    <w:rsid w:val="00BC3D9A"/>
    <w:rsid w:val="00BC4872"/>
    <w:rsid w:val="00BD7793"/>
    <w:rsid w:val="00BE48DE"/>
    <w:rsid w:val="00BF39AE"/>
    <w:rsid w:val="00C0100A"/>
    <w:rsid w:val="00C115A2"/>
    <w:rsid w:val="00C60611"/>
    <w:rsid w:val="00C65EF1"/>
    <w:rsid w:val="00C73F78"/>
    <w:rsid w:val="00C74B9A"/>
    <w:rsid w:val="00C775DC"/>
    <w:rsid w:val="00C813ED"/>
    <w:rsid w:val="00C854D8"/>
    <w:rsid w:val="00C9464F"/>
    <w:rsid w:val="00CA3CDA"/>
    <w:rsid w:val="00CA53F6"/>
    <w:rsid w:val="00CB31A6"/>
    <w:rsid w:val="00CB5914"/>
    <w:rsid w:val="00CB6CB9"/>
    <w:rsid w:val="00CC0EF5"/>
    <w:rsid w:val="00CC64C7"/>
    <w:rsid w:val="00CD6979"/>
    <w:rsid w:val="00CE19A4"/>
    <w:rsid w:val="00CF16C6"/>
    <w:rsid w:val="00D17C13"/>
    <w:rsid w:val="00D5253A"/>
    <w:rsid w:val="00D72B8D"/>
    <w:rsid w:val="00D77E65"/>
    <w:rsid w:val="00D8033C"/>
    <w:rsid w:val="00D9146A"/>
    <w:rsid w:val="00D9467E"/>
    <w:rsid w:val="00DA6518"/>
    <w:rsid w:val="00DB1B46"/>
    <w:rsid w:val="00DB71FC"/>
    <w:rsid w:val="00DC1FCD"/>
    <w:rsid w:val="00DC466F"/>
    <w:rsid w:val="00DC7317"/>
    <w:rsid w:val="00DD3897"/>
    <w:rsid w:val="00E034BA"/>
    <w:rsid w:val="00E0776F"/>
    <w:rsid w:val="00E137E0"/>
    <w:rsid w:val="00E14C4F"/>
    <w:rsid w:val="00E17CDF"/>
    <w:rsid w:val="00E3443D"/>
    <w:rsid w:val="00E35444"/>
    <w:rsid w:val="00E47EE6"/>
    <w:rsid w:val="00E542DB"/>
    <w:rsid w:val="00E6426D"/>
    <w:rsid w:val="00E64901"/>
    <w:rsid w:val="00E74140"/>
    <w:rsid w:val="00E77899"/>
    <w:rsid w:val="00E80F46"/>
    <w:rsid w:val="00E86A51"/>
    <w:rsid w:val="00EA18E2"/>
    <w:rsid w:val="00EB3517"/>
    <w:rsid w:val="00EC295A"/>
    <w:rsid w:val="00EC787C"/>
    <w:rsid w:val="00EE2645"/>
    <w:rsid w:val="00EE291E"/>
    <w:rsid w:val="00F07A19"/>
    <w:rsid w:val="00F15E27"/>
    <w:rsid w:val="00F16439"/>
    <w:rsid w:val="00F35F42"/>
    <w:rsid w:val="00F54888"/>
    <w:rsid w:val="00F55E0E"/>
    <w:rsid w:val="00F60126"/>
    <w:rsid w:val="00F61250"/>
    <w:rsid w:val="00F64894"/>
    <w:rsid w:val="00F83E8B"/>
    <w:rsid w:val="00F91F01"/>
    <w:rsid w:val="00FA35CB"/>
    <w:rsid w:val="00FD49F6"/>
    <w:rsid w:val="00FD7120"/>
    <w:rsid w:val="00FE0B76"/>
    <w:rsid w:val="00FF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50C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FC"/>
    <w:rPr>
      <w:sz w:val="24"/>
      <w:szCs w:val="24"/>
    </w:rPr>
  </w:style>
  <w:style w:type="paragraph" w:styleId="Heading2">
    <w:name w:val="heading 2"/>
    <w:basedOn w:val="Normal"/>
    <w:next w:val="Normal"/>
    <w:link w:val="Heading2Char"/>
    <w:uiPriority w:val="99"/>
    <w:qFormat/>
    <w:locked/>
    <w:rsid w:val="00DB71FC"/>
    <w:pPr>
      <w:keepNext/>
      <w:spacing w:before="240" w:after="60"/>
      <w:outlineLvl w:val="1"/>
    </w:pPr>
    <w:rPr>
      <w:rFonts w:ascii="Arial" w:hAnsi="Arial" w:cs="Arial"/>
      <w:b/>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B71FC"/>
    <w:rPr>
      <w:rFonts w:ascii="Arial" w:hAnsi="Arial" w:cs="Arial"/>
      <w:b/>
      <w:bCs/>
      <w:i/>
      <w:iCs/>
      <w:sz w:val="28"/>
      <w:szCs w:val="28"/>
    </w:rPr>
  </w:style>
  <w:style w:type="paragraph" w:styleId="Header">
    <w:name w:val="header"/>
    <w:basedOn w:val="Normal"/>
    <w:link w:val="HeaderChar"/>
    <w:uiPriority w:val="99"/>
    <w:rsid w:val="00840313"/>
    <w:pPr>
      <w:tabs>
        <w:tab w:val="center" w:pos="4320"/>
        <w:tab w:val="right" w:pos="8640"/>
      </w:tabs>
    </w:pPr>
  </w:style>
  <w:style w:type="character" w:customStyle="1" w:styleId="HeaderChar">
    <w:name w:val="Header Char"/>
    <w:link w:val="Header"/>
    <w:uiPriority w:val="99"/>
    <w:semiHidden/>
    <w:rsid w:val="00105ECD"/>
    <w:rPr>
      <w:sz w:val="24"/>
      <w:szCs w:val="24"/>
    </w:rPr>
  </w:style>
  <w:style w:type="paragraph" w:styleId="Footer">
    <w:name w:val="footer"/>
    <w:basedOn w:val="Normal"/>
    <w:link w:val="FooterChar"/>
    <w:uiPriority w:val="99"/>
    <w:rsid w:val="00840313"/>
    <w:pPr>
      <w:tabs>
        <w:tab w:val="center" w:pos="4320"/>
        <w:tab w:val="right" w:pos="8640"/>
      </w:tabs>
    </w:pPr>
  </w:style>
  <w:style w:type="character" w:customStyle="1" w:styleId="FooterChar">
    <w:name w:val="Footer Char"/>
    <w:link w:val="Footer"/>
    <w:uiPriority w:val="99"/>
    <w:semiHidden/>
    <w:rsid w:val="00105ECD"/>
    <w:rPr>
      <w:sz w:val="24"/>
      <w:szCs w:val="24"/>
    </w:rPr>
  </w:style>
  <w:style w:type="table" w:styleId="TableGrid">
    <w:name w:val="Table Grid"/>
    <w:basedOn w:val="TableNormal"/>
    <w:uiPriority w:val="99"/>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0313"/>
    <w:rPr>
      <w:rFonts w:ascii="Tahoma" w:hAnsi="Tahoma" w:cs="Tahoma"/>
      <w:sz w:val="16"/>
      <w:szCs w:val="16"/>
    </w:rPr>
  </w:style>
  <w:style w:type="character" w:customStyle="1" w:styleId="BalloonTextChar">
    <w:name w:val="Balloon Text Char"/>
    <w:link w:val="BalloonText"/>
    <w:uiPriority w:val="99"/>
    <w:semiHidden/>
    <w:rsid w:val="00105ECD"/>
    <w:rPr>
      <w:sz w:val="0"/>
      <w:szCs w:val="0"/>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uiPriority w:val="99"/>
    <w:qFormat/>
    <w:locked/>
    <w:rsid w:val="0079367D"/>
    <w:pPr>
      <w:overflowPunct w:val="0"/>
      <w:autoSpaceDE w:val="0"/>
      <w:autoSpaceDN w:val="0"/>
      <w:adjustRightInd w:val="0"/>
      <w:jc w:val="center"/>
      <w:textAlignment w:val="baseline"/>
    </w:pPr>
    <w:rPr>
      <w:b/>
      <w:sz w:val="32"/>
      <w:szCs w:val="20"/>
      <w:lang w:val="fr-CA"/>
    </w:rPr>
  </w:style>
  <w:style w:type="character" w:customStyle="1" w:styleId="TitleChar">
    <w:name w:val="Title Char"/>
    <w:link w:val="Title"/>
    <w:uiPriority w:val="99"/>
    <w:locked/>
    <w:rsid w:val="0079367D"/>
    <w:rPr>
      <w:b/>
      <w:sz w:val="32"/>
      <w:lang w:val="fr-CA" w:eastAsia="en-US"/>
    </w:rPr>
  </w:style>
  <w:style w:type="paragraph" w:customStyle="1" w:styleId="Default">
    <w:name w:val="Default"/>
    <w:uiPriority w:val="99"/>
    <w:rsid w:val="00DB71FC"/>
    <w:pPr>
      <w:autoSpaceDE w:val="0"/>
      <w:autoSpaceDN w:val="0"/>
      <w:adjustRightInd w:val="0"/>
    </w:pPr>
    <w:rPr>
      <w:color w:val="000000"/>
      <w:sz w:val="24"/>
      <w:szCs w:val="24"/>
    </w:rPr>
  </w:style>
  <w:style w:type="paragraph" w:styleId="CommentText">
    <w:name w:val="annotation text"/>
    <w:basedOn w:val="Normal"/>
    <w:link w:val="CommentTextChar"/>
    <w:uiPriority w:val="99"/>
    <w:rsid w:val="00DB71FC"/>
    <w:rPr>
      <w:sz w:val="20"/>
      <w:szCs w:val="20"/>
    </w:rPr>
  </w:style>
  <w:style w:type="character" w:customStyle="1" w:styleId="CommentTextChar">
    <w:name w:val="Comment Text Char"/>
    <w:link w:val="CommentText"/>
    <w:uiPriority w:val="99"/>
    <w:locked/>
    <w:rsid w:val="00DB71FC"/>
    <w:rPr>
      <w:rFonts w:cs="Times New Roman"/>
    </w:rPr>
  </w:style>
  <w:style w:type="paragraph" w:styleId="CommentSubject">
    <w:name w:val="annotation subject"/>
    <w:basedOn w:val="CommentText"/>
    <w:next w:val="CommentText"/>
    <w:link w:val="CommentSubjectChar"/>
    <w:uiPriority w:val="99"/>
    <w:rsid w:val="00DB71FC"/>
    <w:rPr>
      <w:b/>
      <w:bCs/>
    </w:rPr>
  </w:style>
  <w:style w:type="character" w:customStyle="1" w:styleId="CommentSubjectChar">
    <w:name w:val="Comment Subject Char"/>
    <w:link w:val="CommentSubject"/>
    <w:uiPriority w:val="99"/>
    <w:locked/>
    <w:rsid w:val="00DB71FC"/>
    <w:rPr>
      <w:rFonts w:cs="Times New Roman"/>
      <w:b/>
      <w:bCs/>
    </w:rPr>
  </w:style>
  <w:style w:type="paragraph" w:customStyle="1" w:styleId="Form">
    <w:name w:val="Form"/>
    <w:basedOn w:val="Normal"/>
    <w:uiPriority w:val="99"/>
    <w:rsid w:val="00DB71FC"/>
    <w:pPr>
      <w:autoSpaceDE w:val="0"/>
      <w:autoSpaceDN w:val="0"/>
      <w:adjustRightInd w:val="0"/>
      <w:spacing w:before="60" w:after="60"/>
    </w:pPr>
    <w:rPr>
      <w:rFonts w:ascii="Arial" w:eastAsia="MS Mincho" w:hAnsi="Arial" w:cs="Arial"/>
      <w:sz w:val="16"/>
    </w:rPr>
  </w:style>
  <w:style w:type="paragraph" w:styleId="ListParagraph">
    <w:name w:val="List Paragraph"/>
    <w:basedOn w:val="Normal"/>
    <w:uiPriority w:val="34"/>
    <w:qFormat/>
    <w:rsid w:val="00DB71FC"/>
    <w:pPr>
      <w:ind w:left="720"/>
    </w:pPr>
  </w:style>
  <w:style w:type="character" w:styleId="CommentReference">
    <w:name w:val="annotation reference"/>
    <w:uiPriority w:val="99"/>
    <w:rsid w:val="00DB71FC"/>
    <w:rPr>
      <w:rFonts w:cs="Times New Roman"/>
      <w:sz w:val="16"/>
      <w:szCs w:val="16"/>
    </w:rPr>
  </w:style>
  <w:style w:type="character" w:styleId="Strong">
    <w:name w:val="Strong"/>
    <w:uiPriority w:val="99"/>
    <w:qFormat/>
    <w:locked/>
    <w:rsid w:val="008E5DA6"/>
    <w:rPr>
      <w:rFonts w:cs="Times New Roman"/>
      <w:b/>
      <w:bCs/>
    </w:rPr>
  </w:style>
  <w:style w:type="character" w:styleId="FollowedHyperlink">
    <w:name w:val="FollowedHyperlink"/>
    <w:uiPriority w:val="99"/>
    <w:rsid w:val="008E5DA6"/>
    <w:rPr>
      <w:rFonts w:cs="Times New Roman"/>
      <w:color w:val="800080"/>
      <w:u w:val="single"/>
    </w:rPr>
  </w:style>
  <w:style w:type="character" w:styleId="UnresolvedMention">
    <w:name w:val="Unresolved Mention"/>
    <w:uiPriority w:val="99"/>
    <w:semiHidden/>
    <w:unhideWhenUsed/>
    <w:rsid w:val="006F4D56"/>
    <w:rPr>
      <w:color w:val="605E5C"/>
      <w:shd w:val="clear" w:color="auto" w:fill="E1DFDD"/>
    </w:rPr>
  </w:style>
  <w:style w:type="paragraph" w:styleId="FootnoteText">
    <w:name w:val="footnote text"/>
    <w:basedOn w:val="Normal"/>
    <w:link w:val="FootnoteTextChar"/>
    <w:uiPriority w:val="99"/>
    <w:semiHidden/>
    <w:unhideWhenUsed/>
    <w:rsid w:val="00750EDF"/>
    <w:rPr>
      <w:rFonts w:ascii="Calibri" w:eastAsia="Calibri" w:hAnsi="Calibri"/>
      <w:sz w:val="20"/>
      <w:szCs w:val="20"/>
      <w:lang w:val="en-CA"/>
    </w:rPr>
  </w:style>
  <w:style w:type="character" w:customStyle="1" w:styleId="FootnoteTextChar">
    <w:name w:val="Footnote Text Char"/>
    <w:link w:val="FootnoteText"/>
    <w:uiPriority w:val="99"/>
    <w:semiHidden/>
    <w:rsid w:val="00750EDF"/>
    <w:rPr>
      <w:rFonts w:ascii="Calibri" w:eastAsia="Calibri" w:hAnsi="Calibri"/>
      <w:lang w:eastAsia="en-US"/>
    </w:rPr>
  </w:style>
  <w:style w:type="character" w:styleId="FootnoteReference">
    <w:name w:val="footnote reference"/>
    <w:uiPriority w:val="99"/>
    <w:semiHidden/>
    <w:unhideWhenUsed/>
    <w:rsid w:val="00750EDF"/>
    <w:rPr>
      <w:vertAlign w:val="superscript"/>
    </w:rPr>
  </w:style>
  <w:style w:type="character" w:customStyle="1" w:styleId="ng-binding">
    <w:name w:val="ng-binding"/>
    <w:rsid w:val="00750EDF"/>
  </w:style>
  <w:style w:type="character" w:customStyle="1" w:styleId="il">
    <w:name w:val="il"/>
    <w:basedOn w:val="DefaultParagraphFont"/>
    <w:rsid w:val="00063F6C"/>
  </w:style>
  <w:style w:type="paragraph" w:styleId="NormalWeb">
    <w:name w:val="Normal (Web)"/>
    <w:basedOn w:val="Normal"/>
    <w:uiPriority w:val="99"/>
    <w:unhideWhenUsed/>
    <w:rsid w:val="00E3443D"/>
    <w:pPr>
      <w:spacing w:before="100" w:beforeAutospacing="1" w:after="100" w:afterAutospacing="1"/>
    </w:pPr>
    <w:rPr>
      <w:lang w:val="fr-S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853590">
      <w:bodyDiv w:val="1"/>
      <w:marLeft w:val="0"/>
      <w:marRight w:val="0"/>
      <w:marTop w:val="0"/>
      <w:marBottom w:val="0"/>
      <w:divBdr>
        <w:top w:val="none" w:sz="0" w:space="0" w:color="auto"/>
        <w:left w:val="none" w:sz="0" w:space="0" w:color="auto"/>
        <w:bottom w:val="none" w:sz="0" w:space="0" w:color="auto"/>
        <w:right w:val="none" w:sz="0" w:space="0" w:color="auto"/>
      </w:divBdr>
      <w:divsChild>
        <w:div w:id="2063092695">
          <w:marLeft w:val="0"/>
          <w:marRight w:val="0"/>
          <w:marTop w:val="0"/>
          <w:marBottom w:val="0"/>
          <w:divBdr>
            <w:top w:val="none" w:sz="0" w:space="0" w:color="auto"/>
            <w:left w:val="none" w:sz="0" w:space="0" w:color="auto"/>
            <w:bottom w:val="none" w:sz="0" w:space="0" w:color="auto"/>
            <w:right w:val="none" w:sz="0" w:space="0" w:color="auto"/>
          </w:divBdr>
          <w:divsChild>
            <w:div w:id="1722166328">
              <w:marLeft w:val="0"/>
              <w:marRight w:val="0"/>
              <w:marTop w:val="0"/>
              <w:marBottom w:val="0"/>
              <w:divBdr>
                <w:top w:val="none" w:sz="0" w:space="0" w:color="auto"/>
                <w:left w:val="none" w:sz="0" w:space="0" w:color="auto"/>
                <w:bottom w:val="none" w:sz="0" w:space="0" w:color="auto"/>
                <w:right w:val="none" w:sz="0" w:space="0" w:color="auto"/>
              </w:divBdr>
              <w:divsChild>
                <w:div w:id="3816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8044">
      <w:bodyDiv w:val="1"/>
      <w:marLeft w:val="0"/>
      <w:marRight w:val="0"/>
      <w:marTop w:val="0"/>
      <w:marBottom w:val="0"/>
      <w:divBdr>
        <w:top w:val="none" w:sz="0" w:space="0" w:color="auto"/>
        <w:left w:val="none" w:sz="0" w:space="0" w:color="auto"/>
        <w:bottom w:val="none" w:sz="0" w:space="0" w:color="auto"/>
        <w:right w:val="none" w:sz="0" w:space="0" w:color="auto"/>
      </w:divBdr>
      <w:divsChild>
        <w:div w:id="1385639319">
          <w:marLeft w:val="0"/>
          <w:marRight w:val="0"/>
          <w:marTop w:val="0"/>
          <w:marBottom w:val="0"/>
          <w:divBdr>
            <w:top w:val="none" w:sz="0" w:space="0" w:color="auto"/>
            <w:left w:val="none" w:sz="0" w:space="0" w:color="auto"/>
            <w:bottom w:val="none" w:sz="0" w:space="0" w:color="auto"/>
            <w:right w:val="none" w:sz="0" w:space="0" w:color="auto"/>
          </w:divBdr>
          <w:divsChild>
            <w:div w:id="168906629">
              <w:marLeft w:val="0"/>
              <w:marRight w:val="0"/>
              <w:marTop w:val="0"/>
              <w:marBottom w:val="0"/>
              <w:divBdr>
                <w:top w:val="none" w:sz="0" w:space="0" w:color="auto"/>
                <w:left w:val="none" w:sz="0" w:space="0" w:color="auto"/>
                <w:bottom w:val="none" w:sz="0" w:space="0" w:color="auto"/>
                <w:right w:val="none" w:sz="0" w:space="0" w:color="auto"/>
              </w:divBdr>
              <w:divsChild>
                <w:div w:id="15491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5413">
      <w:bodyDiv w:val="1"/>
      <w:marLeft w:val="0"/>
      <w:marRight w:val="0"/>
      <w:marTop w:val="0"/>
      <w:marBottom w:val="0"/>
      <w:divBdr>
        <w:top w:val="none" w:sz="0" w:space="0" w:color="auto"/>
        <w:left w:val="none" w:sz="0" w:space="0" w:color="auto"/>
        <w:bottom w:val="none" w:sz="0" w:space="0" w:color="auto"/>
        <w:right w:val="none" w:sz="0" w:space="0" w:color="auto"/>
      </w:divBdr>
    </w:div>
    <w:div w:id="867722450">
      <w:bodyDiv w:val="1"/>
      <w:marLeft w:val="0"/>
      <w:marRight w:val="0"/>
      <w:marTop w:val="0"/>
      <w:marBottom w:val="0"/>
      <w:divBdr>
        <w:top w:val="none" w:sz="0" w:space="0" w:color="auto"/>
        <w:left w:val="none" w:sz="0" w:space="0" w:color="auto"/>
        <w:bottom w:val="none" w:sz="0" w:space="0" w:color="auto"/>
        <w:right w:val="none" w:sz="0" w:space="0" w:color="auto"/>
      </w:divBdr>
    </w:div>
    <w:div w:id="868565180">
      <w:bodyDiv w:val="1"/>
      <w:marLeft w:val="0"/>
      <w:marRight w:val="0"/>
      <w:marTop w:val="0"/>
      <w:marBottom w:val="0"/>
      <w:divBdr>
        <w:top w:val="none" w:sz="0" w:space="0" w:color="auto"/>
        <w:left w:val="none" w:sz="0" w:space="0" w:color="auto"/>
        <w:bottom w:val="none" w:sz="0" w:space="0" w:color="auto"/>
        <w:right w:val="none" w:sz="0" w:space="0" w:color="auto"/>
      </w:divBdr>
    </w:div>
    <w:div w:id="1021782193">
      <w:bodyDiv w:val="1"/>
      <w:marLeft w:val="0"/>
      <w:marRight w:val="0"/>
      <w:marTop w:val="0"/>
      <w:marBottom w:val="0"/>
      <w:divBdr>
        <w:top w:val="none" w:sz="0" w:space="0" w:color="auto"/>
        <w:left w:val="none" w:sz="0" w:space="0" w:color="auto"/>
        <w:bottom w:val="none" w:sz="0" w:space="0" w:color="auto"/>
        <w:right w:val="none" w:sz="0" w:space="0" w:color="auto"/>
      </w:divBdr>
      <w:divsChild>
        <w:div w:id="339548370">
          <w:marLeft w:val="0"/>
          <w:marRight w:val="0"/>
          <w:marTop w:val="0"/>
          <w:marBottom w:val="0"/>
          <w:divBdr>
            <w:top w:val="none" w:sz="0" w:space="0" w:color="auto"/>
            <w:left w:val="none" w:sz="0" w:space="0" w:color="auto"/>
            <w:bottom w:val="none" w:sz="0" w:space="0" w:color="auto"/>
            <w:right w:val="none" w:sz="0" w:space="0" w:color="auto"/>
          </w:divBdr>
          <w:divsChild>
            <w:div w:id="1895238067">
              <w:marLeft w:val="0"/>
              <w:marRight w:val="0"/>
              <w:marTop w:val="0"/>
              <w:marBottom w:val="0"/>
              <w:divBdr>
                <w:top w:val="none" w:sz="0" w:space="0" w:color="auto"/>
                <w:left w:val="none" w:sz="0" w:space="0" w:color="auto"/>
                <w:bottom w:val="none" w:sz="0" w:space="0" w:color="auto"/>
                <w:right w:val="none" w:sz="0" w:space="0" w:color="auto"/>
              </w:divBdr>
              <w:divsChild>
                <w:div w:id="1289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3111">
      <w:bodyDiv w:val="1"/>
      <w:marLeft w:val="0"/>
      <w:marRight w:val="0"/>
      <w:marTop w:val="0"/>
      <w:marBottom w:val="0"/>
      <w:divBdr>
        <w:top w:val="none" w:sz="0" w:space="0" w:color="auto"/>
        <w:left w:val="none" w:sz="0" w:space="0" w:color="auto"/>
        <w:bottom w:val="none" w:sz="0" w:space="0" w:color="auto"/>
        <w:right w:val="none" w:sz="0" w:space="0" w:color="auto"/>
      </w:divBdr>
    </w:div>
    <w:div w:id="1244025018">
      <w:bodyDiv w:val="1"/>
      <w:marLeft w:val="0"/>
      <w:marRight w:val="0"/>
      <w:marTop w:val="0"/>
      <w:marBottom w:val="0"/>
      <w:divBdr>
        <w:top w:val="none" w:sz="0" w:space="0" w:color="auto"/>
        <w:left w:val="none" w:sz="0" w:space="0" w:color="auto"/>
        <w:bottom w:val="none" w:sz="0" w:space="0" w:color="auto"/>
        <w:right w:val="none" w:sz="0" w:space="0" w:color="auto"/>
      </w:divBdr>
      <w:divsChild>
        <w:div w:id="1862938642">
          <w:marLeft w:val="0"/>
          <w:marRight w:val="0"/>
          <w:marTop w:val="0"/>
          <w:marBottom w:val="0"/>
          <w:divBdr>
            <w:top w:val="none" w:sz="0" w:space="0" w:color="auto"/>
            <w:left w:val="none" w:sz="0" w:space="0" w:color="auto"/>
            <w:bottom w:val="none" w:sz="0" w:space="0" w:color="auto"/>
            <w:right w:val="none" w:sz="0" w:space="0" w:color="auto"/>
          </w:divBdr>
          <w:divsChild>
            <w:div w:id="1451122971">
              <w:marLeft w:val="0"/>
              <w:marRight w:val="0"/>
              <w:marTop w:val="0"/>
              <w:marBottom w:val="0"/>
              <w:divBdr>
                <w:top w:val="none" w:sz="0" w:space="0" w:color="auto"/>
                <w:left w:val="none" w:sz="0" w:space="0" w:color="auto"/>
                <w:bottom w:val="none" w:sz="0" w:space="0" w:color="auto"/>
                <w:right w:val="none" w:sz="0" w:space="0" w:color="auto"/>
              </w:divBdr>
              <w:divsChild>
                <w:div w:id="12802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1542">
      <w:bodyDiv w:val="1"/>
      <w:marLeft w:val="0"/>
      <w:marRight w:val="0"/>
      <w:marTop w:val="0"/>
      <w:marBottom w:val="0"/>
      <w:divBdr>
        <w:top w:val="none" w:sz="0" w:space="0" w:color="auto"/>
        <w:left w:val="none" w:sz="0" w:space="0" w:color="auto"/>
        <w:bottom w:val="none" w:sz="0" w:space="0" w:color="auto"/>
        <w:right w:val="none" w:sz="0" w:space="0" w:color="auto"/>
      </w:divBdr>
      <w:divsChild>
        <w:div w:id="671028334">
          <w:marLeft w:val="0"/>
          <w:marRight w:val="0"/>
          <w:marTop w:val="0"/>
          <w:marBottom w:val="0"/>
          <w:divBdr>
            <w:top w:val="none" w:sz="0" w:space="0" w:color="auto"/>
            <w:left w:val="none" w:sz="0" w:space="0" w:color="auto"/>
            <w:bottom w:val="none" w:sz="0" w:space="0" w:color="auto"/>
            <w:right w:val="none" w:sz="0" w:space="0" w:color="auto"/>
          </w:divBdr>
          <w:divsChild>
            <w:div w:id="1357386487">
              <w:marLeft w:val="0"/>
              <w:marRight w:val="0"/>
              <w:marTop w:val="0"/>
              <w:marBottom w:val="0"/>
              <w:divBdr>
                <w:top w:val="none" w:sz="0" w:space="0" w:color="auto"/>
                <w:left w:val="none" w:sz="0" w:space="0" w:color="auto"/>
                <w:bottom w:val="none" w:sz="0" w:space="0" w:color="auto"/>
                <w:right w:val="none" w:sz="0" w:space="0" w:color="auto"/>
              </w:divBdr>
              <w:divsChild>
                <w:div w:id="14954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1863">
      <w:bodyDiv w:val="1"/>
      <w:marLeft w:val="0"/>
      <w:marRight w:val="0"/>
      <w:marTop w:val="0"/>
      <w:marBottom w:val="0"/>
      <w:divBdr>
        <w:top w:val="none" w:sz="0" w:space="0" w:color="auto"/>
        <w:left w:val="none" w:sz="0" w:space="0" w:color="auto"/>
        <w:bottom w:val="none" w:sz="0" w:space="0" w:color="auto"/>
        <w:right w:val="none" w:sz="0" w:space="0" w:color="auto"/>
      </w:divBdr>
    </w:div>
    <w:div w:id="1631204335">
      <w:bodyDiv w:val="1"/>
      <w:marLeft w:val="0"/>
      <w:marRight w:val="0"/>
      <w:marTop w:val="0"/>
      <w:marBottom w:val="0"/>
      <w:divBdr>
        <w:top w:val="none" w:sz="0" w:space="0" w:color="auto"/>
        <w:left w:val="none" w:sz="0" w:space="0" w:color="auto"/>
        <w:bottom w:val="none" w:sz="0" w:space="0" w:color="auto"/>
        <w:right w:val="none" w:sz="0" w:space="0" w:color="auto"/>
      </w:divBdr>
      <w:divsChild>
        <w:div w:id="727732195">
          <w:marLeft w:val="0"/>
          <w:marRight w:val="0"/>
          <w:marTop w:val="0"/>
          <w:marBottom w:val="0"/>
          <w:divBdr>
            <w:top w:val="none" w:sz="0" w:space="0" w:color="auto"/>
            <w:left w:val="none" w:sz="0" w:space="0" w:color="auto"/>
            <w:bottom w:val="none" w:sz="0" w:space="0" w:color="auto"/>
            <w:right w:val="none" w:sz="0" w:space="0" w:color="auto"/>
          </w:divBdr>
          <w:divsChild>
            <w:div w:id="1663073350">
              <w:marLeft w:val="0"/>
              <w:marRight w:val="0"/>
              <w:marTop w:val="0"/>
              <w:marBottom w:val="0"/>
              <w:divBdr>
                <w:top w:val="none" w:sz="0" w:space="0" w:color="auto"/>
                <w:left w:val="none" w:sz="0" w:space="0" w:color="auto"/>
                <w:bottom w:val="none" w:sz="0" w:space="0" w:color="auto"/>
                <w:right w:val="none" w:sz="0" w:space="0" w:color="auto"/>
              </w:divBdr>
              <w:divsChild>
                <w:div w:id="129834282">
                  <w:marLeft w:val="0"/>
                  <w:marRight w:val="0"/>
                  <w:marTop w:val="0"/>
                  <w:marBottom w:val="0"/>
                  <w:divBdr>
                    <w:top w:val="none" w:sz="0" w:space="0" w:color="auto"/>
                    <w:left w:val="none" w:sz="0" w:space="0" w:color="auto"/>
                    <w:bottom w:val="none" w:sz="0" w:space="0" w:color="auto"/>
                    <w:right w:val="none" w:sz="0" w:space="0" w:color="auto"/>
                  </w:divBdr>
                </w:div>
              </w:divsChild>
            </w:div>
            <w:div w:id="894395102">
              <w:marLeft w:val="0"/>
              <w:marRight w:val="0"/>
              <w:marTop w:val="0"/>
              <w:marBottom w:val="0"/>
              <w:divBdr>
                <w:top w:val="none" w:sz="0" w:space="0" w:color="auto"/>
                <w:left w:val="none" w:sz="0" w:space="0" w:color="auto"/>
                <w:bottom w:val="none" w:sz="0" w:space="0" w:color="auto"/>
                <w:right w:val="none" w:sz="0" w:space="0" w:color="auto"/>
              </w:divBdr>
              <w:divsChild>
                <w:div w:id="847327820">
                  <w:marLeft w:val="0"/>
                  <w:marRight w:val="0"/>
                  <w:marTop w:val="0"/>
                  <w:marBottom w:val="0"/>
                  <w:divBdr>
                    <w:top w:val="none" w:sz="0" w:space="0" w:color="auto"/>
                    <w:left w:val="none" w:sz="0" w:space="0" w:color="auto"/>
                    <w:bottom w:val="none" w:sz="0" w:space="0" w:color="auto"/>
                    <w:right w:val="none" w:sz="0" w:space="0" w:color="auto"/>
                  </w:divBdr>
                </w:div>
                <w:div w:id="484587408">
                  <w:marLeft w:val="0"/>
                  <w:marRight w:val="0"/>
                  <w:marTop w:val="0"/>
                  <w:marBottom w:val="0"/>
                  <w:divBdr>
                    <w:top w:val="none" w:sz="0" w:space="0" w:color="auto"/>
                    <w:left w:val="none" w:sz="0" w:space="0" w:color="auto"/>
                    <w:bottom w:val="none" w:sz="0" w:space="0" w:color="auto"/>
                    <w:right w:val="none" w:sz="0" w:space="0" w:color="auto"/>
                  </w:divBdr>
                </w:div>
              </w:divsChild>
            </w:div>
            <w:div w:id="80376274">
              <w:marLeft w:val="0"/>
              <w:marRight w:val="0"/>
              <w:marTop w:val="0"/>
              <w:marBottom w:val="0"/>
              <w:divBdr>
                <w:top w:val="none" w:sz="0" w:space="0" w:color="auto"/>
                <w:left w:val="none" w:sz="0" w:space="0" w:color="auto"/>
                <w:bottom w:val="none" w:sz="0" w:space="0" w:color="auto"/>
                <w:right w:val="none" w:sz="0" w:space="0" w:color="auto"/>
              </w:divBdr>
              <w:divsChild>
                <w:div w:id="270205480">
                  <w:marLeft w:val="0"/>
                  <w:marRight w:val="0"/>
                  <w:marTop w:val="0"/>
                  <w:marBottom w:val="0"/>
                  <w:divBdr>
                    <w:top w:val="none" w:sz="0" w:space="0" w:color="auto"/>
                    <w:left w:val="none" w:sz="0" w:space="0" w:color="auto"/>
                    <w:bottom w:val="none" w:sz="0" w:space="0" w:color="auto"/>
                    <w:right w:val="none" w:sz="0" w:space="0" w:color="auto"/>
                  </w:divBdr>
                </w:div>
                <w:div w:id="13510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68589">
      <w:bodyDiv w:val="1"/>
      <w:marLeft w:val="0"/>
      <w:marRight w:val="0"/>
      <w:marTop w:val="0"/>
      <w:marBottom w:val="0"/>
      <w:divBdr>
        <w:top w:val="none" w:sz="0" w:space="0" w:color="auto"/>
        <w:left w:val="none" w:sz="0" w:space="0" w:color="auto"/>
        <w:bottom w:val="none" w:sz="0" w:space="0" w:color="auto"/>
        <w:right w:val="none" w:sz="0" w:space="0" w:color="auto"/>
      </w:divBdr>
      <w:divsChild>
        <w:div w:id="1596942819">
          <w:marLeft w:val="0"/>
          <w:marRight w:val="0"/>
          <w:marTop w:val="0"/>
          <w:marBottom w:val="0"/>
          <w:divBdr>
            <w:top w:val="none" w:sz="0" w:space="0" w:color="auto"/>
            <w:left w:val="none" w:sz="0" w:space="0" w:color="auto"/>
            <w:bottom w:val="none" w:sz="0" w:space="0" w:color="auto"/>
            <w:right w:val="none" w:sz="0" w:space="0" w:color="auto"/>
          </w:divBdr>
          <w:divsChild>
            <w:div w:id="1743068064">
              <w:marLeft w:val="0"/>
              <w:marRight w:val="0"/>
              <w:marTop w:val="0"/>
              <w:marBottom w:val="0"/>
              <w:divBdr>
                <w:top w:val="none" w:sz="0" w:space="0" w:color="auto"/>
                <w:left w:val="none" w:sz="0" w:space="0" w:color="auto"/>
                <w:bottom w:val="none" w:sz="0" w:space="0" w:color="auto"/>
                <w:right w:val="none" w:sz="0" w:space="0" w:color="auto"/>
              </w:divBdr>
              <w:divsChild>
                <w:div w:id="2757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2081">
      <w:bodyDiv w:val="1"/>
      <w:marLeft w:val="0"/>
      <w:marRight w:val="0"/>
      <w:marTop w:val="0"/>
      <w:marBottom w:val="0"/>
      <w:divBdr>
        <w:top w:val="none" w:sz="0" w:space="0" w:color="auto"/>
        <w:left w:val="none" w:sz="0" w:space="0" w:color="auto"/>
        <w:bottom w:val="none" w:sz="0" w:space="0" w:color="auto"/>
        <w:right w:val="none" w:sz="0" w:space="0" w:color="auto"/>
      </w:divBdr>
    </w:div>
    <w:div w:id="1685546243">
      <w:bodyDiv w:val="1"/>
      <w:marLeft w:val="0"/>
      <w:marRight w:val="0"/>
      <w:marTop w:val="0"/>
      <w:marBottom w:val="0"/>
      <w:divBdr>
        <w:top w:val="none" w:sz="0" w:space="0" w:color="auto"/>
        <w:left w:val="none" w:sz="0" w:space="0" w:color="auto"/>
        <w:bottom w:val="none" w:sz="0" w:space="0" w:color="auto"/>
        <w:right w:val="none" w:sz="0" w:space="0" w:color="auto"/>
      </w:divBdr>
    </w:div>
    <w:div w:id="1781534163">
      <w:bodyDiv w:val="1"/>
      <w:marLeft w:val="0"/>
      <w:marRight w:val="0"/>
      <w:marTop w:val="0"/>
      <w:marBottom w:val="0"/>
      <w:divBdr>
        <w:top w:val="none" w:sz="0" w:space="0" w:color="auto"/>
        <w:left w:val="none" w:sz="0" w:space="0" w:color="auto"/>
        <w:bottom w:val="none" w:sz="0" w:space="0" w:color="auto"/>
        <w:right w:val="none" w:sz="0" w:space="0" w:color="auto"/>
      </w:divBdr>
    </w:div>
    <w:div w:id="1870557663">
      <w:bodyDiv w:val="1"/>
      <w:marLeft w:val="0"/>
      <w:marRight w:val="0"/>
      <w:marTop w:val="0"/>
      <w:marBottom w:val="0"/>
      <w:divBdr>
        <w:top w:val="none" w:sz="0" w:space="0" w:color="auto"/>
        <w:left w:val="none" w:sz="0" w:space="0" w:color="auto"/>
        <w:bottom w:val="none" w:sz="0" w:space="0" w:color="auto"/>
        <w:right w:val="none" w:sz="0" w:space="0" w:color="auto"/>
      </w:divBdr>
    </w:div>
    <w:div w:id="1950354579">
      <w:bodyDiv w:val="1"/>
      <w:marLeft w:val="0"/>
      <w:marRight w:val="0"/>
      <w:marTop w:val="0"/>
      <w:marBottom w:val="0"/>
      <w:divBdr>
        <w:top w:val="none" w:sz="0" w:space="0" w:color="auto"/>
        <w:left w:val="none" w:sz="0" w:space="0" w:color="auto"/>
        <w:bottom w:val="none" w:sz="0" w:space="0" w:color="auto"/>
        <w:right w:val="none" w:sz="0" w:space="0" w:color="auto"/>
      </w:divBdr>
    </w:div>
    <w:div w:id="1986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keadeegbuwal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cbd.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ng\Documents\Templates\2011-2020_COP11%20logo\templates\en\letter-en-undb-cop11-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7FDCC-0C7E-D245-ACB2-23AC4C0B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letter-en-undb-cop11-colour</Template>
  <TotalTime>0</TotalTime>
  <Pages>1</Pages>
  <Words>1183</Words>
  <Characters>6747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Guidelines for the review of the technical background documents</vt:lpstr>
      <vt:lpstr>Guidelines for the review of the technical background documents</vt:lpstr>
    </vt:vector>
  </TitlesOfParts>
  <LinksUpToDate>false</LinksUpToDate>
  <CharactersWithSpaces>7915</CharactersWithSpaces>
  <SharedDoc>false</SharedDoc>
  <HLinks>
    <vt:vector size="66" baseType="variant">
      <vt:variant>
        <vt:i4>7405656</vt:i4>
      </vt:variant>
      <vt:variant>
        <vt:i4>24</vt:i4>
      </vt:variant>
      <vt:variant>
        <vt:i4>0</vt:i4>
      </vt:variant>
      <vt:variant>
        <vt:i4>5</vt:i4>
      </vt:variant>
      <vt:variant>
        <vt:lpwstr>mailto:secretariat@cbd.int</vt:lpwstr>
      </vt:variant>
      <vt:variant>
        <vt:lpwstr/>
      </vt:variant>
      <vt:variant>
        <vt:i4>6750310</vt:i4>
      </vt:variant>
      <vt:variant>
        <vt:i4>21</vt:i4>
      </vt:variant>
      <vt:variant>
        <vt:i4>0</vt:i4>
      </vt:variant>
      <vt:variant>
        <vt:i4>5</vt:i4>
      </vt:variant>
      <vt:variant>
        <vt:lpwstr>https://portals.iucn.org/library/node/48773</vt:lpwstr>
      </vt:variant>
      <vt:variant>
        <vt:lpwstr/>
      </vt:variant>
      <vt:variant>
        <vt:i4>7995440</vt:i4>
      </vt:variant>
      <vt:variant>
        <vt:i4>18</vt:i4>
      </vt:variant>
      <vt:variant>
        <vt:i4>0</vt:i4>
      </vt:variant>
      <vt:variant>
        <vt:i4>5</vt:i4>
      </vt:variant>
      <vt:variant>
        <vt:lpwstr>https://portals.iucn.org/library/sites/library/files/documents/PATRS-003-En.pdf</vt:lpwstr>
      </vt:variant>
      <vt:variant>
        <vt:lpwstr/>
      </vt:variant>
      <vt:variant>
        <vt:i4>3866663</vt:i4>
      </vt:variant>
      <vt:variant>
        <vt:i4>15</vt:i4>
      </vt:variant>
      <vt:variant>
        <vt:i4>0</vt:i4>
      </vt:variant>
      <vt:variant>
        <vt:i4>5</vt:i4>
      </vt:variant>
      <vt:variant>
        <vt:lpwstr>https://www.protectedplanet.net/c/mpa-guide</vt:lpwstr>
      </vt:variant>
      <vt:variant>
        <vt:lpwstr/>
      </vt:variant>
      <vt:variant>
        <vt:i4>7471223</vt:i4>
      </vt:variant>
      <vt:variant>
        <vt:i4>12</vt:i4>
      </vt:variant>
      <vt:variant>
        <vt:i4>0</vt:i4>
      </vt:variant>
      <vt:variant>
        <vt:i4>5</vt:i4>
      </vt:variant>
      <vt:variant>
        <vt:lpwstr>http://www.wcmc.io/MPA_Guide_EN</vt:lpwstr>
      </vt:variant>
      <vt:variant>
        <vt:lpwstr/>
      </vt:variant>
      <vt:variant>
        <vt:i4>1310800</vt:i4>
      </vt:variant>
      <vt:variant>
        <vt:i4>9</vt:i4>
      </vt:variant>
      <vt:variant>
        <vt:i4>0</vt:i4>
      </vt:variant>
      <vt:variant>
        <vt:i4>5</vt:i4>
      </vt:variant>
      <vt:variant>
        <vt:lpwstr>https://www.iucn.org/commissions/world-commission-protected-areas/our-work/marine/marine-protected-areas-global-standards-success</vt:lpwstr>
      </vt:variant>
      <vt:variant>
        <vt:lpwstr/>
      </vt:variant>
      <vt:variant>
        <vt:i4>1507421</vt:i4>
      </vt:variant>
      <vt:variant>
        <vt:i4>6</vt:i4>
      </vt:variant>
      <vt:variant>
        <vt:i4>0</vt:i4>
      </vt:variant>
      <vt:variant>
        <vt:i4>5</vt:i4>
      </vt:variant>
      <vt:variant>
        <vt:lpwstr>https://www.iucn.org/sites/dev/files/content/documents/applying_mpa_global_standards_v120218_nk_v2.pdf</vt:lpwstr>
      </vt:variant>
      <vt:variant>
        <vt:lpwstr/>
      </vt:variant>
      <vt:variant>
        <vt:i4>7405656</vt:i4>
      </vt:variant>
      <vt:variant>
        <vt:i4>3</vt:i4>
      </vt:variant>
      <vt:variant>
        <vt:i4>0</vt:i4>
      </vt:variant>
      <vt:variant>
        <vt:i4>5</vt:i4>
      </vt:variant>
      <vt:variant>
        <vt:lpwstr>mailto:secretariat@cbd.int</vt:lpwstr>
      </vt:variant>
      <vt:variant>
        <vt:lpwstr/>
      </vt:variant>
      <vt:variant>
        <vt:i4>7405656</vt:i4>
      </vt:variant>
      <vt:variant>
        <vt:i4>0</vt:i4>
      </vt:variant>
      <vt:variant>
        <vt:i4>0</vt:i4>
      </vt:variant>
      <vt:variant>
        <vt:i4>5</vt:i4>
      </vt:variant>
      <vt:variant>
        <vt:lpwstr>mailto:secretariat@cbd.int</vt:lpwstr>
      </vt:variant>
      <vt:variant>
        <vt:lpwstr/>
      </vt:variant>
      <vt:variant>
        <vt:i4>65604</vt:i4>
      </vt:variant>
      <vt:variant>
        <vt:i4>3</vt:i4>
      </vt:variant>
      <vt:variant>
        <vt:i4>0</vt:i4>
      </vt:variant>
      <vt:variant>
        <vt:i4>5</vt:i4>
      </vt:variant>
      <vt:variant>
        <vt:lpwstr>https://www.cbd.int/conferences/post2020</vt:lpwstr>
      </vt:variant>
      <vt:variant>
        <vt:lpwstr/>
      </vt:variant>
      <vt:variant>
        <vt:i4>1114202</vt:i4>
      </vt:variant>
      <vt:variant>
        <vt:i4>0</vt:i4>
      </vt:variant>
      <vt:variant>
        <vt:i4>0</vt:i4>
      </vt:variant>
      <vt:variant>
        <vt:i4>5</vt:i4>
      </vt:variant>
      <vt:variant>
        <vt:lpwstr>https://www.cbd.int/doc/recommendations/wg2020-02/wg2020-02-rec-01-en.pdf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review of the technical background documents</dc:title>
  <dc:subject/>
  <dc:creator/>
  <cp:keywords/>
  <cp:lastModifiedBy/>
  <cp:revision>1</cp:revision>
  <dcterms:created xsi:type="dcterms:W3CDTF">2020-08-14T07:53:00Z</dcterms:created>
  <dcterms:modified xsi:type="dcterms:W3CDTF">2020-08-14T09:17:00Z</dcterms:modified>
</cp:coreProperties>
</file>