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303DB33A" w:rsidR="00236608" w:rsidRPr="000C0B6C" w:rsidRDefault="00373BFE" w:rsidP="009251C2">
            <w:r>
              <w:t>ONYAI</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420BAE2A" w:rsidR="00236608" w:rsidRPr="000C0B6C" w:rsidRDefault="00373BFE" w:rsidP="009251C2">
            <w:r>
              <w:t>FRED</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62240ED3" w:rsidR="00236608" w:rsidRPr="000C0B6C" w:rsidRDefault="00373BFE" w:rsidP="009251C2">
            <w:r>
              <w:t>GOVERNMENT OF UGANDA</w:t>
            </w: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7A7955BD" w:rsidR="00236608" w:rsidRPr="000C0B6C" w:rsidRDefault="00373BFE" w:rsidP="009251C2">
            <w:r>
              <w:t>NATIONAL ENVIRONMENT MANAGEMENT AUTHORITY (NEMA)</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679249E2" w:rsidR="00236608" w:rsidRPr="000C0B6C" w:rsidRDefault="00373BFE" w:rsidP="009251C2">
            <w:r>
              <w:t>NEMA HOUSE, JINJA ROAD, P.O.BOX 22255, KAMPALA</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78B7D71D" w:rsidR="00236608" w:rsidRPr="000C0B6C" w:rsidRDefault="00373BFE" w:rsidP="009251C2">
            <w:r>
              <w:t>KAMPALA</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426E77BD" w:rsidR="00236608" w:rsidRPr="000C0B6C" w:rsidRDefault="00373BFE" w:rsidP="009251C2">
            <w:r>
              <w:t>UGANDA</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474930EE" w:rsidR="00FD7744" w:rsidRPr="000C0B6C" w:rsidRDefault="00602DF3" w:rsidP="00FD7744">
            <w:hyperlink r:id="rId8" w:history="1">
              <w:r w:rsidR="00373BFE" w:rsidRPr="00E81537">
                <w:rPr>
                  <w:rStyle w:val="Hyperlink"/>
                </w:rPr>
                <w:t>fred.onyai@nema.go.ug</w:t>
              </w:r>
            </w:hyperlink>
            <w:r w:rsidR="00FD7744">
              <w:rPr>
                <w:rStyle w:val="Hyperlink"/>
              </w:rPr>
              <w:t xml:space="preserve">; </w:t>
            </w:r>
            <w:r w:rsidR="00373BFE">
              <w:t xml:space="preserve"> </w:t>
            </w:r>
            <w:hyperlink r:id="rId9" w:history="1">
              <w:r w:rsidR="00FD7744" w:rsidRPr="00EF78DC">
                <w:rPr>
                  <w:rStyle w:val="Hyperlink"/>
                </w:rPr>
                <w:t>fredonyai2012@gmail.com</w:t>
              </w:r>
            </w:hyperlink>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39A007E8" w:rsidR="008C7855" w:rsidRPr="00C120D7" w:rsidRDefault="00B833EA" w:rsidP="00B833EA">
            <w:pPr>
              <w:pStyle w:val="ListParagraph"/>
              <w:numPr>
                <w:ilvl w:val="0"/>
                <w:numId w:val="1"/>
              </w:numPr>
              <w:rPr>
                <w:sz w:val="22"/>
                <w:szCs w:val="22"/>
              </w:rPr>
            </w:pPr>
            <w:r w:rsidRPr="00B833EA">
              <w:rPr>
                <w:sz w:val="22"/>
                <w:szCs w:val="22"/>
              </w:rPr>
              <w:t>The post 2020</w:t>
            </w:r>
            <w:r>
              <w:rPr>
                <w:sz w:val="22"/>
                <w:szCs w:val="22"/>
              </w:rPr>
              <w:t xml:space="preserve"> Global Biodiversity  F</w:t>
            </w:r>
            <w:r w:rsidRPr="00B833EA">
              <w:rPr>
                <w:sz w:val="22"/>
                <w:szCs w:val="22"/>
              </w:rPr>
              <w:t>ramework</w:t>
            </w:r>
            <w:r>
              <w:rPr>
                <w:sz w:val="22"/>
                <w:szCs w:val="22"/>
              </w:rPr>
              <w:t xml:space="preserve"> (GBF)</w:t>
            </w:r>
            <w:r w:rsidRPr="00B833EA">
              <w:rPr>
                <w:sz w:val="22"/>
                <w:szCs w:val="22"/>
              </w:rPr>
              <w:t xml:space="preserve"> needs to ensure an equal balance of the 3 objectives of the CBD and build on synergies with related MEAs, while leveraging on the opportunities provided by the Global Sustainable Development Agenda</w:t>
            </w:r>
            <w:r>
              <w:rPr>
                <w:sz w:val="22"/>
                <w:szCs w:val="22"/>
              </w:rPr>
              <w:t xml:space="preserve"> especially in consideration of the specific or applicable SDGs</w:t>
            </w:r>
          </w:p>
        </w:tc>
      </w:tr>
      <w:tr w:rsidR="009770E4" w:rsidRPr="000C0B6C" w14:paraId="08597AAF" w14:textId="77777777" w:rsidTr="002C0D5B">
        <w:trPr>
          <w:trHeight w:val="224"/>
        </w:trPr>
        <w:tc>
          <w:tcPr>
            <w:tcW w:w="10188" w:type="dxa"/>
            <w:gridSpan w:val="4"/>
          </w:tcPr>
          <w:p w14:paraId="0DFEF068" w14:textId="741D38A6" w:rsidR="009770E4" w:rsidRPr="00B833EA" w:rsidRDefault="00224821" w:rsidP="00224821">
            <w:pPr>
              <w:pStyle w:val="ListParagraph"/>
              <w:numPr>
                <w:ilvl w:val="0"/>
                <w:numId w:val="1"/>
              </w:numPr>
              <w:rPr>
                <w:sz w:val="22"/>
                <w:szCs w:val="22"/>
              </w:rPr>
            </w:pPr>
            <w:r w:rsidRPr="00D518AE">
              <w:rPr>
                <w:sz w:val="22"/>
                <w:szCs w:val="22"/>
              </w:rPr>
              <w:t xml:space="preserve">The Mission statement should be </w:t>
            </w:r>
            <w:r w:rsidR="009770E4" w:rsidRPr="00D518AE">
              <w:rPr>
                <w:sz w:val="22"/>
                <w:szCs w:val="22"/>
              </w:rPr>
              <w:t xml:space="preserve">refined and aligned to reflect </w:t>
            </w:r>
            <w:r w:rsidRPr="00D518AE">
              <w:rPr>
                <w:sz w:val="22"/>
                <w:szCs w:val="22"/>
              </w:rPr>
              <w:t xml:space="preserve">strategic </w:t>
            </w:r>
            <w:r w:rsidR="009770E4" w:rsidRPr="00D518AE">
              <w:rPr>
                <w:sz w:val="22"/>
                <w:szCs w:val="22"/>
              </w:rPr>
              <w:t>action</w:t>
            </w:r>
            <w:r w:rsidRPr="00D518AE">
              <w:rPr>
                <w:sz w:val="22"/>
                <w:szCs w:val="22"/>
              </w:rPr>
              <w:t>s</w:t>
            </w:r>
            <w:r w:rsidR="009770E4" w:rsidRPr="00D518AE">
              <w:rPr>
                <w:sz w:val="22"/>
                <w:szCs w:val="22"/>
              </w:rPr>
              <w:t xml:space="preserve"> </w:t>
            </w:r>
            <w:r w:rsidRPr="00D518AE">
              <w:rPr>
                <w:sz w:val="22"/>
                <w:szCs w:val="22"/>
              </w:rPr>
              <w:t>on</w:t>
            </w:r>
            <w:r w:rsidR="009770E4" w:rsidRPr="00D518AE">
              <w:rPr>
                <w:sz w:val="22"/>
                <w:szCs w:val="22"/>
              </w:rPr>
              <w:t xml:space="preserve"> the elements of the vision 2050</w:t>
            </w:r>
            <w:r w:rsidR="00E64215" w:rsidRPr="00D518AE">
              <w:rPr>
                <w:sz w:val="22"/>
                <w:szCs w:val="22"/>
              </w:rPr>
              <w:t xml:space="preserve">. The theory of change also needs to be improved to better communicate the change from the current situation to </w:t>
            </w:r>
            <w:r w:rsidRPr="00D518AE">
              <w:rPr>
                <w:sz w:val="22"/>
                <w:szCs w:val="22"/>
              </w:rPr>
              <w:t xml:space="preserve">the </w:t>
            </w:r>
            <w:r w:rsidR="00E64215" w:rsidRPr="00D518AE">
              <w:rPr>
                <w:sz w:val="22"/>
                <w:szCs w:val="22"/>
              </w:rPr>
              <w:t>better future by 2050</w:t>
            </w:r>
            <w:r w:rsidR="009770E4">
              <w:rPr>
                <w:sz w:val="22"/>
                <w:szCs w:val="22"/>
              </w:rPr>
              <w:t xml:space="preserve"> </w:t>
            </w:r>
          </w:p>
        </w:tc>
      </w:tr>
      <w:tr w:rsidR="00B833EA" w:rsidRPr="000C0B6C" w14:paraId="41D6F97D" w14:textId="77777777" w:rsidTr="002C0D5B">
        <w:trPr>
          <w:trHeight w:val="224"/>
        </w:trPr>
        <w:tc>
          <w:tcPr>
            <w:tcW w:w="10188" w:type="dxa"/>
            <w:gridSpan w:val="4"/>
          </w:tcPr>
          <w:p w14:paraId="32D21E08" w14:textId="6DEDA65F" w:rsidR="00B833EA" w:rsidRDefault="00B833EA" w:rsidP="00B833EA">
            <w:pPr>
              <w:pStyle w:val="ListParagraph"/>
              <w:numPr>
                <w:ilvl w:val="0"/>
                <w:numId w:val="1"/>
              </w:numPr>
              <w:rPr>
                <w:sz w:val="22"/>
                <w:szCs w:val="22"/>
              </w:rPr>
            </w:pPr>
            <w:r w:rsidRPr="00B833EA">
              <w:rPr>
                <w:sz w:val="22"/>
                <w:szCs w:val="22"/>
              </w:rPr>
              <w:t>The need to consider reference date targets that support restoration efforts, benefit sharing and sustainable use. Besides, the ‘headline’ indicators should be named ‘high-level’ or ‘global’ indicators to reflect their strategic level and global importance.</w:t>
            </w:r>
          </w:p>
        </w:tc>
      </w:tr>
      <w:tr w:rsidR="008C7855" w:rsidRPr="000C0B6C" w14:paraId="7ABFA388" w14:textId="77777777" w:rsidTr="00C120D7">
        <w:trPr>
          <w:trHeight w:val="341"/>
        </w:trPr>
        <w:tc>
          <w:tcPr>
            <w:tcW w:w="10188" w:type="dxa"/>
            <w:gridSpan w:val="4"/>
          </w:tcPr>
          <w:p w14:paraId="560E3978" w14:textId="5F1BCE4A" w:rsidR="008C7855" w:rsidRPr="00C120D7" w:rsidRDefault="00C120D7" w:rsidP="00C120D7">
            <w:pPr>
              <w:pStyle w:val="ListParagraph"/>
              <w:numPr>
                <w:ilvl w:val="0"/>
                <w:numId w:val="1"/>
              </w:numPr>
              <w:rPr>
                <w:sz w:val="22"/>
                <w:szCs w:val="22"/>
              </w:rPr>
            </w:pPr>
            <w:r w:rsidRPr="00C120D7">
              <w:rPr>
                <w:sz w:val="22"/>
                <w:szCs w:val="22"/>
              </w:rPr>
              <w:t xml:space="preserve">Adequate </w:t>
            </w:r>
            <w:r w:rsidR="007B767C" w:rsidRPr="00C120D7">
              <w:rPr>
                <w:sz w:val="22"/>
                <w:szCs w:val="22"/>
              </w:rPr>
              <w:t>resources</w:t>
            </w:r>
            <w:r w:rsidR="007B767C">
              <w:rPr>
                <w:sz w:val="22"/>
                <w:szCs w:val="22"/>
              </w:rPr>
              <w:t xml:space="preserve"> </w:t>
            </w:r>
            <w:r w:rsidR="007B767C" w:rsidRPr="00C120D7">
              <w:rPr>
                <w:sz w:val="22"/>
                <w:szCs w:val="22"/>
              </w:rPr>
              <w:t>to</w:t>
            </w:r>
            <w:r w:rsidRPr="00C120D7">
              <w:rPr>
                <w:sz w:val="22"/>
                <w:szCs w:val="22"/>
              </w:rPr>
              <w:t xml:space="preserve"> support implementation, monitoring and reporting are required to achieve the </w:t>
            </w:r>
            <w:r w:rsidR="007B767C">
              <w:rPr>
                <w:sz w:val="22"/>
                <w:szCs w:val="22"/>
              </w:rPr>
              <w:t>expected transformative changes. Besides, national</w:t>
            </w:r>
            <w:r w:rsidRPr="00C120D7">
              <w:rPr>
                <w:sz w:val="22"/>
                <w:szCs w:val="22"/>
              </w:rPr>
              <w:t xml:space="preserve"> input to the targets and indicators is equally important.</w:t>
            </w:r>
          </w:p>
        </w:tc>
      </w:tr>
      <w:tr w:rsidR="008C7855" w:rsidRPr="000C0B6C" w14:paraId="245B7828" w14:textId="77777777" w:rsidTr="002C0D5B">
        <w:trPr>
          <w:trHeight w:val="224"/>
        </w:trPr>
        <w:tc>
          <w:tcPr>
            <w:tcW w:w="10188" w:type="dxa"/>
            <w:gridSpan w:val="4"/>
          </w:tcPr>
          <w:p w14:paraId="2C64714E" w14:textId="01150171" w:rsidR="008C7855" w:rsidRPr="00C120D7" w:rsidRDefault="007B767C" w:rsidP="00C120D7">
            <w:pPr>
              <w:pStyle w:val="ListParagraph"/>
              <w:numPr>
                <w:ilvl w:val="0"/>
                <w:numId w:val="1"/>
              </w:numPr>
              <w:rPr>
                <w:sz w:val="22"/>
                <w:szCs w:val="22"/>
              </w:rPr>
            </w:pPr>
            <w:r>
              <w:rPr>
                <w:sz w:val="22"/>
                <w:szCs w:val="22"/>
              </w:rPr>
              <w:t xml:space="preserve">There should be two separate goals for species and ecosystems respectively to avoid overcrowding and facilitate better target setting for implementation. </w:t>
            </w:r>
          </w:p>
        </w:tc>
      </w:tr>
      <w:tr w:rsidR="008C7855" w:rsidRPr="000C0B6C" w14:paraId="190C415F" w14:textId="77777777" w:rsidTr="002C0D5B">
        <w:trPr>
          <w:trHeight w:val="224"/>
        </w:trPr>
        <w:tc>
          <w:tcPr>
            <w:tcW w:w="10188" w:type="dxa"/>
            <w:gridSpan w:val="4"/>
          </w:tcPr>
          <w:p w14:paraId="75CEC945" w14:textId="4029A52C" w:rsidR="008C7855" w:rsidRPr="00D518AE" w:rsidRDefault="007B767C" w:rsidP="009770E4">
            <w:pPr>
              <w:pStyle w:val="ListParagraph"/>
              <w:numPr>
                <w:ilvl w:val="0"/>
                <w:numId w:val="1"/>
              </w:numPr>
              <w:rPr>
                <w:sz w:val="22"/>
                <w:szCs w:val="22"/>
              </w:rPr>
            </w:pPr>
            <w:r w:rsidRPr="00D518AE">
              <w:rPr>
                <w:sz w:val="22"/>
                <w:szCs w:val="22"/>
              </w:rPr>
              <w:t xml:space="preserve">Goal B on </w:t>
            </w:r>
            <w:r w:rsidRPr="00D518AE">
              <w:rPr>
                <w:i/>
                <w:sz w:val="22"/>
                <w:szCs w:val="22"/>
              </w:rPr>
              <w:t>Nature’s contribution</w:t>
            </w:r>
            <w:r w:rsidRPr="00D518AE">
              <w:rPr>
                <w:sz w:val="22"/>
                <w:szCs w:val="22"/>
              </w:rPr>
              <w:t xml:space="preserve"> is relevant but the milestones reflecting nature’s benefits to people </w:t>
            </w:r>
            <w:r w:rsidR="009770E4" w:rsidRPr="00D518AE">
              <w:rPr>
                <w:sz w:val="22"/>
                <w:szCs w:val="22"/>
              </w:rPr>
              <w:t xml:space="preserve">should be </w:t>
            </w:r>
            <w:r w:rsidRPr="00D518AE">
              <w:rPr>
                <w:sz w:val="22"/>
                <w:szCs w:val="22"/>
              </w:rPr>
              <w:t>expanded beyond the current sectors identified, and that a clear link is made with the 2030 agenda for sustainable development (with reference to the specific SDGs).</w:t>
            </w:r>
          </w:p>
        </w:tc>
      </w:tr>
      <w:tr w:rsidR="008C7855" w:rsidRPr="000C0B6C" w14:paraId="49FBD9FE" w14:textId="77777777" w:rsidTr="002C0D5B">
        <w:trPr>
          <w:trHeight w:val="224"/>
        </w:trPr>
        <w:tc>
          <w:tcPr>
            <w:tcW w:w="10188" w:type="dxa"/>
            <w:gridSpan w:val="4"/>
          </w:tcPr>
          <w:p w14:paraId="2F722B82" w14:textId="46C260AE" w:rsidR="008C7855" w:rsidRPr="00C120D7" w:rsidRDefault="007B767C" w:rsidP="009770E4">
            <w:pPr>
              <w:pStyle w:val="ListParagraph"/>
              <w:numPr>
                <w:ilvl w:val="0"/>
                <w:numId w:val="1"/>
              </w:numPr>
              <w:rPr>
                <w:sz w:val="22"/>
                <w:szCs w:val="22"/>
              </w:rPr>
            </w:pPr>
            <w:r>
              <w:rPr>
                <w:sz w:val="22"/>
                <w:szCs w:val="22"/>
              </w:rPr>
              <w:t>Goal C should include</w:t>
            </w:r>
            <w:r w:rsidRPr="007B767C">
              <w:rPr>
                <w:sz w:val="22"/>
                <w:szCs w:val="22"/>
              </w:rPr>
              <w:t xml:space="preserve"> the aspect</w:t>
            </w:r>
            <w:r>
              <w:rPr>
                <w:sz w:val="22"/>
                <w:szCs w:val="22"/>
              </w:rPr>
              <w:t>s</w:t>
            </w:r>
            <w:r w:rsidRPr="007B767C">
              <w:rPr>
                <w:sz w:val="22"/>
                <w:szCs w:val="22"/>
              </w:rPr>
              <w:t xml:space="preserve"> of traditional</w:t>
            </w:r>
            <w:r>
              <w:rPr>
                <w:sz w:val="22"/>
                <w:szCs w:val="22"/>
              </w:rPr>
              <w:t xml:space="preserve"> or indigenous</w:t>
            </w:r>
            <w:r w:rsidRPr="007B767C">
              <w:rPr>
                <w:sz w:val="22"/>
                <w:szCs w:val="22"/>
              </w:rPr>
              <w:t xml:space="preserve"> knowledge and the milestones should include fair and equitable sharing of benefits, not just focusing on percentage benefits.</w:t>
            </w:r>
          </w:p>
        </w:tc>
      </w:tr>
      <w:tr w:rsidR="008C7855" w:rsidRPr="000C0B6C" w14:paraId="5123AC6E" w14:textId="77777777" w:rsidTr="002C0D5B">
        <w:trPr>
          <w:trHeight w:val="224"/>
        </w:trPr>
        <w:tc>
          <w:tcPr>
            <w:tcW w:w="10188" w:type="dxa"/>
            <w:gridSpan w:val="4"/>
          </w:tcPr>
          <w:p w14:paraId="58F52F47" w14:textId="72CBD240" w:rsidR="008C7855" w:rsidRPr="00C120D7" w:rsidRDefault="00B833EA" w:rsidP="00C120D7">
            <w:pPr>
              <w:pStyle w:val="ListParagraph"/>
              <w:numPr>
                <w:ilvl w:val="0"/>
                <w:numId w:val="1"/>
              </w:numPr>
              <w:rPr>
                <w:sz w:val="22"/>
                <w:szCs w:val="22"/>
              </w:rPr>
            </w:pPr>
            <w:r>
              <w:rPr>
                <w:sz w:val="22"/>
                <w:szCs w:val="22"/>
              </w:rPr>
              <w:t xml:space="preserve">The goals, targets and the implementation tools of the GBF should take into account national priorities and circumstances/conditions. </w:t>
            </w:r>
          </w:p>
        </w:tc>
      </w:tr>
      <w:tr w:rsidR="008C7855" w:rsidRPr="000C0B6C" w14:paraId="3C265F9F" w14:textId="77777777" w:rsidTr="002C0D5B">
        <w:trPr>
          <w:trHeight w:val="224"/>
        </w:trPr>
        <w:tc>
          <w:tcPr>
            <w:tcW w:w="10188" w:type="dxa"/>
            <w:gridSpan w:val="4"/>
          </w:tcPr>
          <w:p w14:paraId="569563E6" w14:textId="6F52E01D" w:rsidR="008C7855" w:rsidRPr="00C120D7" w:rsidRDefault="0028451A" w:rsidP="00C120D7">
            <w:pPr>
              <w:pStyle w:val="ListParagraph"/>
              <w:numPr>
                <w:ilvl w:val="0"/>
                <w:numId w:val="1"/>
              </w:numPr>
              <w:rPr>
                <w:sz w:val="22"/>
                <w:szCs w:val="22"/>
              </w:rPr>
            </w:pPr>
            <w:r>
              <w:rPr>
                <w:rFonts w:eastAsia="Calibri"/>
              </w:rPr>
              <w:t>T</w:t>
            </w:r>
            <w:r w:rsidRPr="0028451A">
              <w:rPr>
                <w:rFonts w:eastAsia="Calibri"/>
              </w:rPr>
              <w:t>he imple</w:t>
            </w:r>
            <w:r>
              <w:rPr>
                <w:rFonts w:eastAsia="Calibri"/>
              </w:rPr>
              <w:t xml:space="preserve">mentation support mechanisms should be equitably accessible and </w:t>
            </w:r>
            <w:r w:rsidRPr="0028451A">
              <w:rPr>
                <w:rFonts w:eastAsia="Calibri"/>
              </w:rPr>
              <w:t>sufficiently transformative in order to achieve the level of ambition of the go</w:t>
            </w:r>
            <w:r>
              <w:rPr>
                <w:rFonts w:eastAsia="Calibri"/>
              </w:rPr>
              <w:t>als and targets of the GBF</w:t>
            </w:r>
          </w:p>
        </w:tc>
      </w:tr>
      <w:tr w:rsidR="008C7855" w:rsidRPr="000C0B6C" w14:paraId="566B9023" w14:textId="77777777" w:rsidTr="002C0D5B">
        <w:trPr>
          <w:trHeight w:val="224"/>
        </w:trPr>
        <w:tc>
          <w:tcPr>
            <w:tcW w:w="10188" w:type="dxa"/>
            <w:gridSpan w:val="4"/>
          </w:tcPr>
          <w:p w14:paraId="65795D71" w14:textId="0EF80712" w:rsidR="008C7855" w:rsidRDefault="0028451A" w:rsidP="00C120D7">
            <w:pPr>
              <w:pStyle w:val="ListParagraph"/>
              <w:numPr>
                <w:ilvl w:val="0"/>
                <w:numId w:val="1"/>
              </w:numPr>
              <w:rPr>
                <w:sz w:val="22"/>
                <w:szCs w:val="22"/>
              </w:rPr>
            </w:pPr>
            <w:r>
              <w:rPr>
                <w:sz w:val="22"/>
                <w:szCs w:val="22"/>
              </w:rPr>
              <w:t xml:space="preserve">The need to focus </w:t>
            </w:r>
            <w:r w:rsidR="00D518AE">
              <w:rPr>
                <w:sz w:val="22"/>
                <w:szCs w:val="22"/>
              </w:rPr>
              <w:t>on mechanisms</w:t>
            </w:r>
            <w:r>
              <w:rPr>
                <w:sz w:val="22"/>
                <w:szCs w:val="22"/>
              </w:rPr>
              <w:t xml:space="preserve"> for monitoring, review and reporting on </w:t>
            </w:r>
            <w:r w:rsidR="00D518AE">
              <w:rPr>
                <w:sz w:val="22"/>
                <w:szCs w:val="22"/>
              </w:rPr>
              <w:t xml:space="preserve">the GBF goals and targets. Global mechanisms will be required to enhance relevance across sectors and policies, efficiency, effectiveness, impacts, sustainability, transparency and accountability among all parties. </w:t>
            </w:r>
          </w:p>
          <w:p w14:paraId="04F3E213" w14:textId="77777777" w:rsidR="00D518AE" w:rsidRDefault="00D518AE" w:rsidP="00D518AE">
            <w:pPr>
              <w:rPr>
                <w:sz w:val="22"/>
                <w:szCs w:val="22"/>
              </w:rPr>
            </w:pPr>
          </w:p>
          <w:p w14:paraId="4BF41F06" w14:textId="77777777" w:rsidR="00D518AE" w:rsidRDefault="00D518AE" w:rsidP="00D518AE">
            <w:pPr>
              <w:rPr>
                <w:sz w:val="22"/>
                <w:szCs w:val="22"/>
              </w:rPr>
            </w:pPr>
          </w:p>
          <w:p w14:paraId="7A29B0D2" w14:textId="77777777" w:rsidR="00D518AE" w:rsidRDefault="00D518AE" w:rsidP="00D518AE">
            <w:pPr>
              <w:rPr>
                <w:sz w:val="22"/>
                <w:szCs w:val="22"/>
              </w:rPr>
            </w:pPr>
          </w:p>
          <w:p w14:paraId="18DC4C65" w14:textId="6F5710BA" w:rsidR="00D518AE" w:rsidRPr="00D518AE" w:rsidRDefault="00D518AE" w:rsidP="00D518AE">
            <w:pPr>
              <w:rPr>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lastRenderedPageBreak/>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32FF3431" w:rsidR="00236608" w:rsidRPr="000C0B6C" w:rsidRDefault="00373BFE" w:rsidP="009251C2">
            <w:r>
              <w:rPr>
                <w:sz w:val="22"/>
                <w:szCs w:val="22"/>
              </w:rPr>
              <w:t>5</w:t>
            </w:r>
          </w:p>
        </w:tc>
        <w:tc>
          <w:tcPr>
            <w:tcW w:w="1231" w:type="dxa"/>
          </w:tcPr>
          <w:p w14:paraId="3DA5E0E9" w14:textId="3C9879C4" w:rsidR="00236608" w:rsidRPr="000C0B6C" w:rsidRDefault="00373BFE" w:rsidP="009251C2">
            <w:r>
              <w:rPr>
                <w:sz w:val="22"/>
                <w:szCs w:val="22"/>
              </w:rPr>
              <w:t>21-22</w:t>
            </w:r>
          </w:p>
        </w:tc>
        <w:tc>
          <w:tcPr>
            <w:tcW w:w="8139" w:type="dxa"/>
            <w:gridSpan w:val="2"/>
          </w:tcPr>
          <w:p w14:paraId="1FB20CA9" w14:textId="3CF6BBBF" w:rsidR="00236608" w:rsidRPr="000C0B6C" w:rsidRDefault="00373BFE" w:rsidP="009251C2">
            <w:r>
              <w:t>A specific</w:t>
            </w:r>
            <w:r w:rsidR="007828D0">
              <w:t xml:space="preserve"> target for agro-biodiversity should be developed </w:t>
            </w:r>
            <w:r>
              <w:t xml:space="preserve"> to take care of sustainable agriculture for human livelihoods (food security and nutrition, and income)</w:t>
            </w:r>
          </w:p>
        </w:tc>
      </w:tr>
      <w:tr w:rsidR="007828D0" w:rsidRPr="000C0B6C" w14:paraId="2F6D7B44" w14:textId="77777777" w:rsidTr="009251C2">
        <w:trPr>
          <w:trHeight w:val="224"/>
        </w:trPr>
        <w:tc>
          <w:tcPr>
            <w:tcW w:w="818" w:type="dxa"/>
          </w:tcPr>
          <w:p w14:paraId="179961A8" w14:textId="161EA457" w:rsidR="007828D0" w:rsidRDefault="007828D0" w:rsidP="009251C2">
            <w:pPr>
              <w:rPr>
                <w:sz w:val="22"/>
                <w:szCs w:val="22"/>
              </w:rPr>
            </w:pPr>
            <w:r>
              <w:rPr>
                <w:sz w:val="22"/>
                <w:szCs w:val="22"/>
              </w:rPr>
              <w:t>5</w:t>
            </w:r>
          </w:p>
        </w:tc>
        <w:tc>
          <w:tcPr>
            <w:tcW w:w="1231" w:type="dxa"/>
          </w:tcPr>
          <w:p w14:paraId="72443136" w14:textId="30935FC5" w:rsidR="007828D0" w:rsidRDefault="007828D0" w:rsidP="009251C2">
            <w:pPr>
              <w:rPr>
                <w:sz w:val="22"/>
                <w:szCs w:val="22"/>
              </w:rPr>
            </w:pPr>
            <w:r>
              <w:rPr>
                <w:sz w:val="22"/>
                <w:szCs w:val="22"/>
              </w:rPr>
              <w:t>23</w:t>
            </w:r>
          </w:p>
        </w:tc>
        <w:tc>
          <w:tcPr>
            <w:tcW w:w="8139" w:type="dxa"/>
            <w:gridSpan w:val="2"/>
          </w:tcPr>
          <w:p w14:paraId="3D20D3E3" w14:textId="16F60C93" w:rsidR="007828D0" w:rsidRDefault="007828D0" w:rsidP="009251C2">
            <w:r>
              <w:t xml:space="preserve">The need for specific strategic actions for inter-sectoral linkages and synergies  (biodiversity mainstreaming actions) to ensure conservation of species across sectors </w:t>
            </w:r>
          </w:p>
        </w:tc>
      </w:tr>
      <w:tr w:rsidR="007828D0" w:rsidRPr="000C0B6C" w14:paraId="5104DD27" w14:textId="77777777" w:rsidTr="009251C2">
        <w:trPr>
          <w:trHeight w:val="224"/>
        </w:trPr>
        <w:tc>
          <w:tcPr>
            <w:tcW w:w="818" w:type="dxa"/>
          </w:tcPr>
          <w:p w14:paraId="14722E38" w14:textId="42A4F9BC" w:rsidR="007828D0" w:rsidRDefault="007828D0" w:rsidP="009251C2">
            <w:pPr>
              <w:rPr>
                <w:sz w:val="22"/>
                <w:szCs w:val="22"/>
              </w:rPr>
            </w:pPr>
            <w:r>
              <w:rPr>
                <w:sz w:val="22"/>
                <w:szCs w:val="22"/>
              </w:rPr>
              <w:t>7</w:t>
            </w:r>
          </w:p>
        </w:tc>
        <w:tc>
          <w:tcPr>
            <w:tcW w:w="1231" w:type="dxa"/>
          </w:tcPr>
          <w:p w14:paraId="7B63C56D" w14:textId="4E0D6F99" w:rsidR="007828D0" w:rsidRDefault="007828D0" w:rsidP="009251C2">
            <w:pPr>
              <w:rPr>
                <w:sz w:val="22"/>
                <w:szCs w:val="22"/>
              </w:rPr>
            </w:pPr>
            <w:r>
              <w:rPr>
                <w:sz w:val="22"/>
                <w:szCs w:val="22"/>
              </w:rPr>
              <w:t>30</w:t>
            </w:r>
          </w:p>
        </w:tc>
        <w:tc>
          <w:tcPr>
            <w:tcW w:w="8139" w:type="dxa"/>
            <w:gridSpan w:val="2"/>
          </w:tcPr>
          <w:p w14:paraId="3D99D172" w14:textId="1119C37B" w:rsidR="007828D0" w:rsidRDefault="007828D0" w:rsidP="009251C2">
            <w:r>
              <w:t xml:space="preserve">Develop  a global and more practicable mechanism for addressing both wild and domestic genetic diversity </w:t>
            </w:r>
          </w:p>
        </w:tc>
      </w:tr>
      <w:tr w:rsidR="007828D0" w:rsidRPr="000C0B6C" w14:paraId="322392AF" w14:textId="77777777" w:rsidTr="009251C2">
        <w:trPr>
          <w:trHeight w:val="224"/>
        </w:trPr>
        <w:tc>
          <w:tcPr>
            <w:tcW w:w="818" w:type="dxa"/>
          </w:tcPr>
          <w:p w14:paraId="6E7C68B3" w14:textId="19BEFFE5" w:rsidR="007828D0" w:rsidRDefault="007828D0" w:rsidP="009251C2">
            <w:pPr>
              <w:rPr>
                <w:sz w:val="22"/>
                <w:szCs w:val="22"/>
              </w:rPr>
            </w:pPr>
            <w:r>
              <w:rPr>
                <w:sz w:val="22"/>
                <w:szCs w:val="22"/>
              </w:rPr>
              <w:t>7</w:t>
            </w:r>
          </w:p>
        </w:tc>
        <w:tc>
          <w:tcPr>
            <w:tcW w:w="1231" w:type="dxa"/>
          </w:tcPr>
          <w:p w14:paraId="35C98175" w14:textId="2FFAC76E" w:rsidR="007828D0" w:rsidRDefault="007828D0" w:rsidP="009251C2">
            <w:pPr>
              <w:rPr>
                <w:sz w:val="22"/>
                <w:szCs w:val="22"/>
              </w:rPr>
            </w:pPr>
            <w:r>
              <w:rPr>
                <w:sz w:val="22"/>
                <w:szCs w:val="22"/>
              </w:rPr>
              <w:t>31</w:t>
            </w:r>
          </w:p>
        </w:tc>
        <w:tc>
          <w:tcPr>
            <w:tcW w:w="8139" w:type="dxa"/>
            <w:gridSpan w:val="2"/>
          </w:tcPr>
          <w:p w14:paraId="0E7824AC" w14:textId="17263638" w:rsidR="007828D0" w:rsidRDefault="007828D0" w:rsidP="009251C2">
            <w:r>
              <w:t>Develop and operationalize global information platform on the status of genetic diversity of wild species  under categories of extinction risk/threatened, abundance, endemic, habitat loss and degradation.</w:t>
            </w:r>
          </w:p>
        </w:tc>
      </w:tr>
      <w:tr w:rsidR="00236608" w:rsidRPr="000C0B6C" w14:paraId="6153AF8D" w14:textId="77777777" w:rsidTr="009251C2">
        <w:trPr>
          <w:trHeight w:val="233"/>
        </w:trPr>
        <w:tc>
          <w:tcPr>
            <w:tcW w:w="818" w:type="dxa"/>
          </w:tcPr>
          <w:p w14:paraId="66AF3500" w14:textId="5303AD95" w:rsidR="00236608" w:rsidRPr="000C0B6C" w:rsidRDefault="00155D9B" w:rsidP="009251C2">
            <w:r>
              <w:t>8</w:t>
            </w:r>
          </w:p>
        </w:tc>
        <w:tc>
          <w:tcPr>
            <w:tcW w:w="1231" w:type="dxa"/>
          </w:tcPr>
          <w:p w14:paraId="6A91318A" w14:textId="26491505" w:rsidR="00236608" w:rsidRPr="000C0B6C" w:rsidRDefault="00155D9B" w:rsidP="009251C2">
            <w:r>
              <w:t>39</w:t>
            </w:r>
          </w:p>
        </w:tc>
        <w:tc>
          <w:tcPr>
            <w:tcW w:w="8139" w:type="dxa"/>
            <w:gridSpan w:val="2"/>
          </w:tcPr>
          <w:p w14:paraId="5F267497" w14:textId="150ACEF8" w:rsidR="00236608" w:rsidRPr="000C0B6C" w:rsidRDefault="00155D9B" w:rsidP="009251C2">
            <w:r>
              <w:t>Data/information on nature’s contribution to household income in LDCs should also be provided ( household income  is one of the major contributions of nature to LDCs population thus contributing to poverty reduction)</w:t>
            </w:r>
          </w:p>
        </w:tc>
      </w:tr>
      <w:tr w:rsidR="00236608" w:rsidRPr="000C0B6C" w14:paraId="6D0FC60A" w14:textId="77777777" w:rsidTr="009251C2">
        <w:trPr>
          <w:trHeight w:val="224"/>
        </w:trPr>
        <w:tc>
          <w:tcPr>
            <w:tcW w:w="818" w:type="dxa"/>
          </w:tcPr>
          <w:p w14:paraId="6282A73C" w14:textId="4DF06E40" w:rsidR="00236608" w:rsidRPr="000C0B6C" w:rsidRDefault="00C23AE9" w:rsidP="009251C2">
            <w:r>
              <w:t>10</w:t>
            </w:r>
          </w:p>
        </w:tc>
        <w:tc>
          <w:tcPr>
            <w:tcW w:w="1231" w:type="dxa"/>
          </w:tcPr>
          <w:p w14:paraId="4956A208" w14:textId="0C080E62" w:rsidR="00236608" w:rsidRPr="000C0B6C" w:rsidRDefault="00C23AE9" w:rsidP="009251C2">
            <w:r>
              <w:t>47</w:t>
            </w:r>
          </w:p>
        </w:tc>
        <w:tc>
          <w:tcPr>
            <w:tcW w:w="8139" w:type="dxa"/>
            <w:gridSpan w:val="2"/>
          </w:tcPr>
          <w:p w14:paraId="1B92E2B4" w14:textId="3EC6B849" w:rsidR="00236608" w:rsidRPr="000C0B6C" w:rsidRDefault="00C23AE9" w:rsidP="009251C2">
            <w:r>
              <w:t xml:space="preserve">The means of implementation (financing, capacity building, technology, and partnerships- scientific and technical co-operation) should be universally and equitably accessible </w:t>
            </w:r>
          </w:p>
        </w:tc>
      </w:tr>
      <w:tr w:rsidR="00236608" w:rsidRPr="000C0B6C" w14:paraId="30930566" w14:textId="77777777" w:rsidTr="009251C2">
        <w:trPr>
          <w:trHeight w:val="224"/>
        </w:trPr>
        <w:tc>
          <w:tcPr>
            <w:tcW w:w="818" w:type="dxa"/>
          </w:tcPr>
          <w:p w14:paraId="7E88CD75" w14:textId="5AB13406" w:rsidR="00236608" w:rsidRPr="000C0B6C" w:rsidRDefault="008B7796" w:rsidP="009251C2">
            <w:r>
              <w:t>13</w:t>
            </w:r>
          </w:p>
        </w:tc>
        <w:tc>
          <w:tcPr>
            <w:tcW w:w="1231" w:type="dxa"/>
          </w:tcPr>
          <w:p w14:paraId="613F0F0B" w14:textId="507F098E" w:rsidR="00236608" w:rsidRPr="000C0B6C" w:rsidRDefault="008B7796" w:rsidP="009251C2">
            <w:r>
              <w:t>56</w:t>
            </w:r>
          </w:p>
        </w:tc>
        <w:tc>
          <w:tcPr>
            <w:tcW w:w="8139" w:type="dxa"/>
            <w:gridSpan w:val="2"/>
          </w:tcPr>
          <w:p w14:paraId="4B30F77B" w14:textId="4F82F199" w:rsidR="00236608" w:rsidRPr="000C0B6C" w:rsidRDefault="008B7796" w:rsidP="009251C2">
            <w:r>
              <w:t xml:space="preserve">We </w:t>
            </w:r>
            <w:r w:rsidRPr="008B7796">
              <w:t>should recogni</w:t>
            </w:r>
            <w:r>
              <w:t xml:space="preserve">ze the differences in countries (national priorities and circumstances) </w:t>
            </w:r>
            <w:r w:rsidRPr="008B7796">
              <w:t>and so each party should be able to contribute in accordance with their respective capacities</w:t>
            </w:r>
            <w:r>
              <w:t xml:space="preserve">, if the 30 by 30 mechanism is to be adopted. </w:t>
            </w:r>
            <w:r w:rsidR="0004104F">
              <w:t xml:space="preserve"> Besides, we </w:t>
            </w:r>
            <w:r w:rsidR="0004104F" w:rsidRPr="0004104F">
              <w:t>recognize the importance of ensuring the integrity of wildlife corridors but emphasize the livelihood concerns of communities</w:t>
            </w:r>
            <w:r w:rsidR="0004104F">
              <w:t>/ILPCs</w:t>
            </w:r>
            <w:r w:rsidR="0004104F" w:rsidRPr="0004104F">
              <w:t xml:space="preserve"> adjacent to PAs as well as other effective area-based conservation measures to achieve the 30% increase in PA coverage.</w:t>
            </w:r>
          </w:p>
        </w:tc>
      </w:tr>
      <w:tr w:rsidR="00236608" w:rsidRPr="000C0B6C" w14:paraId="419DB47A" w14:textId="77777777" w:rsidTr="009251C2">
        <w:trPr>
          <w:trHeight w:val="224"/>
        </w:trPr>
        <w:tc>
          <w:tcPr>
            <w:tcW w:w="818" w:type="dxa"/>
          </w:tcPr>
          <w:p w14:paraId="583A2152" w14:textId="5021CB1D" w:rsidR="00236608" w:rsidRPr="000C0B6C" w:rsidRDefault="008B7796" w:rsidP="009251C2">
            <w:r>
              <w:t>14</w:t>
            </w:r>
          </w:p>
        </w:tc>
        <w:tc>
          <w:tcPr>
            <w:tcW w:w="1231" w:type="dxa"/>
          </w:tcPr>
          <w:p w14:paraId="491D28B8" w14:textId="53415E1C" w:rsidR="00236608" w:rsidRPr="000C0B6C" w:rsidRDefault="008B7796" w:rsidP="009251C2">
            <w:r>
              <w:t>62</w:t>
            </w:r>
          </w:p>
        </w:tc>
        <w:tc>
          <w:tcPr>
            <w:tcW w:w="8139" w:type="dxa"/>
            <w:gridSpan w:val="2"/>
          </w:tcPr>
          <w:p w14:paraId="7EB00430" w14:textId="714A9670" w:rsidR="00236608" w:rsidRPr="000C0B6C" w:rsidRDefault="008B7796" w:rsidP="009251C2">
            <w:r>
              <w:t xml:space="preserve">There should specific targets for human-wildlife conflicts </w:t>
            </w:r>
            <w:r w:rsidR="0004104F">
              <w:t xml:space="preserve">with focus on key mitigation measures,  ILPCs and human rights-based approaches </w:t>
            </w:r>
          </w:p>
        </w:tc>
      </w:tr>
      <w:tr w:rsidR="00236608" w:rsidRPr="000C0B6C" w14:paraId="5DBDB291" w14:textId="77777777" w:rsidTr="009251C2">
        <w:trPr>
          <w:trHeight w:val="224"/>
        </w:trPr>
        <w:tc>
          <w:tcPr>
            <w:tcW w:w="818" w:type="dxa"/>
          </w:tcPr>
          <w:p w14:paraId="29E068DB" w14:textId="46C9FFDD" w:rsidR="00236608" w:rsidRPr="000C0B6C" w:rsidRDefault="000B1E18" w:rsidP="009251C2">
            <w:r>
              <w:t>15</w:t>
            </w:r>
          </w:p>
        </w:tc>
        <w:tc>
          <w:tcPr>
            <w:tcW w:w="1231" w:type="dxa"/>
          </w:tcPr>
          <w:p w14:paraId="212354D4" w14:textId="46F4CF54" w:rsidR="00236608" w:rsidRPr="000C0B6C" w:rsidRDefault="000B1E18" w:rsidP="009251C2">
            <w:r>
              <w:t>64</w:t>
            </w:r>
          </w:p>
        </w:tc>
        <w:tc>
          <w:tcPr>
            <w:tcW w:w="8139" w:type="dxa"/>
            <w:gridSpan w:val="2"/>
          </w:tcPr>
          <w:p w14:paraId="637A167D" w14:textId="54EA0A17" w:rsidR="00236608" w:rsidRPr="000C0B6C" w:rsidRDefault="000B1E18" w:rsidP="009251C2">
            <w:r>
              <w:t xml:space="preserve">The range of the actions should include; collaborative PA resources management, community capacity building and empowerment through awareness programs and alternative livelihoods (to </w:t>
            </w:r>
            <w:r w:rsidR="00A903B9">
              <w:t>eradicate</w:t>
            </w:r>
            <w:r>
              <w:t xml:space="preserve"> p</w:t>
            </w:r>
            <w:r w:rsidR="00A903B9">
              <w:t>oaching or illegal wildlife hunting)</w:t>
            </w:r>
          </w:p>
        </w:tc>
      </w:tr>
      <w:tr w:rsidR="00236608" w:rsidRPr="000C0B6C" w14:paraId="7A865B83" w14:textId="77777777" w:rsidTr="009251C2">
        <w:trPr>
          <w:trHeight w:val="224"/>
        </w:trPr>
        <w:tc>
          <w:tcPr>
            <w:tcW w:w="818" w:type="dxa"/>
          </w:tcPr>
          <w:p w14:paraId="48F7EE30" w14:textId="33A89D9B" w:rsidR="00236608" w:rsidRPr="000C0B6C" w:rsidRDefault="009331D0" w:rsidP="009251C2">
            <w:r>
              <w:t>16</w:t>
            </w:r>
          </w:p>
        </w:tc>
        <w:tc>
          <w:tcPr>
            <w:tcW w:w="1231" w:type="dxa"/>
          </w:tcPr>
          <w:p w14:paraId="6A798625" w14:textId="7EBD2021" w:rsidR="00236608" w:rsidRPr="000C0B6C" w:rsidRDefault="009331D0" w:rsidP="009251C2">
            <w:r>
              <w:t>68</w:t>
            </w:r>
          </w:p>
        </w:tc>
        <w:tc>
          <w:tcPr>
            <w:tcW w:w="8139" w:type="dxa"/>
            <w:gridSpan w:val="2"/>
          </w:tcPr>
          <w:p w14:paraId="531C2A0F" w14:textId="4081CC39" w:rsidR="00236608" w:rsidRPr="000C0B6C" w:rsidRDefault="009331D0" w:rsidP="009251C2">
            <w:r>
              <w:t>The pathways</w:t>
            </w:r>
            <w:r w:rsidR="003D6F05">
              <w:t xml:space="preserve"> for</w:t>
            </w:r>
            <w:r w:rsidR="00EC519D">
              <w:t xml:space="preserve"> the control and management of in</w:t>
            </w:r>
            <w:r w:rsidR="003D6F05">
              <w:t>vasive alien species</w:t>
            </w:r>
            <w:r w:rsidR="00EC519D">
              <w:t xml:space="preserve"> (IASs</w:t>
            </w:r>
            <w:r w:rsidR="00C674B1">
              <w:t>) should</w:t>
            </w:r>
            <w:r>
              <w:t xml:space="preserve"> also include or integrate: </w:t>
            </w:r>
            <w:r w:rsidR="00C674B1" w:rsidRPr="00C674B1">
              <w:t xml:space="preserve">methods for cost-benefit and cost-effectiveness analysis; identification and analysis of risks associated with cross-border and e-commerce; mechanisms for assessing the impacts of invasive species on socio-cultural and economic values; use of databases and digitization of information and communication on IASs. Besides, consideration of the relationship between anthropogenic changes and their effect on invasive species thus reaffirming the need for use of horizon scanning and modelling exercises, to enhance risk assessment efforts by factoring climate change effects in the management of invasive alien species. Furthermore, appreciating the explicit inclusion of diverse social and cultural values of biodiversity across communities at the national level, including those of ILPCs, women, and youth, when assessing the costs, benefits and prioritization of management of invasive alien species. Moreover, recognizing the need to build on existing processes and international best </w:t>
            </w:r>
            <w:r w:rsidR="00C674B1" w:rsidRPr="00C674B1">
              <w:lastRenderedPageBreak/>
              <w:t>practices for engagement of relevant actors, in order to feed effectively into multi-criteria decision-making processes.</w:t>
            </w:r>
          </w:p>
        </w:tc>
      </w:tr>
      <w:tr w:rsidR="00236608" w:rsidRPr="000C0B6C" w14:paraId="73FD340A" w14:textId="77777777" w:rsidTr="009251C2">
        <w:trPr>
          <w:trHeight w:val="224"/>
        </w:trPr>
        <w:tc>
          <w:tcPr>
            <w:tcW w:w="818" w:type="dxa"/>
          </w:tcPr>
          <w:p w14:paraId="37288C1C" w14:textId="4A7B4118" w:rsidR="00236608" w:rsidRPr="000C0B6C" w:rsidRDefault="00C674B1" w:rsidP="009251C2">
            <w:r>
              <w:lastRenderedPageBreak/>
              <w:t>18</w:t>
            </w:r>
          </w:p>
        </w:tc>
        <w:tc>
          <w:tcPr>
            <w:tcW w:w="1231" w:type="dxa"/>
          </w:tcPr>
          <w:p w14:paraId="2993E983" w14:textId="5A2F4E18" w:rsidR="00236608" w:rsidRPr="000C0B6C" w:rsidRDefault="00C674B1" w:rsidP="009251C2">
            <w:r>
              <w:t>72</w:t>
            </w:r>
          </w:p>
        </w:tc>
        <w:tc>
          <w:tcPr>
            <w:tcW w:w="8139" w:type="dxa"/>
            <w:gridSpan w:val="2"/>
          </w:tcPr>
          <w:p w14:paraId="2A720A2D" w14:textId="48BE45E3" w:rsidR="00236608" w:rsidRPr="000C0B6C" w:rsidRDefault="00C674B1" w:rsidP="009251C2">
            <w:r>
              <w:t xml:space="preserve">Other mechanisms for combating soil, water and </w:t>
            </w:r>
            <w:r w:rsidR="004B37D6">
              <w:t>air pollution and thus enhancing biodiversity integrity include biological agro-practices like use of bio-fertilizers, bio-pest and disease control, bio-weed control. Other methods include use of manual/mass human labor instead of machinery to reduce emissions/pollution while at the same time creating jobs especially for women and the youth.</w:t>
            </w:r>
          </w:p>
        </w:tc>
      </w:tr>
      <w:tr w:rsidR="00236608" w:rsidRPr="000C0B6C" w14:paraId="435624C6" w14:textId="77777777" w:rsidTr="009251C2">
        <w:trPr>
          <w:trHeight w:val="224"/>
        </w:trPr>
        <w:tc>
          <w:tcPr>
            <w:tcW w:w="818" w:type="dxa"/>
          </w:tcPr>
          <w:p w14:paraId="112D65BF" w14:textId="5D7F2B5D" w:rsidR="00236608" w:rsidRPr="000C0B6C" w:rsidRDefault="00C40B71" w:rsidP="009251C2">
            <w:r>
              <w:t>18</w:t>
            </w:r>
          </w:p>
        </w:tc>
        <w:tc>
          <w:tcPr>
            <w:tcW w:w="1231" w:type="dxa"/>
          </w:tcPr>
          <w:p w14:paraId="15A50A76" w14:textId="0715B094" w:rsidR="00236608" w:rsidRPr="000C0B6C" w:rsidRDefault="00C40B71" w:rsidP="009251C2">
            <w:r>
              <w:t>73-74</w:t>
            </w:r>
          </w:p>
        </w:tc>
        <w:tc>
          <w:tcPr>
            <w:tcW w:w="8139" w:type="dxa"/>
            <w:gridSpan w:val="2"/>
          </w:tcPr>
          <w:p w14:paraId="778EFB93" w14:textId="06E7A93B" w:rsidR="00236608" w:rsidRPr="000C0B6C" w:rsidRDefault="00C40B71" w:rsidP="009251C2">
            <w:r>
              <w:t>The need for either specific targets or key milestones for the important or key biodiversity and climate values that accrue from the respective nature-based solutions and actions (</w:t>
            </w:r>
            <w:proofErr w:type="spellStart"/>
            <w:r>
              <w:t>NbSAs</w:t>
            </w:r>
            <w:proofErr w:type="spellEnd"/>
            <w:r>
              <w:t>) and ecosystem-based approaches (</w:t>
            </w:r>
            <w:proofErr w:type="spellStart"/>
            <w:r>
              <w:t>EbAs</w:t>
            </w:r>
            <w:proofErr w:type="spellEnd"/>
            <w:r>
              <w:t xml:space="preserve">). In other words, the </w:t>
            </w:r>
            <w:proofErr w:type="spellStart"/>
            <w:r>
              <w:t>NbSAs</w:t>
            </w:r>
            <w:proofErr w:type="spellEnd"/>
            <w:r>
              <w:t xml:space="preserve"> and </w:t>
            </w:r>
            <w:proofErr w:type="spellStart"/>
            <w:r>
              <w:t>EbAs</w:t>
            </w:r>
            <w:proofErr w:type="spellEnd"/>
            <w:r>
              <w:t xml:space="preserve"> should relate to specific measurable and targeted values for biodiversity integrity (adequacy and functions</w:t>
            </w:r>
            <w:r w:rsidR="007A051A">
              <w:t>= ecosystem services</w:t>
            </w:r>
            <w:r>
              <w:t xml:space="preserve">) and climate resilience. Besides, the key milestones should have deliberate and targeted synergies with or linkages to the applicable SDGs and </w:t>
            </w:r>
            <w:proofErr w:type="spellStart"/>
            <w:r>
              <w:t>MEAs</w:t>
            </w:r>
            <w:r w:rsidR="00352B4B">
              <w:t>.</w:t>
            </w:r>
            <w:proofErr w:type="spellEnd"/>
            <w:r w:rsidR="00352B4B">
              <w:t xml:space="preserve"> </w:t>
            </w:r>
            <w:r w:rsidR="0022075E">
              <w:t xml:space="preserve"> Moreover, the key milestones, indicators and targets should take into account the reciprocal od complementary values of biodiversity and climate in terms of cause-effect relationship between the two variables.  </w:t>
            </w:r>
          </w:p>
        </w:tc>
      </w:tr>
      <w:tr w:rsidR="006060BF" w:rsidRPr="000C0B6C" w14:paraId="1FCC3F88" w14:textId="77777777" w:rsidTr="009251C2">
        <w:trPr>
          <w:trHeight w:val="224"/>
        </w:trPr>
        <w:tc>
          <w:tcPr>
            <w:tcW w:w="818" w:type="dxa"/>
          </w:tcPr>
          <w:p w14:paraId="7F4E8176" w14:textId="197F42E2" w:rsidR="006060BF" w:rsidRPr="000C0B6C" w:rsidRDefault="00C40B71" w:rsidP="009251C2">
            <w:r>
              <w:t>18</w:t>
            </w:r>
          </w:p>
        </w:tc>
        <w:tc>
          <w:tcPr>
            <w:tcW w:w="1231" w:type="dxa"/>
          </w:tcPr>
          <w:p w14:paraId="01C993F1" w14:textId="1BDF36F0" w:rsidR="006060BF" w:rsidRPr="000C0B6C" w:rsidRDefault="00C40B71" w:rsidP="009251C2">
            <w:r>
              <w:t>75</w:t>
            </w:r>
          </w:p>
        </w:tc>
        <w:tc>
          <w:tcPr>
            <w:tcW w:w="8139" w:type="dxa"/>
            <w:gridSpan w:val="2"/>
          </w:tcPr>
          <w:p w14:paraId="2D3D32A2" w14:textId="62FBBB5A" w:rsidR="006060BF" w:rsidRPr="000C0B6C" w:rsidRDefault="00C40B71" w:rsidP="009251C2">
            <w:r>
              <w:t>The inclu</w:t>
            </w:r>
            <w:r w:rsidR="0022075E">
              <w:t xml:space="preserve">siveness in approaches to ensure fairness, equity and effectiveness in biodiversity conservation and climate resilience  should not only consider ILPCs but also gender, the youth and young people, the needs of children, people with disabilities and the aged. The principle of inclusion and fairness in the 2030 Agenda for sustainable development should be considered. </w:t>
            </w:r>
          </w:p>
        </w:tc>
      </w:tr>
      <w:tr w:rsidR="0022075E" w:rsidRPr="000C0B6C" w14:paraId="3CC6D202" w14:textId="77777777" w:rsidTr="009251C2">
        <w:trPr>
          <w:trHeight w:val="224"/>
        </w:trPr>
        <w:tc>
          <w:tcPr>
            <w:tcW w:w="818" w:type="dxa"/>
          </w:tcPr>
          <w:p w14:paraId="7C5E47E8" w14:textId="4501C812" w:rsidR="0022075E" w:rsidRPr="000C0B6C" w:rsidRDefault="006B14EA" w:rsidP="009251C2">
            <w:r>
              <w:t>19</w:t>
            </w:r>
          </w:p>
        </w:tc>
        <w:tc>
          <w:tcPr>
            <w:tcW w:w="1231" w:type="dxa"/>
          </w:tcPr>
          <w:p w14:paraId="47F986A4" w14:textId="785AD41D" w:rsidR="0022075E" w:rsidRPr="000C0B6C" w:rsidRDefault="006B14EA" w:rsidP="009251C2">
            <w:r>
              <w:t>76-78</w:t>
            </w:r>
          </w:p>
        </w:tc>
        <w:tc>
          <w:tcPr>
            <w:tcW w:w="8139" w:type="dxa"/>
            <w:gridSpan w:val="2"/>
          </w:tcPr>
          <w:p w14:paraId="4AAF290E" w14:textId="5C3E62F3" w:rsidR="0022075E" w:rsidRPr="000C0B6C" w:rsidRDefault="00D518AE" w:rsidP="009251C2">
            <w:r>
              <w:t xml:space="preserve">The target, </w:t>
            </w:r>
            <w:r w:rsidR="006B14EA">
              <w:t>the key milestones</w:t>
            </w:r>
            <w:r w:rsidR="00FD790B">
              <w:t xml:space="preserve"> and actions</w:t>
            </w:r>
            <w:r w:rsidR="006B14EA">
              <w:t xml:space="preserve"> should take cognizance </w:t>
            </w:r>
            <w:r w:rsidR="00790F86">
              <w:t>of Agenda 2030 for sustainable development (SDGs) and the relevant MEAs</w:t>
            </w:r>
          </w:p>
        </w:tc>
      </w:tr>
      <w:tr w:rsidR="0022075E" w:rsidRPr="000C0B6C" w14:paraId="60087C09" w14:textId="77777777" w:rsidTr="009251C2">
        <w:trPr>
          <w:trHeight w:val="224"/>
        </w:trPr>
        <w:tc>
          <w:tcPr>
            <w:tcW w:w="818" w:type="dxa"/>
          </w:tcPr>
          <w:p w14:paraId="32735AFD" w14:textId="1167AA92" w:rsidR="0022075E" w:rsidRPr="000C0B6C" w:rsidRDefault="00FD790B" w:rsidP="009251C2">
            <w:r>
              <w:t>20</w:t>
            </w:r>
          </w:p>
        </w:tc>
        <w:tc>
          <w:tcPr>
            <w:tcW w:w="1231" w:type="dxa"/>
          </w:tcPr>
          <w:p w14:paraId="0E766199" w14:textId="23550332" w:rsidR="0022075E" w:rsidRPr="000C0B6C" w:rsidRDefault="00FD790B" w:rsidP="009251C2">
            <w:r>
              <w:t>81</w:t>
            </w:r>
          </w:p>
        </w:tc>
        <w:tc>
          <w:tcPr>
            <w:tcW w:w="8139" w:type="dxa"/>
            <w:gridSpan w:val="2"/>
          </w:tcPr>
          <w:p w14:paraId="6E8ADB35" w14:textId="12101011" w:rsidR="0022075E" w:rsidRPr="000C0B6C" w:rsidRDefault="00FD790B" w:rsidP="009251C2">
            <w:r>
              <w:t xml:space="preserve">Uganda’s actions emphasize </w:t>
            </w:r>
            <w:r w:rsidRPr="00FD790B">
              <w:t>sustainable agriculture transition, which supports productive and resilient agriculture by increasing</w:t>
            </w:r>
            <w:r>
              <w:t xml:space="preserve">ly </w:t>
            </w:r>
            <w:r w:rsidRPr="00FD790B">
              <w:t xml:space="preserve"> improving t</w:t>
            </w:r>
            <w:r>
              <w:t xml:space="preserve">he efficient use of land, water (sustainable land management-SLM) </w:t>
            </w:r>
            <w:r w:rsidRPr="00FD790B">
              <w:t>and other bio-resources including pollinators, bio-control and soil organisms, and genetic, climatic</w:t>
            </w:r>
            <w:r>
              <w:t xml:space="preserve"> (climate-smart agriculture)</w:t>
            </w:r>
            <w:r w:rsidR="00A5067B">
              <w:t>,</w:t>
            </w:r>
            <w:r w:rsidRPr="00FD790B">
              <w:t xml:space="preserve"> landscape diversity</w:t>
            </w:r>
            <w:r w:rsidR="00A5067B">
              <w:t xml:space="preserve"> and reduction in food waste</w:t>
            </w:r>
            <w:r w:rsidRPr="00FD790B">
              <w:t>.</w:t>
            </w:r>
          </w:p>
        </w:tc>
      </w:tr>
      <w:tr w:rsidR="0022075E" w:rsidRPr="000C0B6C" w14:paraId="2D029E73" w14:textId="77777777" w:rsidTr="009251C2">
        <w:trPr>
          <w:trHeight w:val="224"/>
        </w:trPr>
        <w:tc>
          <w:tcPr>
            <w:tcW w:w="818" w:type="dxa"/>
          </w:tcPr>
          <w:p w14:paraId="408B41CE" w14:textId="698B6941" w:rsidR="0022075E" w:rsidRPr="000C0B6C" w:rsidRDefault="008107E1" w:rsidP="009251C2">
            <w:r>
              <w:t>21</w:t>
            </w:r>
          </w:p>
        </w:tc>
        <w:tc>
          <w:tcPr>
            <w:tcW w:w="1231" w:type="dxa"/>
          </w:tcPr>
          <w:p w14:paraId="39686230" w14:textId="74380071" w:rsidR="0022075E" w:rsidRPr="000C0B6C" w:rsidRDefault="008107E1" w:rsidP="009251C2">
            <w:r>
              <w:t>84</w:t>
            </w:r>
          </w:p>
        </w:tc>
        <w:tc>
          <w:tcPr>
            <w:tcW w:w="8139" w:type="dxa"/>
            <w:gridSpan w:val="2"/>
          </w:tcPr>
          <w:p w14:paraId="748BA9EB" w14:textId="7061A5A7" w:rsidR="0022075E" w:rsidRPr="000C0B6C" w:rsidRDefault="008107E1" w:rsidP="009251C2">
            <w:r>
              <w:t>Nature-based Solutions and Actions (</w:t>
            </w:r>
            <w:proofErr w:type="spellStart"/>
            <w:r>
              <w:t>NbSAs</w:t>
            </w:r>
            <w:proofErr w:type="spellEnd"/>
            <w:r>
              <w:t>) and ecosystems-based management (</w:t>
            </w:r>
            <w:proofErr w:type="spellStart"/>
            <w:r>
              <w:t>EbM</w:t>
            </w:r>
            <w:proofErr w:type="spellEnd"/>
            <w:r>
              <w:t>) approaches should clearly focus on the three key actions that include Protection, Restoration and Management (PRM) for key co-benefits which include nature conservation (biodiversity integrity= ecosystem services), climate resilience, and sustainable development (human well-being). Therefore these actions sho</w:t>
            </w:r>
            <w:r w:rsidR="00DE03CA">
              <w:t xml:space="preserve">uld link to Agenda 2030 (SDGs) and </w:t>
            </w:r>
            <w:proofErr w:type="spellStart"/>
            <w:r w:rsidR="00DE03CA">
              <w:t>MEAs.</w:t>
            </w:r>
            <w:proofErr w:type="spellEnd"/>
            <w:r w:rsidR="00DE03CA">
              <w:t xml:space="preserve"> Besides, the actions should take into account national priorities and </w:t>
            </w:r>
            <w:r w:rsidR="001E4321">
              <w:t>circumstances</w:t>
            </w:r>
            <w:r w:rsidR="00DE03CA">
              <w:t xml:space="preserve">. </w:t>
            </w:r>
          </w:p>
        </w:tc>
      </w:tr>
      <w:tr w:rsidR="0022075E" w:rsidRPr="00D518AE" w14:paraId="360A4FEF" w14:textId="77777777" w:rsidTr="009251C2">
        <w:trPr>
          <w:trHeight w:val="224"/>
        </w:trPr>
        <w:tc>
          <w:tcPr>
            <w:tcW w:w="818" w:type="dxa"/>
          </w:tcPr>
          <w:p w14:paraId="588561D7" w14:textId="0F2E17B8" w:rsidR="0022075E" w:rsidRPr="000C0B6C" w:rsidRDefault="001E4321" w:rsidP="009251C2">
            <w:r>
              <w:t>22</w:t>
            </w:r>
          </w:p>
        </w:tc>
        <w:tc>
          <w:tcPr>
            <w:tcW w:w="1231" w:type="dxa"/>
          </w:tcPr>
          <w:p w14:paraId="10075A90" w14:textId="0CABAB16" w:rsidR="0022075E" w:rsidRPr="000C0B6C" w:rsidRDefault="001E4321" w:rsidP="009251C2">
            <w:r>
              <w:t>87</w:t>
            </w:r>
          </w:p>
        </w:tc>
        <w:tc>
          <w:tcPr>
            <w:tcW w:w="8139" w:type="dxa"/>
            <w:gridSpan w:val="2"/>
          </w:tcPr>
          <w:p w14:paraId="0529F78B" w14:textId="5F99450E" w:rsidR="0022075E" w:rsidRPr="00D518AE" w:rsidRDefault="001E4321" w:rsidP="00DB478F">
            <w:r w:rsidRPr="00D518AE">
              <w:t xml:space="preserve">The actions for the target should focus on the key complimentary components of sustainable urban/city </w:t>
            </w:r>
            <w:r w:rsidR="00660040" w:rsidRPr="00D518AE">
              <w:t>development (</w:t>
            </w:r>
            <w:r w:rsidRPr="00D518AE">
              <w:t xml:space="preserve">urban sustainability ingredients) which include economic, inclusiveness (socio-cultural, gender, age </w:t>
            </w:r>
            <w:proofErr w:type="spellStart"/>
            <w:r w:rsidRPr="00D518AE">
              <w:t>etc</w:t>
            </w:r>
            <w:proofErr w:type="spellEnd"/>
            <w:r w:rsidRPr="00D518AE">
              <w:t>), ecological, physical (physical planning and infrastructure development), and governance sustainability. All these urban sustainability factors affect biodiversity integrity in urban areas/cities, and th</w:t>
            </w:r>
            <w:r w:rsidR="00660040" w:rsidRPr="00D518AE">
              <w:t xml:space="preserve">erefore the need for sustainable actions to </w:t>
            </w:r>
            <w:r w:rsidR="00DB478F" w:rsidRPr="00D518AE">
              <w:t xml:space="preserve">increase </w:t>
            </w:r>
            <w:r w:rsidR="00660040" w:rsidRPr="00D518AE">
              <w:t xml:space="preserve">green and blue spaces. Likewise, the proposed actions for the GBF target should consider the relevant SDGs and other relevant urban development frameworks. </w:t>
            </w:r>
          </w:p>
        </w:tc>
      </w:tr>
      <w:tr w:rsidR="0022075E" w:rsidRPr="000C0B6C" w14:paraId="0DF8B5D3" w14:textId="77777777" w:rsidTr="009251C2">
        <w:trPr>
          <w:trHeight w:val="224"/>
        </w:trPr>
        <w:tc>
          <w:tcPr>
            <w:tcW w:w="818" w:type="dxa"/>
          </w:tcPr>
          <w:p w14:paraId="44A965C1" w14:textId="4C8B1E6B" w:rsidR="0022075E" w:rsidRPr="000C0B6C" w:rsidRDefault="00E46952" w:rsidP="009251C2">
            <w:r>
              <w:t>22</w:t>
            </w:r>
          </w:p>
        </w:tc>
        <w:tc>
          <w:tcPr>
            <w:tcW w:w="1231" w:type="dxa"/>
          </w:tcPr>
          <w:p w14:paraId="31B18677" w14:textId="705EAB18" w:rsidR="0022075E" w:rsidRPr="000C0B6C" w:rsidRDefault="00E46952" w:rsidP="009251C2">
            <w:r>
              <w:t>89</w:t>
            </w:r>
          </w:p>
        </w:tc>
        <w:tc>
          <w:tcPr>
            <w:tcW w:w="8139" w:type="dxa"/>
            <w:gridSpan w:val="2"/>
          </w:tcPr>
          <w:p w14:paraId="0280458C" w14:textId="02B15A66" w:rsidR="0022075E" w:rsidRPr="000C0B6C" w:rsidRDefault="00E46952" w:rsidP="009251C2">
            <w:r w:rsidRPr="00E46952">
              <w:t xml:space="preserve">The actions should focus on fair and equitable benefit sharing, including for IPLCs, as the most effective way to achieve conservation and sustainable use. </w:t>
            </w:r>
            <w:r w:rsidRPr="00E46952">
              <w:lastRenderedPageBreak/>
              <w:t>One of the avenues for benefit sharing is in the operationalization of the concept of Digital Sequence Information in the event of commercialization of resources. Likewise, there should be a globally recognized benefit sharing mechanism</w:t>
            </w:r>
            <w:r>
              <w:t xml:space="preserve"> that is implementable within national priorities and circumstances</w:t>
            </w:r>
            <w:r w:rsidRPr="00E46952">
              <w:t xml:space="preserve">.  </w:t>
            </w:r>
          </w:p>
        </w:tc>
      </w:tr>
      <w:tr w:rsidR="0022075E" w:rsidRPr="000C0B6C" w14:paraId="37CA427B" w14:textId="77777777" w:rsidTr="009251C2">
        <w:trPr>
          <w:trHeight w:val="224"/>
        </w:trPr>
        <w:tc>
          <w:tcPr>
            <w:tcW w:w="818" w:type="dxa"/>
          </w:tcPr>
          <w:p w14:paraId="19640858" w14:textId="4174884A" w:rsidR="0022075E" w:rsidRPr="000C0B6C" w:rsidRDefault="00E46952" w:rsidP="009251C2">
            <w:r>
              <w:lastRenderedPageBreak/>
              <w:t>23</w:t>
            </w:r>
          </w:p>
        </w:tc>
        <w:tc>
          <w:tcPr>
            <w:tcW w:w="1231" w:type="dxa"/>
          </w:tcPr>
          <w:p w14:paraId="2DA0D44A" w14:textId="64CC099A" w:rsidR="0022075E" w:rsidRPr="000C0B6C" w:rsidRDefault="00E46952" w:rsidP="009251C2">
            <w:r>
              <w:t>93</w:t>
            </w:r>
          </w:p>
        </w:tc>
        <w:tc>
          <w:tcPr>
            <w:tcW w:w="8139" w:type="dxa"/>
            <w:gridSpan w:val="2"/>
          </w:tcPr>
          <w:p w14:paraId="0DFCD6D4" w14:textId="002BFEEC" w:rsidR="0022075E" w:rsidRPr="000C0B6C" w:rsidRDefault="00E46952" w:rsidP="009251C2">
            <w:r w:rsidRPr="00E46952">
              <w:t>The biodiversity mainstreaming actions should take into account: participatory and inclusive mechanisms that involve  all the key sectors and stakeholders at all levels (national/central governments, the private sector/industries, non-governmental organizations, regional blocs, UN system and organizations, and other related global bodies; the MEAs especially those that deal with biodiversity, climate change, waste and chemicals; national priorities and circumstances; and integration of  budgeting, financing, resource mobilization, technology and capacity building to ensure effective implementation of GBF.</w:t>
            </w:r>
          </w:p>
        </w:tc>
      </w:tr>
      <w:tr w:rsidR="0022075E" w:rsidRPr="000C0B6C" w14:paraId="0B9E189C" w14:textId="77777777" w:rsidTr="009251C2">
        <w:trPr>
          <w:trHeight w:val="224"/>
        </w:trPr>
        <w:tc>
          <w:tcPr>
            <w:tcW w:w="818" w:type="dxa"/>
          </w:tcPr>
          <w:p w14:paraId="65653CC0" w14:textId="3DAB280C" w:rsidR="0022075E" w:rsidRPr="000C0B6C" w:rsidRDefault="00C731D6" w:rsidP="009251C2">
            <w:r>
              <w:t>24</w:t>
            </w:r>
          </w:p>
        </w:tc>
        <w:tc>
          <w:tcPr>
            <w:tcW w:w="1231" w:type="dxa"/>
          </w:tcPr>
          <w:p w14:paraId="77D88A4E" w14:textId="3B2355A4" w:rsidR="0022075E" w:rsidRPr="000C0B6C" w:rsidRDefault="00C731D6" w:rsidP="009251C2">
            <w:r>
              <w:t>95</w:t>
            </w:r>
          </w:p>
        </w:tc>
        <w:tc>
          <w:tcPr>
            <w:tcW w:w="8139" w:type="dxa"/>
            <w:gridSpan w:val="2"/>
          </w:tcPr>
          <w:p w14:paraId="493EDC81" w14:textId="06753C46" w:rsidR="0022075E" w:rsidRPr="000C0B6C" w:rsidRDefault="00C731D6" w:rsidP="009251C2">
            <w:r>
              <w:t xml:space="preserve">The actions for sustainable production practices and supply chains should take into nature-based solutions and actions (protection, restoration and management of land, water and </w:t>
            </w:r>
            <w:r w:rsidR="006E774D">
              <w:t>biodiversity)</w:t>
            </w:r>
            <w:r>
              <w:t xml:space="preserve"> and ecosystems-based management approach. Such actions will promote nature conservation, </w:t>
            </w:r>
            <w:bookmarkStart w:id="0" w:name="_GoBack"/>
            <w:bookmarkEnd w:id="0"/>
            <w:r w:rsidR="00602DF3">
              <w:t>and sustainable</w:t>
            </w:r>
            <w:r>
              <w:t xml:space="preserve"> production and supply chains for </w:t>
            </w:r>
            <w:r w:rsidR="006E774D">
              <w:t>human well-being</w:t>
            </w:r>
            <w:r w:rsidR="002C1F69">
              <w:t>.</w:t>
            </w:r>
            <w:r>
              <w:t xml:space="preserve"> </w:t>
            </w:r>
          </w:p>
        </w:tc>
      </w:tr>
      <w:tr w:rsidR="0022075E" w:rsidRPr="000C0B6C" w14:paraId="100EF953" w14:textId="77777777" w:rsidTr="008504F5">
        <w:trPr>
          <w:trHeight w:val="800"/>
        </w:trPr>
        <w:tc>
          <w:tcPr>
            <w:tcW w:w="818" w:type="dxa"/>
          </w:tcPr>
          <w:p w14:paraId="4B22C0AF" w14:textId="512FFDB7" w:rsidR="0022075E" w:rsidRPr="000C0B6C" w:rsidRDefault="00E16285" w:rsidP="009251C2">
            <w:r>
              <w:t>25</w:t>
            </w:r>
          </w:p>
        </w:tc>
        <w:tc>
          <w:tcPr>
            <w:tcW w:w="1231" w:type="dxa"/>
          </w:tcPr>
          <w:p w14:paraId="0F46D344" w14:textId="61CED762" w:rsidR="0022075E" w:rsidRPr="000C0B6C" w:rsidRDefault="00E16285" w:rsidP="009251C2">
            <w:r>
              <w:t>98</w:t>
            </w:r>
          </w:p>
        </w:tc>
        <w:tc>
          <w:tcPr>
            <w:tcW w:w="8139" w:type="dxa"/>
            <w:gridSpan w:val="2"/>
          </w:tcPr>
          <w:p w14:paraId="2B239B71" w14:textId="055343A9" w:rsidR="0022075E" w:rsidRPr="000C0B6C" w:rsidRDefault="00E16285" w:rsidP="009251C2">
            <w:r>
              <w:t xml:space="preserve">The actions for sustainable consumption (to avoid resource depletion, degradation and pollution) should clearly focus on: sustainable waste management practices within the hierarchy of </w:t>
            </w:r>
            <w:r w:rsidR="008504F5" w:rsidRPr="008504F5">
              <w:rPr>
                <w:i/>
              </w:rPr>
              <w:t>prevention</w:t>
            </w:r>
            <w:r w:rsidR="008504F5">
              <w:t xml:space="preserve"> (most preferred), </w:t>
            </w:r>
            <w:r w:rsidR="008504F5" w:rsidRPr="008504F5">
              <w:rPr>
                <w:i/>
              </w:rPr>
              <w:t>reduction, recycling, recovery</w:t>
            </w:r>
            <w:r w:rsidR="008504F5">
              <w:t xml:space="preserve"> and disposal (least preferred); and a global mechanism instrument to regulate sustainable consumption.</w:t>
            </w:r>
          </w:p>
        </w:tc>
      </w:tr>
      <w:tr w:rsidR="0022075E" w:rsidRPr="000C0B6C" w14:paraId="0D6C4D4B" w14:textId="77777777" w:rsidTr="009251C2">
        <w:trPr>
          <w:trHeight w:val="224"/>
        </w:trPr>
        <w:tc>
          <w:tcPr>
            <w:tcW w:w="818" w:type="dxa"/>
          </w:tcPr>
          <w:p w14:paraId="297F8C44" w14:textId="3BBBFAA7" w:rsidR="0022075E" w:rsidRPr="000C0B6C" w:rsidRDefault="005C3F3C" w:rsidP="009251C2">
            <w:r>
              <w:t>26</w:t>
            </w:r>
          </w:p>
        </w:tc>
        <w:tc>
          <w:tcPr>
            <w:tcW w:w="1231" w:type="dxa"/>
          </w:tcPr>
          <w:p w14:paraId="1D34DF80" w14:textId="358BB44F" w:rsidR="0022075E" w:rsidRPr="000C0B6C" w:rsidRDefault="005C3F3C" w:rsidP="009251C2">
            <w:r>
              <w:t>101</w:t>
            </w:r>
          </w:p>
        </w:tc>
        <w:tc>
          <w:tcPr>
            <w:tcW w:w="8139" w:type="dxa"/>
            <w:gridSpan w:val="2"/>
          </w:tcPr>
          <w:p w14:paraId="106F0054" w14:textId="243EC74F" w:rsidR="0022075E" w:rsidRPr="000C0B6C" w:rsidRDefault="005C3F3C" w:rsidP="00DB478F">
            <w:r w:rsidRPr="00D518AE">
              <w:t>The Post-2020  GBF need to  consider the inclusion of a mechanism for developing National Biosafety</w:t>
            </w:r>
            <w:r w:rsidR="00DB478F" w:rsidRPr="00D518AE">
              <w:t>/Biotechnology</w:t>
            </w:r>
            <w:r w:rsidRPr="00D518AE">
              <w:t xml:space="preserve"> Targets and integrating these as appropriate as possible  into NBSAPs or the GBF should provide  a mechanism developing and supporting implementation of  a separate National Biosafety Implementation Plan (NBIP) to strengthen the implementation of the Cartagena Protocol</w:t>
            </w:r>
          </w:p>
        </w:tc>
      </w:tr>
      <w:tr w:rsidR="0022075E" w:rsidRPr="000C0B6C" w14:paraId="59E6ED4D" w14:textId="77777777" w:rsidTr="009251C2">
        <w:trPr>
          <w:trHeight w:val="224"/>
        </w:trPr>
        <w:tc>
          <w:tcPr>
            <w:tcW w:w="818" w:type="dxa"/>
          </w:tcPr>
          <w:p w14:paraId="0EDDE142" w14:textId="05F77642" w:rsidR="0022075E" w:rsidRPr="000C0B6C" w:rsidRDefault="005C3F3C" w:rsidP="009251C2">
            <w:r>
              <w:t>28</w:t>
            </w:r>
          </w:p>
        </w:tc>
        <w:tc>
          <w:tcPr>
            <w:tcW w:w="1231" w:type="dxa"/>
          </w:tcPr>
          <w:p w14:paraId="71175E7D" w14:textId="018082A5" w:rsidR="0022075E" w:rsidRPr="000C0B6C" w:rsidRDefault="005C3F3C" w:rsidP="009251C2">
            <w:r>
              <w:t>109</w:t>
            </w:r>
          </w:p>
        </w:tc>
        <w:tc>
          <w:tcPr>
            <w:tcW w:w="8139" w:type="dxa"/>
            <w:gridSpan w:val="2"/>
          </w:tcPr>
          <w:p w14:paraId="2890E67C" w14:textId="57080924" w:rsidR="0022075E" w:rsidRPr="000C0B6C" w:rsidRDefault="005C3F3C" w:rsidP="009251C2">
            <w:r w:rsidRPr="005C3F3C">
              <w:t>The key milestones and actions should focus on making sources of financing the implementation of the post-2020 GBF equitable, fair and timely available to all parties especially the LDCs. Besides, the actions should provide for a financial support mechanism for parties that have developed and are implementing NBSAP. Furthermore, the actions should consider developing a global strategy for a sustainable biodiversity financing mechanism at all levels.</w:t>
            </w:r>
          </w:p>
        </w:tc>
      </w:tr>
      <w:tr w:rsidR="0022075E" w:rsidRPr="000C0B6C" w14:paraId="68D91C45" w14:textId="77777777" w:rsidTr="009251C2">
        <w:trPr>
          <w:trHeight w:val="224"/>
        </w:trPr>
        <w:tc>
          <w:tcPr>
            <w:tcW w:w="818" w:type="dxa"/>
          </w:tcPr>
          <w:p w14:paraId="0B2A7D0A" w14:textId="41B41620" w:rsidR="0022075E" w:rsidRPr="000C0B6C" w:rsidRDefault="00D86738" w:rsidP="009251C2">
            <w:r>
              <w:t>29</w:t>
            </w:r>
          </w:p>
        </w:tc>
        <w:tc>
          <w:tcPr>
            <w:tcW w:w="1231" w:type="dxa"/>
          </w:tcPr>
          <w:p w14:paraId="780BA8D8" w14:textId="34C19AD9" w:rsidR="0022075E" w:rsidRPr="000C0B6C" w:rsidRDefault="00D86738" w:rsidP="009251C2">
            <w:r>
              <w:t>114</w:t>
            </w:r>
          </w:p>
        </w:tc>
        <w:tc>
          <w:tcPr>
            <w:tcW w:w="8139" w:type="dxa"/>
            <w:gridSpan w:val="2"/>
          </w:tcPr>
          <w:p w14:paraId="725959DB" w14:textId="623E2805" w:rsidR="0022075E" w:rsidRPr="000C0B6C" w:rsidRDefault="00D86738" w:rsidP="009251C2">
            <w:r>
              <w:t>The actions for improving on capacity building- knowledge, communication and participation, should development of mechanisms, tools and other support initiatives for knowledge management, data and informatics (digitalization), specialized training, production and dissemination of special reports on national, regional and global biodiversity. Besides, the actions should promo</w:t>
            </w:r>
            <w:r w:rsidR="00DB478F">
              <w:t xml:space="preserve">te North-South and South-South </w:t>
            </w:r>
            <w:r>
              <w:t>scientific  and technical co-operation, and inclusive national information networking and communication especially in consideration of gender, the young people and the ILPCs</w:t>
            </w:r>
            <w:r w:rsidR="00C20CD4">
              <w:t xml:space="preserve"> for effective  implementation of the post-2020 GBF.</w:t>
            </w:r>
            <w:r>
              <w:t xml:space="preserve"> </w:t>
            </w:r>
          </w:p>
        </w:tc>
      </w:tr>
    </w:tbl>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9D16A4"/>
    <w:multiLevelType w:val="hybridMultilevel"/>
    <w:tmpl w:val="A2B2F8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04104F"/>
    <w:rsid w:val="000B1E18"/>
    <w:rsid w:val="00155D9B"/>
    <w:rsid w:val="001653E1"/>
    <w:rsid w:val="001714D7"/>
    <w:rsid w:val="001B6C30"/>
    <w:rsid w:val="001C2BDB"/>
    <w:rsid w:val="001C7CB3"/>
    <w:rsid w:val="001E4321"/>
    <w:rsid w:val="00200178"/>
    <w:rsid w:val="0022075E"/>
    <w:rsid w:val="00224821"/>
    <w:rsid w:val="00236608"/>
    <w:rsid w:val="00280CD3"/>
    <w:rsid w:val="0028451A"/>
    <w:rsid w:val="002C1F69"/>
    <w:rsid w:val="00334544"/>
    <w:rsid w:val="00352B4B"/>
    <w:rsid w:val="00373BFE"/>
    <w:rsid w:val="003B08FB"/>
    <w:rsid w:val="003D6F05"/>
    <w:rsid w:val="004056FD"/>
    <w:rsid w:val="004B37D6"/>
    <w:rsid w:val="00504926"/>
    <w:rsid w:val="0053118E"/>
    <w:rsid w:val="005324AB"/>
    <w:rsid w:val="005C3F3C"/>
    <w:rsid w:val="00602DF3"/>
    <w:rsid w:val="006060BF"/>
    <w:rsid w:val="006125AA"/>
    <w:rsid w:val="00660040"/>
    <w:rsid w:val="006B14EA"/>
    <w:rsid w:val="006D6F86"/>
    <w:rsid w:val="006E774D"/>
    <w:rsid w:val="00754DA0"/>
    <w:rsid w:val="007761AE"/>
    <w:rsid w:val="007828D0"/>
    <w:rsid w:val="00790F3D"/>
    <w:rsid w:val="00790F86"/>
    <w:rsid w:val="007A051A"/>
    <w:rsid w:val="007B362C"/>
    <w:rsid w:val="007B767C"/>
    <w:rsid w:val="007C5618"/>
    <w:rsid w:val="008107E1"/>
    <w:rsid w:val="008504F5"/>
    <w:rsid w:val="00851E58"/>
    <w:rsid w:val="008B7796"/>
    <w:rsid w:val="008C7855"/>
    <w:rsid w:val="008E7015"/>
    <w:rsid w:val="009331D0"/>
    <w:rsid w:val="0097592F"/>
    <w:rsid w:val="00976DCD"/>
    <w:rsid w:val="009770E4"/>
    <w:rsid w:val="00A5067B"/>
    <w:rsid w:val="00A51FA4"/>
    <w:rsid w:val="00A903B9"/>
    <w:rsid w:val="00AF4AD0"/>
    <w:rsid w:val="00B51493"/>
    <w:rsid w:val="00B833EA"/>
    <w:rsid w:val="00BD33EF"/>
    <w:rsid w:val="00BD481F"/>
    <w:rsid w:val="00C120D7"/>
    <w:rsid w:val="00C20CD4"/>
    <w:rsid w:val="00C23AE9"/>
    <w:rsid w:val="00C40B71"/>
    <w:rsid w:val="00C674B1"/>
    <w:rsid w:val="00C713E0"/>
    <w:rsid w:val="00C731D6"/>
    <w:rsid w:val="00D518AE"/>
    <w:rsid w:val="00D86738"/>
    <w:rsid w:val="00D93CCA"/>
    <w:rsid w:val="00DB20C0"/>
    <w:rsid w:val="00DB478F"/>
    <w:rsid w:val="00DE03CA"/>
    <w:rsid w:val="00DE6611"/>
    <w:rsid w:val="00E16285"/>
    <w:rsid w:val="00E46952"/>
    <w:rsid w:val="00E64215"/>
    <w:rsid w:val="00EC519D"/>
    <w:rsid w:val="00FD7744"/>
    <w:rsid w:val="00FD79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A22EF4C4-C3EC-4756-A38E-E2484343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C120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ed.onyai@nema.go.u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redonyai201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1897</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windows</cp:lastModifiedBy>
  <cp:revision>3</cp:revision>
  <dcterms:created xsi:type="dcterms:W3CDTF">2021-04-19T09:50:00Z</dcterms:created>
  <dcterms:modified xsi:type="dcterms:W3CDTF">2021-04-19T10:09:00Z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