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5000" w14:textId="77777777" w:rsidR="00AA726F" w:rsidRDefault="00AA726F" w:rsidP="00E034BA">
      <w:pPr>
        <w:ind w:right="44"/>
        <w:jc w:val="both"/>
        <w:rPr>
          <w:sz w:val="22"/>
          <w:szCs w:val="22"/>
          <w:lang w:val="fr-FR"/>
        </w:rPr>
      </w:pPr>
    </w:p>
    <w:p w14:paraId="1F9DC8F3"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r w:rsidR="00F61250">
        <w:rPr>
          <w:b/>
          <w:sz w:val="22"/>
          <w:szCs w:val="22"/>
        </w:rPr>
        <w:t xml:space="preserve">draft </w:t>
      </w:r>
      <w:r w:rsidR="00750EDF">
        <w:rPr>
          <w:b/>
          <w:sz w:val="22"/>
          <w:szCs w:val="22"/>
        </w:rPr>
        <w:t>monitoring framework for the post-2020 global biodiversity framework</w:t>
      </w:r>
    </w:p>
    <w:p w14:paraId="0332C78E" w14:textId="77777777" w:rsidR="00AA726F" w:rsidRDefault="00AA726F" w:rsidP="00DB71FC">
      <w:pPr>
        <w:ind w:left="360"/>
        <w:jc w:val="both"/>
        <w:rPr>
          <w:sz w:val="22"/>
          <w:szCs w:val="22"/>
        </w:rPr>
      </w:pPr>
    </w:p>
    <w:p w14:paraId="4E1E4BAE" w14:textId="77777777"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7B4A3BC9" w14:textId="77777777" w:rsidR="00750EDF" w:rsidRDefault="00750EDF" w:rsidP="00750EDF"/>
    <w:p w14:paraId="69E47C3D" w14:textId="77777777" w:rsidR="00750EDF" w:rsidRPr="008449F3" w:rsidRDefault="00750EDF" w:rsidP="00750EDF">
      <w:pPr>
        <w:pStyle w:val="ListParagraph"/>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2"/>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D7F117D" w14:textId="77777777" w:rsidR="00750EDF" w:rsidRPr="00750EDF" w:rsidRDefault="00750EDF" w:rsidP="00750EDF">
      <w:pPr>
        <w:pStyle w:val="ListParagraph"/>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0ECEE6BE"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3276C417" w14:textId="77777777" w:rsidR="00A2000C" w:rsidRDefault="00A2000C" w:rsidP="00CB6CB9">
      <w:pPr>
        <w:tabs>
          <w:tab w:val="left" w:pos="720"/>
        </w:tabs>
        <w:ind w:left="360"/>
        <w:jc w:val="both"/>
        <w:rPr>
          <w:sz w:val="22"/>
          <w:szCs w:val="22"/>
        </w:rPr>
      </w:pPr>
    </w:p>
    <w:p w14:paraId="114D819F"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11"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65726D60" w14:textId="77777777" w:rsidR="00AA726F" w:rsidRDefault="00AA726F" w:rsidP="00DD3897">
      <w:pPr>
        <w:tabs>
          <w:tab w:val="left" w:pos="720"/>
        </w:tabs>
        <w:ind w:left="360"/>
        <w:jc w:val="both"/>
        <w:rPr>
          <w:sz w:val="22"/>
          <w:szCs w:val="22"/>
        </w:rPr>
      </w:pPr>
    </w:p>
    <w:p w14:paraId="71DAFA0D"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78B7C06D" w14:textId="77777777" w:rsidR="00AA726F" w:rsidRPr="00293F53" w:rsidRDefault="00AA726F" w:rsidP="00DB71FC">
      <w:pPr>
        <w:ind w:left="1080"/>
        <w:jc w:val="both"/>
        <w:rPr>
          <w:sz w:val="22"/>
          <w:szCs w:val="22"/>
        </w:rPr>
      </w:pPr>
    </w:p>
    <w:p w14:paraId="3C5E119B"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7FD63275" w14:textId="77777777" w:rsidR="00AA726F" w:rsidRPr="00293F53" w:rsidRDefault="00AA726F" w:rsidP="00DB71FC">
      <w:pPr>
        <w:ind w:left="1080"/>
        <w:jc w:val="both"/>
        <w:rPr>
          <w:sz w:val="22"/>
          <w:szCs w:val="22"/>
        </w:rPr>
      </w:pPr>
    </w:p>
    <w:p w14:paraId="575AB9D3"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4E97AF4A" w14:textId="77777777" w:rsidR="00AA726F" w:rsidRPr="00293F53" w:rsidRDefault="00AA726F" w:rsidP="00DB71FC">
      <w:pPr>
        <w:jc w:val="both"/>
        <w:rPr>
          <w:sz w:val="22"/>
          <w:szCs w:val="22"/>
        </w:rPr>
      </w:pPr>
    </w:p>
    <w:p w14:paraId="2C2C8958"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edited as the final draft is prepared. </w:t>
      </w:r>
    </w:p>
    <w:p w14:paraId="439DB82E" w14:textId="77777777" w:rsidR="00AA726F" w:rsidRPr="00293F53" w:rsidRDefault="00AA726F" w:rsidP="00DB71FC">
      <w:pPr>
        <w:jc w:val="both"/>
        <w:rPr>
          <w:sz w:val="22"/>
          <w:szCs w:val="22"/>
        </w:rPr>
      </w:pPr>
    </w:p>
    <w:p w14:paraId="14AF93EE" w14:textId="77777777" w:rsidR="00AA726F" w:rsidRPr="00293F53" w:rsidRDefault="00AA726F" w:rsidP="00DB71FC">
      <w:pPr>
        <w:numPr>
          <w:ilvl w:val="1"/>
          <w:numId w:val="2"/>
        </w:numPr>
        <w:jc w:val="both"/>
        <w:rPr>
          <w:sz w:val="22"/>
          <w:szCs w:val="22"/>
        </w:rPr>
      </w:pPr>
      <w:r w:rsidRPr="00293F53">
        <w:rPr>
          <w:sz w:val="22"/>
          <w:szCs w:val="22"/>
        </w:rPr>
        <w:t>To facilitate the revision process please be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2ECAD56C" w14:textId="77777777" w:rsidR="00AA726F" w:rsidRPr="00293F53" w:rsidRDefault="00AA726F" w:rsidP="00DB71FC">
      <w:pPr>
        <w:jc w:val="both"/>
        <w:rPr>
          <w:sz w:val="22"/>
          <w:szCs w:val="22"/>
        </w:rPr>
      </w:pPr>
    </w:p>
    <w:p w14:paraId="366A6069"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2A015D42" w14:textId="77777777" w:rsidR="00AA726F" w:rsidRPr="00293F53" w:rsidRDefault="00AA726F" w:rsidP="00DB71FC">
      <w:pPr>
        <w:jc w:val="both"/>
        <w:rPr>
          <w:sz w:val="22"/>
          <w:szCs w:val="22"/>
        </w:rPr>
      </w:pPr>
    </w:p>
    <w:p w14:paraId="116380E6" w14:textId="77777777" w:rsidR="00750EDF" w:rsidRPr="00750EDF" w:rsidRDefault="00750EDF" w:rsidP="00750EDF">
      <w:pPr>
        <w:numPr>
          <w:ilvl w:val="1"/>
          <w:numId w:val="2"/>
        </w:numPr>
        <w:jc w:val="both"/>
        <w:rPr>
          <w:sz w:val="22"/>
          <w:szCs w:val="22"/>
        </w:rPr>
      </w:pPr>
      <w:r>
        <w:rPr>
          <w:sz w:val="22"/>
          <w:szCs w:val="22"/>
        </w:rPr>
        <w:t>Please focus your comments on columns A (monitoring elements), B (indicators) and C (</w:t>
      </w:r>
      <w:r w:rsidRPr="00750EDF">
        <w:rPr>
          <w:sz w:val="22"/>
          <w:szCs w:val="22"/>
        </w:rPr>
        <w:t>Indicator baseline year and frequency of updates</w:t>
      </w:r>
      <w:r>
        <w:rPr>
          <w:sz w:val="22"/>
          <w:szCs w:val="22"/>
        </w:rPr>
        <w:t xml:space="preserve">) of the tables 1 and 2. </w:t>
      </w:r>
    </w:p>
    <w:p w14:paraId="3154BBD1" w14:textId="77777777" w:rsidR="00750EDF" w:rsidRDefault="00750EDF" w:rsidP="00750EDF">
      <w:pPr>
        <w:pStyle w:val="ListParagraph"/>
        <w:rPr>
          <w:sz w:val="22"/>
          <w:szCs w:val="22"/>
        </w:rPr>
      </w:pPr>
    </w:p>
    <w:p w14:paraId="1AB6069D" w14:textId="77777777" w:rsidR="00AA726F" w:rsidRPr="00F04776" w:rsidRDefault="00AA726F" w:rsidP="00DB71FC">
      <w:pPr>
        <w:numPr>
          <w:ilvl w:val="1"/>
          <w:numId w:val="2"/>
        </w:numPr>
        <w:jc w:val="both"/>
        <w:rPr>
          <w:sz w:val="22"/>
          <w:szCs w:val="22"/>
        </w:rPr>
      </w:pPr>
      <w:r w:rsidRPr="00F04776">
        <w:rPr>
          <w:sz w:val="22"/>
          <w:szCs w:val="22"/>
        </w:rPr>
        <w:lastRenderedPageBreak/>
        <w:t xml:space="preserve">If you </w:t>
      </w:r>
      <w:r w:rsidR="00750EDF" w:rsidRPr="00F04776">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F04776">
        <w:rPr>
          <w:sz w:val="22"/>
          <w:szCs w:val="22"/>
        </w:rPr>
        <w:t xml:space="preserve">. </w:t>
      </w:r>
    </w:p>
    <w:p w14:paraId="542865AA" w14:textId="77777777" w:rsidR="00750EDF" w:rsidRDefault="00750EDF" w:rsidP="00750EDF">
      <w:pPr>
        <w:pStyle w:val="ListParagraph"/>
        <w:rPr>
          <w:sz w:val="22"/>
          <w:szCs w:val="22"/>
        </w:rPr>
      </w:pPr>
    </w:p>
    <w:p w14:paraId="2CD1002D"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3"/>
      </w:r>
      <w:r>
        <w:rPr>
          <w:sz w:val="22"/>
          <w:szCs w:val="22"/>
        </w:rPr>
        <w:t xml:space="preserve"> for the post-2020 global biodiversity framework in the interests of transparency</w:t>
      </w:r>
    </w:p>
    <w:p w14:paraId="69009AE2" w14:textId="77777777" w:rsidR="00AA726F" w:rsidRPr="00293F53" w:rsidRDefault="00AA726F" w:rsidP="00DB71FC">
      <w:pPr>
        <w:ind w:left="360"/>
        <w:jc w:val="both"/>
        <w:rPr>
          <w:sz w:val="22"/>
          <w:szCs w:val="22"/>
        </w:rPr>
      </w:pPr>
    </w:p>
    <w:p w14:paraId="5742B674"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2" w:history="1">
        <w:r w:rsidR="00642AC0" w:rsidRPr="00F76DDF">
          <w:rPr>
            <w:rStyle w:val="Hyperlink"/>
          </w:rPr>
          <w:t>secretariat@cbd.int</w:t>
        </w:r>
      </w:hyperlink>
      <w:r w:rsidR="00642AC0">
        <w:t xml:space="preserve">. </w:t>
      </w:r>
      <w:r w:rsidRPr="00293F53">
        <w:rPr>
          <w:sz w:val="22"/>
          <w:szCs w:val="22"/>
        </w:rPr>
        <w:t xml:space="preserve"> </w:t>
      </w:r>
    </w:p>
    <w:p w14:paraId="355E5EA0" w14:textId="77777777" w:rsidR="00AA726F" w:rsidRPr="00293F53" w:rsidRDefault="00AA726F" w:rsidP="00DB71FC">
      <w:pPr>
        <w:pStyle w:val="Default"/>
        <w:ind w:left="360"/>
        <w:jc w:val="center"/>
        <w:rPr>
          <w:b/>
          <w:i/>
          <w:sz w:val="22"/>
          <w:szCs w:val="22"/>
          <w:u w:val="single"/>
        </w:rPr>
      </w:pPr>
    </w:p>
    <w:p w14:paraId="0060FBD7" w14:textId="77777777" w:rsidR="00A2000C" w:rsidRDefault="00A2000C" w:rsidP="00A2000C">
      <w:pPr>
        <w:pStyle w:val="Default"/>
        <w:ind w:left="360"/>
        <w:jc w:val="center"/>
        <w:rPr>
          <w:b/>
          <w:i/>
          <w:sz w:val="22"/>
          <w:szCs w:val="22"/>
          <w:u w:val="single"/>
        </w:rPr>
      </w:pPr>
    </w:p>
    <w:p w14:paraId="23AA272C"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51AD8213" w14:textId="77777777" w:rsidR="00A2000C" w:rsidRDefault="00A2000C" w:rsidP="00A2000C">
      <w:pPr>
        <w:pStyle w:val="Default"/>
        <w:ind w:left="360"/>
        <w:jc w:val="both"/>
        <w:rPr>
          <w:sz w:val="22"/>
          <w:szCs w:val="22"/>
        </w:rPr>
      </w:pPr>
    </w:p>
    <w:p w14:paraId="0863F8E2"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7E4FB1BE" w14:textId="77777777" w:rsidR="00AA726F" w:rsidRPr="00293F53" w:rsidRDefault="00AA726F" w:rsidP="00DB71FC">
      <w:pPr>
        <w:jc w:val="both"/>
        <w:rPr>
          <w:sz w:val="22"/>
          <w:szCs w:val="22"/>
        </w:rPr>
      </w:pPr>
    </w:p>
    <w:p w14:paraId="5262B657"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2FFA0C3C" w14:textId="77777777" w:rsidR="00EC787C" w:rsidRDefault="00EC787C" w:rsidP="00EC787C">
      <w:pPr>
        <w:pStyle w:val="ListParagraph"/>
        <w:rPr>
          <w:sz w:val="22"/>
          <w:szCs w:val="22"/>
        </w:rPr>
      </w:pPr>
    </w:p>
    <w:p w14:paraId="26B43177" w14:textId="77777777" w:rsidR="00624FAA" w:rsidRDefault="00624FAA" w:rsidP="005D2E65">
      <w:pPr>
        <w:pStyle w:val="Default"/>
        <w:jc w:val="center"/>
        <w:rPr>
          <w:b/>
          <w:sz w:val="22"/>
          <w:szCs w:val="22"/>
          <w:u w:val="single"/>
        </w:rPr>
      </w:pPr>
      <w:r>
        <w:rPr>
          <w:b/>
          <w:sz w:val="22"/>
          <w:szCs w:val="22"/>
          <w:u w:val="single"/>
        </w:rPr>
        <w:t>TEMPLATE FOR COMMENTS</w:t>
      </w:r>
    </w:p>
    <w:p w14:paraId="69DA69A3"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33BD7FE8" w14:textId="77777777" w:rsidTr="4832EE42">
        <w:trPr>
          <w:trHeight w:val="242"/>
        </w:trPr>
        <w:tc>
          <w:tcPr>
            <w:tcW w:w="9606" w:type="dxa"/>
            <w:gridSpan w:val="6"/>
          </w:tcPr>
          <w:p w14:paraId="7B137006"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5052C27D" w14:textId="77777777" w:rsidTr="4832EE42">
        <w:trPr>
          <w:trHeight w:val="233"/>
        </w:trPr>
        <w:tc>
          <w:tcPr>
            <w:tcW w:w="9606" w:type="dxa"/>
            <w:gridSpan w:val="6"/>
            <w:shd w:val="clear" w:color="auto" w:fill="C0C0C0"/>
          </w:tcPr>
          <w:p w14:paraId="07E0A626" w14:textId="77777777" w:rsidR="005D2E65" w:rsidRPr="000C0B6C" w:rsidRDefault="005D2E65" w:rsidP="00690111">
            <w:pPr>
              <w:jc w:val="center"/>
              <w:rPr>
                <w:i/>
              </w:rPr>
            </w:pPr>
            <w:r w:rsidRPr="000C0B6C">
              <w:rPr>
                <w:i/>
              </w:rPr>
              <w:t>Contact information</w:t>
            </w:r>
          </w:p>
        </w:tc>
      </w:tr>
      <w:tr w:rsidR="005D2E65" w:rsidRPr="000C0B6C" w14:paraId="45B6952B" w14:textId="77777777" w:rsidTr="4832EE42">
        <w:trPr>
          <w:trHeight w:val="270"/>
        </w:trPr>
        <w:tc>
          <w:tcPr>
            <w:tcW w:w="2802" w:type="dxa"/>
            <w:gridSpan w:val="4"/>
          </w:tcPr>
          <w:p w14:paraId="11FC289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398D8039" w14:textId="77777777" w:rsidR="005D2E65" w:rsidRDefault="00CC0E56" w:rsidP="00690111">
            <w:r>
              <w:t>Demers</w:t>
            </w:r>
          </w:p>
          <w:p w14:paraId="11AD7036" w14:textId="10F6E24C" w:rsidR="006F0934" w:rsidRPr="000C0B6C" w:rsidRDefault="006F0934" w:rsidP="00690111">
            <w:r>
              <w:t>Navarrete Frías</w:t>
            </w:r>
          </w:p>
        </w:tc>
      </w:tr>
      <w:tr w:rsidR="005D2E65" w:rsidRPr="000C0B6C" w14:paraId="536D69A1" w14:textId="77777777" w:rsidTr="4832EE42">
        <w:trPr>
          <w:trHeight w:val="270"/>
        </w:trPr>
        <w:tc>
          <w:tcPr>
            <w:tcW w:w="2802" w:type="dxa"/>
            <w:gridSpan w:val="4"/>
          </w:tcPr>
          <w:p w14:paraId="08856C6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3A1A141B" w14:textId="77777777" w:rsidR="005D2E65" w:rsidRDefault="00CC0E56" w:rsidP="00690111">
            <w:r>
              <w:t>Nicole Renee</w:t>
            </w:r>
          </w:p>
          <w:p w14:paraId="019BDCAC" w14:textId="2F240DB7" w:rsidR="006F0934" w:rsidRPr="000C0B6C" w:rsidRDefault="006F0934" w:rsidP="00690111">
            <w:r>
              <w:t>Carolina</w:t>
            </w:r>
          </w:p>
        </w:tc>
      </w:tr>
      <w:tr w:rsidR="005D2E65" w:rsidRPr="000C0B6C" w14:paraId="240D8F8E" w14:textId="77777777" w:rsidTr="4832EE42">
        <w:trPr>
          <w:trHeight w:val="280"/>
        </w:trPr>
        <w:tc>
          <w:tcPr>
            <w:tcW w:w="2802" w:type="dxa"/>
            <w:gridSpan w:val="4"/>
          </w:tcPr>
          <w:p w14:paraId="277A39B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17048922" w14:textId="77777777" w:rsidR="005D2E65" w:rsidRPr="000C0B6C" w:rsidRDefault="00964E65" w:rsidP="00690111">
            <w:r>
              <w:t>-</w:t>
            </w:r>
          </w:p>
        </w:tc>
      </w:tr>
      <w:tr w:rsidR="005D2E65" w:rsidRPr="000C0B6C" w14:paraId="3A415C4B" w14:textId="77777777" w:rsidTr="4832EE42">
        <w:trPr>
          <w:trHeight w:val="270"/>
        </w:trPr>
        <w:tc>
          <w:tcPr>
            <w:tcW w:w="2802" w:type="dxa"/>
            <w:gridSpan w:val="4"/>
          </w:tcPr>
          <w:p w14:paraId="374908E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07E6BF30" w14:textId="77777777" w:rsidR="005D2E65" w:rsidRPr="000C0B6C" w:rsidRDefault="001169CD" w:rsidP="00690111">
            <w:r>
              <w:t>The Alliance of Bioversity International and International Centre for Tropical Agriculture (CIAT)</w:t>
            </w:r>
          </w:p>
        </w:tc>
      </w:tr>
      <w:tr w:rsidR="005D2E65" w:rsidRPr="00BC2A0F" w14:paraId="3895AA66" w14:textId="77777777" w:rsidTr="4832EE42">
        <w:trPr>
          <w:trHeight w:val="280"/>
        </w:trPr>
        <w:tc>
          <w:tcPr>
            <w:tcW w:w="2802" w:type="dxa"/>
            <w:gridSpan w:val="4"/>
          </w:tcPr>
          <w:p w14:paraId="787E8A8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299447DD" w14:textId="77777777" w:rsidR="005D2E65" w:rsidRPr="00964E65" w:rsidRDefault="00964E65" w:rsidP="00690111">
            <w:pPr>
              <w:rPr>
                <w:lang w:val="fr-CA"/>
              </w:rPr>
            </w:pPr>
            <w:r w:rsidRPr="00964E65">
              <w:rPr>
                <w:lang w:val="fr-CA"/>
              </w:rPr>
              <w:t>Viale dei Tre Denari 472/a</w:t>
            </w:r>
          </w:p>
        </w:tc>
      </w:tr>
      <w:tr w:rsidR="005D2E65" w:rsidRPr="000C0B6C" w14:paraId="048BA851" w14:textId="77777777" w:rsidTr="4832EE42">
        <w:trPr>
          <w:trHeight w:val="270"/>
        </w:trPr>
        <w:tc>
          <w:tcPr>
            <w:tcW w:w="2802" w:type="dxa"/>
            <w:gridSpan w:val="4"/>
          </w:tcPr>
          <w:p w14:paraId="60B6DEF9"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6294E114" w14:textId="77777777" w:rsidR="005D2E65" w:rsidRPr="000C0B6C" w:rsidRDefault="00964E65" w:rsidP="00690111">
            <w:r>
              <w:t>Maccarese (Fiumicino)</w:t>
            </w:r>
          </w:p>
        </w:tc>
      </w:tr>
      <w:tr w:rsidR="005D2E65" w:rsidRPr="000C0B6C" w14:paraId="17DD6367" w14:textId="77777777" w:rsidTr="4832EE42">
        <w:trPr>
          <w:trHeight w:val="280"/>
        </w:trPr>
        <w:tc>
          <w:tcPr>
            <w:tcW w:w="2802" w:type="dxa"/>
            <w:gridSpan w:val="4"/>
          </w:tcPr>
          <w:p w14:paraId="7CC4DC0D"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273ADA82" w14:textId="77777777" w:rsidR="005D2E65" w:rsidRPr="000C0B6C" w:rsidRDefault="00964E65" w:rsidP="00690111">
            <w:r>
              <w:t>Italy</w:t>
            </w:r>
          </w:p>
        </w:tc>
      </w:tr>
      <w:tr w:rsidR="005D2E65" w:rsidRPr="000C0B6C" w14:paraId="5C24066A" w14:textId="77777777" w:rsidTr="4832EE42">
        <w:trPr>
          <w:trHeight w:val="233"/>
        </w:trPr>
        <w:tc>
          <w:tcPr>
            <w:tcW w:w="2802" w:type="dxa"/>
            <w:gridSpan w:val="4"/>
          </w:tcPr>
          <w:p w14:paraId="233B2669"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2F3D4244" w14:textId="4DD1FA53" w:rsidR="005D2E65" w:rsidRPr="000C0B6C" w:rsidRDefault="00D83C13" w:rsidP="00690111">
            <w:hyperlink r:id="rId13">
              <w:r w:rsidR="00CC0E56" w:rsidRPr="60DC99E3">
                <w:rPr>
                  <w:rStyle w:val="Hyperlink"/>
                </w:rPr>
                <w:t>nicole.demers@cgiar.org</w:t>
              </w:r>
            </w:hyperlink>
            <w:r w:rsidR="5AE1E6AB">
              <w:t xml:space="preserve"> ; </w:t>
            </w:r>
            <w:hyperlink r:id="rId14">
              <w:r w:rsidR="5AE1E6AB" w:rsidRPr="60DC99E3">
                <w:rPr>
                  <w:rStyle w:val="Hyperlink"/>
                </w:rPr>
                <w:t>c.navarrete@cgiar.org</w:t>
              </w:r>
            </w:hyperlink>
            <w:r w:rsidR="5AE1E6AB">
              <w:t xml:space="preserve"> </w:t>
            </w:r>
          </w:p>
        </w:tc>
      </w:tr>
      <w:tr w:rsidR="005D2E65" w:rsidRPr="000C0B6C" w14:paraId="5C2AB925" w14:textId="77777777" w:rsidTr="4832EE42">
        <w:trPr>
          <w:trHeight w:val="224"/>
        </w:trPr>
        <w:tc>
          <w:tcPr>
            <w:tcW w:w="817" w:type="dxa"/>
            <w:shd w:val="clear" w:color="auto" w:fill="C0C0C0"/>
          </w:tcPr>
          <w:p w14:paraId="6D16F6EF" w14:textId="77777777" w:rsidR="005D2E65" w:rsidRPr="000C0B6C" w:rsidRDefault="005D2E65" w:rsidP="00690111">
            <w:pPr>
              <w:jc w:val="center"/>
              <w:rPr>
                <w:b/>
                <w:i/>
                <w:highlight w:val="lightGray"/>
              </w:rPr>
            </w:pPr>
          </w:p>
        </w:tc>
        <w:tc>
          <w:tcPr>
            <w:tcW w:w="815" w:type="dxa"/>
            <w:shd w:val="clear" w:color="auto" w:fill="C0C0C0"/>
          </w:tcPr>
          <w:p w14:paraId="250C1447" w14:textId="77777777" w:rsidR="005D2E65" w:rsidRPr="000C0B6C" w:rsidRDefault="005D2E65" w:rsidP="00690111">
            <w:pPr>
              <w:jc w:val="center"/>
              <w:rPr>
                <w:b/>
                <w:i/>
                <w:highlight w:val="lightGray"/>
              </w:rPr>
            </w:pPr>
          </w:p>
        </w:tc>
        <w:tc>
          <w:tcPr>
            <w:tcW w:w="7974" w:type="dxa"/>
            <w:gridSpan w:val="4"/>
            <w:shd w:val="clear" w:color="auto" w:fill="C0C0C0"/>
          </w:tcPr>
          <w:p w14:paraId="5B72BF88" w14:textId="77777777" w:rsidR="005D2E65" w:rsidRPr="000C0B6C" w:rsidRDefault="005D2E65" w:rsidP="00690111">
            <w:pPr>
              <w:jc w:val="center"/>
              <w:rPr>
                <w:b/>
                <w:i/>
              </w:rPr>
            </w:pPr>
            <w:r w:rsidRPr="000C0B6C">
              <w:rPr>
                <w:b/>
                <w:i/>
                <w:highlight w:val="lightGray"/>
              </w:rPr>
              <w:t>Comments</w:t>
            </w:r>
          </w:p>
        </w:tc>
      </w:tr>
      <w:tr w:rsidR="005D2E65" w:rsidRPr="000C0B6C" w14:paraId="5169E397" w14:textId="77777777" w:rsidTr="4832EE42">
        <w:trPr>
          <w:trHeight w:val="224"/>
        </w:trPr>
        <w:tc>
          <w:tcPr>
            <w:tcW w:w="817" w:type="dxa"/>
          </w:tcPr>
          <w:p w14:paraId="6E0D9A21" w14:textId="77777777" w:rsidR="005D2E65" w:rsidRPr="000C0B6C" w:rsidRDefault="005D2E65" w:rsidP="00690111">
            <w:pPr>
              <w:rPr>
                <w:b/>
                <w:sz w:val="22"/>
                <w:szCs w:val="22"/>
              </w:rPr>
            </w:pPr>
            <w:r>
              <w:rPr>
                <w:b/>
                <w:sz w:val="22"/>
                <w:szCs w:val="22"/>
              </w:rPr>
              <w:t>Table</w:t>
            </w:r>
          </w:p>
        </w:tc>
        <w:tc>
          <w:tcPr>
            <w:tcW w:w="815" w:type="dxa"/>
          </w:tcPr>
          <w:p w14:paraId="1ADECE17" w14:textId="77777777" w:rsidR="005D2E65" w:rsidRPr="000C0B6C" w:rsidRDefault="005D2E65" w:rsidP="00690111">
            <w:pPr>
              <w:rPr>
                <w:b/>
                <w:sz w:val="22"/>
                <w:szCs w:val="22"/>
              </w:rPr>
            </w:pPr>
            <w:r w:rsidRPr="000C0B6C">
              <w:rPr>
                <w:b/>
                <w:sz w:val="22"/>
                <w:szCs w:val="22"/>
              </w:rPr>
              <w:t>Page</w:t>
            </w:r>
          </w:p>
        </w:tc>
        <w:tc>
          <w:tcPr>
            <w:tcW w:w="974" w:type="dxa"/>
          </w:tcPr>
          <w:p w14:paraId="7095039F" w14:textId="77777777" w:rsidR="005D2E65" w:rsidRPr="000C0B6C" w:rsidRDefault="005D2E65" w:rsidP="00690111">
            <w:pPr>
              <w:rPr>
                <w:b/>
              </w:rPr>
            </w:pPr>
            <w:r>
              <w:rPr>
                <w:b/>
                <w:sz w:val="22"/>
                <w:szCs w:val="22"/>
              </w:rPr>
              <w:t>Column letter</w:t>
            </w:r>
          </w:p>
        </w:tc>
        <w:tc>
          <w:tcPr>
            <w:tcW w:w="1215" w:type="dxa"/>
            <w:gridSpan w:val="2"/>
          </w:tcPr>
          <w:p w14:paraId="1FB8DE9A" w14:textId="77777777" w:rsidR="005D2E65" w:rsidRPr="000C0B6C" w:rsidRDefault="005D2E65" w:rsidP="00211568">
            <w:pPr>
              <w:rPr>
                <w:b/>
              </w:rPr>
            </w:pPr>
            <w:r>
              <w:rPr>
                <w:b/>
              </w:rPr>
              <w:t>Row number</w:t>
            </w:r>
          </w:p>
        </w:tc>
        <w:tc>
          <w:tcPr>
            <w:tcW w:w="5785" w:type="dxa"/>
          </w:tcPr>
          <w:p w14:paraId="12408CE5" w14:textId="77777777" w:rsidR="005D2E65" w:rsidRPr="000C0B6C" w:rsidRDefault="005D2E65" w:rsidP="00690111">
            <w:pPr>
              <w:rPr>
                <w:b/>
              </w:rPr>
            </w:pPr>
            <w:r w:rsidRPr="000C0B6C">
              <w:rPr>
                <w:b/>
                <w:sz w:val="22"/>
                <w:szCs w:val="22"/>
              </w:rPr>
              <w:t>Comment</w:t>
            </w:r>
          </w:p>
        </w:tc>
      </w:tr>
      <w:tr w:rsidR="005D2E65" w:rsidRPr="000C0B6C" w14:paraId="26F3E0D6" w14:textId="77777777" w:rsidTr="4832EE42">
        <w:trPr>
          <w:trHeight w:val="224"/>
        </w:trPr>
        <w:tc>
          <w:tcPr>
            <w:tcW w:w="817" w:type="dxa"/>
            <w:shd w:val="clear" w:color="auto" w:fill="A6A6A6" w:themeFill="background1" w:themeFillShade="A6"/>
          </w:tcPr>
          <w:p w14:paraId="2E5A96BB" w14:textId="77777777" w:rsidR="005D2E65" w:rsidRPr="000C0B6C" w:rsidRDefault="005D2E65" w:rsidP="005D2E65"/>
        </w:tc>
        <w:tc>
          <w:tcPr>
            <w:tcW w:w="815" w:type="dxa"/>
            <w:shd w:val="clear" w:color="auto" w:fill="A6A6A6" w:themeFill="background1" w:themeFillShade="A6"/>
          </w:tcPr>
          <w:p w14:paraId="64555F7E" w14:textId="77777777" w:rsidR="005D2E65" w:rsidRPr="000C0B6C" w:rsidRDefault="005D2E65" w:rsidP="005D2E65"/>
        </w:tc>
        <w:tc>
          <w:tcPr>
            <w:tcW w:w="974" w:type="dxa"/>
            <w:shd w:val="clear" w:color="auto" w:fill="A6A6A6" w:themeFill="background1" w:themeFillShade="A6"/>
          </w:tcPr>
          <w:p w14:paraId="3A3D63A1" w14:textId="77777777" w:rsidR="005D2E65" w:rsidRPr="000C0B6C" w:rsidRDefault="005D2E65" w:rsidP="005D2E65"/>
        </w:tc>
        <w:tc>
          <w:tcPr>
            <w:tcW w:w="1215" w:type="dxa"/>
            <w:gridSpan w:val="2"/>
            <w:shd w:val="clear" w:color="auto" w:fill="A6A6A6" w:themeFill="background1" w:themeFillShade="A6"/>
          </w:tcPr>
          <w:p w14:paraId="6023DED2" w14:textId="77777777" w:rsidR="005D2E65" w:rsidRPr="000C0B6C" w:rsidRDefault="005D2E65" w:rsidP="005D2E65"/>
        </w:tc>
        <w:tc>
          <w:tcPr>
            <w:tcW w:w="5785" w:type="dxa"/>
            <w:shd w:val="clear" w:color="auto" w:fill="A6A6A6" w:themeFill="background1" w:themeFillShade="A6"/>
          </w:tcPr>
          <w:p w14:paraId="5B27F521" w14:textId="77777777" w:rsidR="005D2E65" w:rsidRPr="000C0B6C" w:rsidRDefault="005D2E65" w:rsidP="005D2E65"/>
        </w:tc>
      </w:tr>
      <w:tr w:rsidR="004C2065" w:rsidRPr="000C0B6C" w14:paraId="29F59FA7" w14:textId="77777777" w:rsidTr="4832EE42">
        <w:trPr>
          <w:trHeight w:val="224"/>
        </w:trPr>
        <w:tc>
          <w:tcPr>
            <w:tcW w:w="817" w:type="dxa"/>
          </w:tcPr>
          <w:p w14:paraId="171BFA8E" w14:textId="4321E12C" w:rsidR="004C2065" w:rsidRPr="000C0B6C" w:rsidRDefault="004C2065" w:rsidP="005D2E65">
            <w:r>
              <w:t>1</w:t>
            </w:r>
          </w:p>
        </w:tc>
        <w:tc>
          <w:tcPr>
            <w:tcW w:w="815" w:type="dxa"/>
          </w:tcPr>
          <w:p w14:paraId="2767E125" w14:textId="05C82935" w:rsidR="004C2065" w:rsidRPr="000C0B6C" w:rsidRDefault="004C2065" w:rsidP="005D2E65">
            <w:r>
              <w:t>2</w:t>
            </w:r>
          </w:p>
        </w:tc>
        <w:tc>
          <w:tcPr>
            <w:tcW w:w="974" w:type="dxa"/>
          </w:tcPr>
          <w:p w14:paraId="57350DD3" w14:textId="6AE19005" w:rsidR="004C2065" w:rsidRPr="000C0B6C" w:rsidRDefault="004C2065" w:rsidP="005D2E65">
            <w:r>
              <w:t>C</w:t>
            </w:r>
          </w:p>
        </w:tc>
        <w:tc>
          <w:tcPr>
            <w:tcW w:w="1215" w:type="dxa"/>
            <w:gridSpan w:val="2"/>
          </w:tcPr>
          <w:p w14:paraId="29603923" w14:textId="5C387EAA" w:rsidR="004C2065" w:rsidRPr="000C0B6C" w:rsidRDefault="004C2065" w:rsidP="005D2E65">
            <w:r>
              <w:t>15</w:t>
            </w:r>
          </w:p>
        </w:tc>
        <w:tc>
          <w:tcPr>
            <w:tcW w:w="5785" w:type="dxa"/>
          </w:tcPr>
          <w:p w14:paraId="6B7CB340" w14:textId="63C779AD" w:rsidR="004C2065" w:rsidRPr="000C0B6C" w:rsidRDefault="004E39B5" w:rsidP="005D2E65">
            <w:r>
              <w:t>Goal</w:t>
            </w:r>
            <w:r w:rsidR="00DA3362">
              <w:t xml:space="preserve"> A2</w:t>
            </w:r>
            <w:r w:rsidR="00306EBD">
              <w:t xml:space="preserve">. </w:t>
            </w:r>
            <w:r w:rsidR="004C2065">
              <w:t>We suggest including</w:t>
            </w:r>
            <w:r w:rsidR="001F68A9">
              <w:t xml:space="preserve"> a new</w:t>
            </w:r>
            <w:r w:rsidR="004C2065">
              <w:t xml:space="preserve"> </w:t>
            </w:r>
            <w:r w:rsidR="004C2065" w:rsidRPr="004C2065">
              <w:t>indicator</w:t>
            </w:r>
            <w:r w:rsidR="004C2065">
              <w:t>:</w:t>
            </w:r>
            <w:r w:rsidR="004C2065" w:rsidRPr="004C2065">
              <w:t xml:space="preserve"> </w:t>
            </w:r>
            <w:r w:rsidR="004C2065">
              <w:t>“P</w:t>
            </w:r>
            <w:r w:rsidR="004C2065" w:rsidRPr="004C2065">
              <w:t>roportion of agriculture that is diversified under agroforestry, intercropping, crop rotation, mixtures or other diversification practices</w:t>
            </w:r>
            <w:r w:rsidR="004C2065">
              <w:t>”</w:t>
            </w:r>
            <w:r w:rsidR="00680CBC">
              <w:t>.</w:t>
            </w:r>
          </w:p>
        </w:tc>
      </w:tr>
      <w:tr w:rsidR="004C2065" w:rsidRPr="000C0B6C" w14:paraId="3DDFA77B" w14:textId="77777777" w:rsidTr="4832EE42">
        <w:trPr>
          <w:trHeight w:val="224"/>
        </w:trPr>
        <w:tc>
          <w:tcPr>
            <w:tcW w:w="817" w:type="dxa"/>
          </w:tcPr>
          <w:p w14:paraId="099420C0" w14:textId="5B7363FF" w:rsidR="004C2065" w:rsidRPr="000C0B6C" w:rsidRDefault="004C2065" w:rsidP="005D2E65">
            <w:r>
              <w:t>1</w:t>
            </w:r>
          </w:p>
        </w:tc>
        <w:tc>
          <w:tcPr>
            <w:tcW w:w="815" w:type="dxa"/>
          </w:tcPr>
          <w:p w14:paraId="12B92824" w14:textId="74D02538" w:rsidR="004C2065" w:rsidRPr="000C0B6C" w:rsidRDefault="004C2065" w:rsidP="005D2E65">
            <w:r>
              <w:t>2</w:t>
            </w:r>
          </w:p>
        </w:tc>
        <w:tc>
          <w:tcPr>
            <w:tcW w:w="974" w:type="dxa"/>
          </w:tcPr>
          <w:p w14:paraId="64459E01" w14:textId="7030D1A6" w:rsidR="004C2065" w:rsidRPr="000C0B6C" w:rsidRDefault="004C2065" w:rsidP="005D2E65">
            <w:r>
              <w:t>C</w:t>
            </w:r>
          </w:p>
        </w:tc>
        <w:tc>
          <w:tcPr>
            <w:tcW w:w="1215" w:type="dxa"/>
            <w:gridSpan w:val="2"/>
          </w:tcPr>
          <w:p w14:paraId="5DCB7DA7" w14:textId="22FDF16E" w:rsidR="004C2065" w:rsidRPr="000C0B6C" w:rsidRDefault="004C2065" w:rsidP="005D2E65">
            <w:r>
              <w:t>16</w:t>
            </w:r>
          </w:p>
        </w:tc>
        <w:tc>
          <w:tcPr>
            <w:tcW w:w="5785" w:type="dxa"/>
          </w:tcPr>
          <w:p w14:paraId="110E7407" w14:textId="4D514F15" w:rsidR="001F68A9" w:rsidRDefault="00DA3362" w:rsidP="001F68A9">
            <w:pPr>
              <w:rPr>
                <w:i/>
                <w:iCs/>
              </w:rPr>
            </w:pPr>
            <w:r>
              <w:t>Goal A</w:t>
            </w:r>
            <w:r w:rsidR="00306EBD">
              <w:t xml:space="preserve">2. </w:t>
            </w:r>
            <w:r w:rsidR="00690E79">
              <w:t>We suggest adding the following indicator “</w:t>
            </w:r>
            <w:r w:rsidR="000E0E6D">
              <w:t>Agrobiodiversity Index (ADBI)</w:t>
            </w:r>
            <w:r w:rsidR="00690E79">
              <w:t>”</w:t>
            </w:r>
            <w:r w:rsidR="000E0E6D">
              <w:t xml:space="preserve">. ABDI has been developed by the Alliance of Bioversity International and </w:t>
            </w:r>
            <w:r w:rsidR="000E0E6D">
              <w:lastRenderedPageBreak/>
              <w:t xml:space="preserve">CIAT and will be produced annually as from </w:t>
            </w:r>
            <w:r w:rsidR="000E0E6D" w:rsidRPr="000F55DB">
              <w:t>2021 for XX countries</w:t>
            </w:r>
            <w:r w:rsidR="00232A7C" w:rsidRPr="000F55DB">
              <w:rPr>
                <w:i/>
                <w:iCs/>
              </w:rPr>
              <w:t>.</w:t>
            </w:r>
          </w:p>
          <w:p w14:paraId="2EFD063F" w14:textId="08EFFCE8" w:rsidR="007B35B8" w:rsidRPr="007B35B8" w:rsidRDefault="007B35B8" w:rsidP="007B35B8">
            <w:r w:rsidRPr="007B35B8">
              <w:t xml:space="preserve">The </w:t>
            </w:r>
            <w:hyperlink r:id="rId15" w:tooltip="https://cgspace.cgiar.org/handle/10568/106478" w:history="1">
              <w:r w:rsidRPr="007B35B8">
                <w:rPr>
                  <w:color w:val="0070C0"/>
                  <w:u w:val="single"/>
                </w:rPr>
                <w:t>Agrobiodiversity Index methodology v.1.0</w:t>
              </w:r>
            </w:hyperlink>
            <w:r w:rsidRPr="007B35B8">
              <w:t xml:space="preserve"> was released in March 2019. The document resulted from a thorough process of formulation, carried out in consultation with potential users and science partners to make sure the tool could address their needs. From May to September 2019, a consultation process was opened to gather further feedback on the document and identify areas for improvement. Based on this feedback, in 2020 the Agrobiodiversity Index team is releasing an updated version of the methodology (version 2.0) both as a report and as a peer-reviewed paper. The latter has already been submitted to a </w:t>
            </w:r>
            <w:r w:rsidR="008E5D35" w:rsidRPr="007B35B8">
              <w:t>well-known</w:t>
            </w:r>
            <w:r w:rsidRPr="007B35B8">
              <w:t xml:space="preserve"> scientifi</w:t>
            </w:r>
            <w:r w:rsidR="00BF20FE">
              <w:t>c</w:t>
            </w:r>
            <w:r w:rsidRPr="007B35B8">
              <w:t xml:space="preserve"> journal and i</w:t>
            </w:r>
            <w:r w:rsidR="008E5D35">
              <w:t>s</w:t>
            </w:r>
            <w:r w:rsidRPr="007B35B8">
              <w:t xml:space="preserve"> currently under review, under the following title: </w:t>
            </w:r>
            <w:r w:rsidR="008E5D35" w:rsidRPr="00232A7C">
              <w:rPr>
                <w:i/>
                <w:iCs/>
              </w:rPr>
              <w:t>Jones S., Estrada-Carmona N., Juventia S., Dulloo E., Laporte M-A., Villani C., Remans R. (forthcoming). Monitoring biodiversity in our food systems</w:t>
            </w:r>
            <w:r w:rsidR="008E5D35">
              <w:rPr>
                <w:i/>
                <w:iCs/>
              </w:rPr>
              <w:t>.</w:t>
            </w:r>
          </w:p>
          <w:p w14:paraId="62A06215" w14:textId="073CFC0E" w:rsidR="001F68A9" w:rsidRPr="000C0B6C" w:rsidRDefault="001F68A9" w:rsidP="00293BDC"/>
        </w:tc>
      </w:tr>
      <w:tr w:rsidR="004C2065" w:rsidRPr="000C0B6C" w14:paraId="1C32D188" w14:textId="77777777" w:rsidTr="4832EE42">
        <w:trPr>
          <w:trHeight w:val="224"/>
        </w:trPr>
        <w:tc>
          <w:tcPr>
            <w:tcW w:w="817" w:type="dxa"/>
          </w:tcPr>
          <w:p w14:paraId="7FCA70D7" w14:textId="4331E953" w:rsidR="004C2065" w:rsidRPr="000C0B6C" w:rsidRDefault="001E56FD" w:rsidP="005D2E65">
            <w:r>
              <w:lastRenderedPageBreak/>
              <w:t>1</w:t>
            </w:r>
          </w:p>
        </w:tc>
        <w:tc>
          <w:tcPr>
            <w:tcW w:w="815" w:type="dxa"/>
          </w:tcPr>
          <w:p w14:paraId="1457D80D" w14:textId="6CD0E240" w:rsidR="004C2065" w:rsidRPr="000C0B6C" w:rsidRDefault="001E56FD" w:rsidP="005D2E65">
            <w:r>
              <w:t>4</w:t>
            </w:r>
          </w:p>
        </w:tc>
        <w:tc>
          <w:tcPr>
            <w:tcW w:w="974" w:type="dxa"/>
          </w:tcPr>
          <w:p w14:paraId="09082C97" w14:textId="2484ADEF" w:rsidR="004C2065" w:rsidRPr="000C0B6C" w:rsidRDefault="001E56FD" w:rsidP="005D2E65">
            <w:r>
              <w:t>C</w:t>
            </w:r>
          </w:p>
        </w:tc>
        <w:tc>
          <w:tcPr>
            <w:tcW w:w="1215" w:type="dxa"/>
            <w:gridSpan w:val="2"/>
          </w:tcPr>
          <w:p w14:paraId="19A3435F" w14:textId="63A51417" w:rsidR="004C2065" w:rsidRPr="000C0B6C" w:rsidRDefault="001E56FD" w:rsidP="005D2E65">
            <w:r>
              <w:t>36</w:t>
            </w:r>
          </w:p>
        </w:tc>
        <w:tc>
          <w:tcPr>
            <w:tcW w:w="5785" w:type="dxa"/>
          </w:tcPr>
          <w:p w14:paraId="57BB3AA2" w14:textId="6DD2206C" w:rsidR="004C2065" w:rsidRPr="00164AA0" w:rsidRDefault="0071190F" w:rsidP="005D2E65">
            <w:r>
              <w:t xml:space="preserve">Goal A5. </w:t>
            </w:r>
            <w:r w:rsidR="00071848">
              <w:t xml:space="preserve">We suggest </w:t>
            </w:r>
            <w:r w:rsidR="00564DF8">
              <w:t>adding</w:t>
            </w:r>
            <w:r w:rsidR="00071848">
              <w:t xml:space="preserve"> the following indicator which in included in the </w:t>
            </w:r>
            <w:r w:rsidR="00071848" w:rsidRPr="00071848">
              <w:t>BIP</w:t>
            </w:r>
            <w:r w:rsidR="00B211A8">
              <w:t>/WCMC</w:t>
            </w:r>
            <w:r w:rsidR="00071848" w:rsidRPr="00071848">
              <w:t xml:space="preserve"> indicators</w:t>
            </w:r>
            <w:r w:rsidR="00B211A8">
              <w:t xml:space="preserve"> document</w:t>
            </w:r>
            <w:r w:rsidR="00071848" w:rsidRPr="00071848">
              <w:t>:</w:t>
            </w:r>
            <w:r w:rsidR="00B211A8">
              <w:t xml:space="preserve"> “</w:t>
            </w:r>
            <w:hyperlink r:id="rId16" w:history="1">
              <w:r w:rsidR="00071848" w:rsidRPr="00B47AE7">
                <w:rPr>
                  <w:rStyle w:val="Hyperlink"/>
                </w:rPr>
                <w:t>Comprehensiveness of conservation of socioeconomically as well as culturally valuable species</w:t>
              </w:r>
            </w:hyperlink>
            <w:r w:rsidR="00B211A8">
              <w:t>” (responsible is</w:t>
            </w:r>
            <w:r w:rsidR="00071848" w:rsidRPr="00071848">
              <w:t xml:space="preserve"> </w:t>
            </w:r>
            <w:r w:rsidR="00E17CBA">
              <w:t>Alliance of Bioversity and CIAT</w:t>
            </w:r>
            <w:r w:rsidR="00316099">
              <w:t>,</w:t>
            </w:r>
            <w:r w:rsidR="00071848" w:rsidRPr="00071848">
              <w:t xml:space="preserve"> </w:t>
            </w:r>
            <w:r w:rsidR="00E17CBA">
              <w:t xml:space="preserve">and </w:t>
            </w:r>
            <w:r w:rsidR="00071848" w:rsidRPr="00071848">
              <w:t>Crop Tru</w:t>
            </w:r>
            <w:r w:rsidR="00E17CBA">
              <w:t>st</w:t>
            </w:r>
            <w:r w:rsidR="005626CE" w:rsidRPr="00164AA0">
              <w:t>;</w:t>
            </w:r>
            <w:r w:rsidR="00B47AE7" w:rsidRPr="00164AA0">
              <w:t xml:space="preserve"> more info in the link</w:t>
            </w:r>
            <w:r w:rsidR="00E17CBA" w:rsidRPr="00164AA0">
              <w:t>)</w:t>
            </w:r>
          </w:p>
          <w:p w14:paraId="275C54ED" w14:textId="16EFB2B4" w:rsidR="00974078" w:rsidRPr="000C0B6C" w:rsidRDefault="00974078" w:rsidP="005D2E65">
            <w:r w:rsidRPr="00164AA0">
              <w:t xml:space="preserve">We also suggest adding an indicator on wild </w:t>
            </w:r>
            <w:r w:rsidR="00763991" w:rsidRPr="00164AA0">
              <w:t>s</w:t>
            </w:r>
            <w:r w:rsidRPr="00164AA0">
              <w:t>pecies abundance</w:t>
            </w:r>
            <w:r w:rsidR="008F27E5" w:rsidRPr="00164AA0">
              <w:t xml:space="preserve"> such as the “Red list Index for crop wild relatives”</w:t>
            </w:r>
            <w:r w:rsidR="00164AA0">
              <w:t>.</w:t>
            </w:r>
            <w:r w:rsidR="008F27E5">
              <w:t xml:space="preserve"> </w:t>
            </w:r>
          </w:p>
        </w:tc>
      </w:tr>
      <w:tr w:rsidR="00FE2E96" w:rsidRPr="000C0B6C" w14:paraId="7C752C3F" w14:textId="77777777" w:rsidTr="4832EE42">
        <w:trPr>
          <w:trHeight w:val="224"/>
        </w:trPr>
        <w:tc>
          <w:tcPr>
            <w:tcW w:w="817" w:type="dxa"/>
          </w:tcPr>
          <w:p w14:paraId="586CF1C9" w14:textId="362F7136" w:rsidR="00FE2E96" w:rsidRDefault="00FE2E96" w:rsidP="005D2E65">
            <w:r>
              <w:t>1</w:t>
            </w:r>
          </w:p>
        </w:tc>
        <w:tc>
          <w:tcPr>
            <w:tcW w:w="815" w:type="dxa"/>
          </w:tcPr>
          <w:p w14:paraId="6684930B" w14:textId="5516F610" w:rsidR="00FE2E96" w:rsidRDefault="00FE2E96" w:rsidP="005D2E65">
            <w:r>
              <w:t>4</w:t>
            </w:r>
          </w:p>
        </w:tc>
        <w:tc>
          <w:tcPr>
            <w:tcW w:w="974" w:type="dxa"/>
          </w:tcPr>
          <w:p w14:paraId="070A03D6" w14:textId="6CEAAEA8" w:rsidR="00FE2E96" w:rsidRDefault="00FE2E96" w:rsidP="005D2E65">
            <w:r>
              <w:t>C</w:t>
            </w:r>
          </w:p>
        </w:tc>
        <w:tc>
          <w:tcPr>
            <w:tcW w:w="1215" w:type="dxa"/>
            <w:gridSpan w:val="2"/>
          </w:tcPr>
          <w:p w14:paraId="2641DF5E" w14:textId="03AD1E98" w:rsidR="00FE2E96" w:rsidRDefault="00C51D17" w:rsidP="005D2E65">
            <w:r>
              <w:t>37</w:t>
            </w:r>
          </w:p>
        </w:tc>
        <w:tc>
          <w:tcPr>
            <w:tcW w:w="5785" w:type="dxa"/>
          </w:tcPr>
          <w:p w14:paraId="4822DC95" w14:textId="61BCD9A0" w:rsidR="00FE2E96" w:rsidRDefault="0071190F" w:rsidP="005D2E65">
            <w:r>
              <w:t xml:space="preserve">Goal A5. </w:t>
            </w:r>
            <w:r w:rsidR="0055233D">
              <w:t>We s</w:t>
            </w:r>
            <w:r w:rsidR="0055233D" w:rsidRPr="0055233D">
              <w:t>uggest adding an element of nutrition</w:t>
            </w:r>
            <w:r w:rsidR="002D4D87">
              <w:t xml:space="preserve"> to the indicator </w:t>
            </w:r>
            <w:r w:rsidR="00260313">
              <w:t>proposed</w:t>
            </w:r>
            <w:r w:rsidR="0055233D">
              <w:t>, i.e.</w:t>
            </w:r>
            <w:r w:rsidR="0055233D" w:rsidRPr="0055233D">
              <w:t xml:space="preserve"> "nutritionally valuable species"</w:t>
            </w:r>
          </w:p>
        </w:tc>
      </w:tr>
      <w:tr w:rsidR="0002598F" w:rsidRPr="000C0B6C" w14:paraId="48D6B230" w14:textId="77777777" w:rsidTr="4832EE42">
        <w:trPr>
          <w:trHeight w:val="224"/>
        </w:trPr>
        <w:tc>
          <w:tcPr>
            <w:tcW w:w="817" w:type="dxa"/>
          </w:tcPr>
          <w:p w14:paraId="75053028" w14:textId="4D3D6C5E" w:rsidR="0002598F" w:rsidRPr="000C0B6C" w:rsidRDefault="0002598F" w:rsidP="0002598F">
            <w:r>
              <w:t>1</w:t>
            </w:r>
          </w:p>
        </w:tc>
        <w:tc>
          <w:tcPr>
            <w:tcW w:w="815" w:type="dxa"/>
          </w:tcPr>
          <w:p w14:paraId="63155422" w14:textId="4873338E" w:rsidR="0002598F" w:rsidRPr="000C0B6C" w:rsidRDefault="0002598F" w:rsidP="0002598F">
            <w:r>
              <w:t>4</w:t>
            </w:r>
          </w:p>
        </w:tc>
        <w:tc>
          <w:tcPr>
            <w:tcW w:w="974" w:type="dxa"/>
          </w:tcPr>
          <w:p w14:paraId="444981E1" w14:textId="068DAD86" w:rsidR="0002598F" w:rsidRPr="000C0B6C" w:rsidRDefault="0002598F" w:rsidP="0002598F">
            <w:r>
              <w:t>C</w:t>
            </w:r>
          </w:p>
        </w:tc>
        <w:tc>
          <w:tcPr>
            <w:tcW w:w="1215" w:type="dxa"/>
            <w:gridSpan w:val="2"/>
          </w:tcPr>
          <w:p w14:paraId="5308734C" w14:textId="0446A67B" w:rsidR="0002598F" w:rsidRPr="000C0B6C" w:rsidRDefault="0002598F" w:rsidP="0002598F">
            <w:r>
              <w:t>37-39</w:t>
            </w:r>
          </w:p>
        </w:tc>
        <w:tc>
          <w:tcPr>
            <w:tcW w:w="5785" w:type="dxa"/>
          </w:tcPr>
          <w:p w14:paraId="4107C746" w14:textId="5EB6D4C2" w:rsidR="008E5D35" w:rsidRDefault="0071190F" w:rsidP="00870861">
            <w:r>
              <w:t xml:space="preserve">Goal A5. </w:t>
            </w:r>
            <w:r w:rsidR="00640EAF">
              <w:t xml:space="preserve">We suggest adding the following indicator which is included in the </w:t>
            </w:r>
            <w:r w:rsidR="00640EAF" w:rsidRPr="00071848">
              <w:t>BIP</w:t>
            </w:r>
            <w:r w:rsidR="00640EAF">
              <w:t>/WCMC</w:t>
            </w:r>
            <w:r w:rsidR="00640EAF" w:rsidRPr="00071848">
              <w:t xml:space="preserve"> indicators</w:t>
            </w:r>
            <w:r w:rsidR="00640EAF">
              <w:t xml:space="preserve"> document</w:t>
            </w:r>
            <w:r w:rsidR="00640EAF" w:rsidRPr="00071848">
              <w:t>:</w:t>
            </w:r>
            <w:r w:rsidR="0002598F">
              <w:t xml:space="preserve"> </w:t>
            </w:r>
            <w:r w:rsidR="001E4473">
              <w:t>“</w:t>
            </w:r>
            <w:r w:rsidR="0002598F">
              <w:t>Agrobiodiversity Index (ADBI)</w:t>
            </w:r>
            <w:r w:rsidR="001E4473">
              <w:t>”</w:t>
            </w:r>
            <w:r w:rsidR="0002598F">
              <w:t xml:space="preserve">. ABDI has been developed by the Alliance of Bioversity </w:t>
            </w:r>
            <w:r w:rsidR="000E0E6D">
              <w:t xml:space="preserve">International </w:t>
            </w:r>
            <w:r w:rsidR="0002598F">
              <w:t>and CIAT and will be produced</w:t>
            </w:r>
            <w:r w:rsidR="00FD4A99">
              <w:t xml:space="preserve"> every 2-3 years</w:t>
            </w:r>
            <w:r w:rsidR="0002598F">
              <w:t xml:space="preserve"> as from </w:t>
            </w:r>
            <w:r w:rsidR="0002598F" w:rsidRPr="00FD4A99">
              <w:t xml:space="preserve">2021 for </w:t>
            </w:r>
            <w:r w:rsidR="00FD4A99" w:rsidRPr="00FD4A99">
              <w:t>over 50</w:t>
            </w:r>
            <w:r w:rsidR="0002598F" w:rsidRPr="00FD4A99">
              <w:t xml:space="preserve"> countries</w:t>
            </w:r>
            <w:r w:rsidR="008E5D35" w:rsidRPr="00FD4A99">
              <w:t>.</w:t>
            </w:r>
            <w:r w:rsidR="008E5D35">
              <w:t xml:space="preserve"> </w:t>
            </w:r>
          </w:p>
          <w:p w14:paraId="6274AF61" w14:textId="77777777" w:rsidR="008E5D35" w:rsidRPr="007B35B8" w:rsidRDefault="008E5D35" w:rsidP="008E5D35">
            <w:r w:rsidRPr="007B35B8">
              <w:t xml:space="preserve">The </w:t>
            </w:r>
            <w:hyperlink r:id="rId17" w:tooltip="https://cgspace.cgiar.org/handle/10568/106478" w:history="1">
              <w:r w:rsidRPr="007B35B8">
                <w:rPr>
                  <w:color w:val="0070C0"/>
                  <w:u w:val="single"/>
                </w:rPr>
                <w:t>Agrobiodiversity Index methodology v.1.0</w:t>
              </w:r>
            </w:hyperlink>
            <w:r w:rsidRPr="007B35B8">
              <w:t xml:space="preserve"> was released in March 2019. The document resulted from a thorough process of formulation, carried out in consultation with potential users and science partners to make sure the tool could address their needs. From May to September 2019, a consultation process was opened to gather further feedback on the document and identify areas for improvement. Based on this feedback, in 2020 the Agrobiodiversity Index team is releasing an updated version of the methodology (version 2.0) both as a report and as a peer-reviewed paper. The latter has already been </w:t>
            </w:r>
            <w:r w:rsidRPr="007B35B8">
              <w:lastRenderedPageBreak/>
              <w:t>submitted to a well-known scientifi</w:t>
            </w:r>
            <w:r>
              <w:t>c</w:t>
            </w:r>
            <w:r w:rsidRPr="007B35B8">
              <w:t xml:space="preserve"> journal and i</w:t>
            </w:r>
            <w:r>
              <w:t>s</w:t>
            </w:r>
            <w:r w:rsidRPr="007B35B8">
              <w:t xml:space="preserve"> currently under review, under the following title: </w:t>
            </w:r>
            <w:r w:rsidRPr="00232A7C">
              <w:rPr>
                <w:i/>
                <w:iCs/>
              </w:rPr>
              <w:t>Jones S., Estrada-Carmona N., Juventia S., Dulloo E., Laporte M-A., Villani C., Remans R. (forthcoming). Monitoring biodiversity in our food systems</w:t>
            </w:r>
            <w:r>
              <w:rPr>
                <w:i/>
                <w:iCs/>
              </w:rPr>
              <w:t>.</w:t>
            </w:r>
          </w:p>
          <w:p w14:paraId="063C0D4B" w14:textId="26345759" w:rsidR="0016542D" w:rsidRPr="000C0B6C" w:rsidRDefault="0002598F" w:rsidP="00870861">
            <w:r>
              <w:t xml:space="preserve"> </w:t>
            </w:r>
          </w:p>
        </w:tc>
      </w:tr>
      <w:tr w:rsidR="0002598F" w:rsidRPr="000C0B6C" w14:paraId="14D7A6EF" w14:textId="77777777" w:rsidTr="4832EE42">
        <w:trPr>
          <w:trHeight w:val="224"/>
        </w:trPr>
        <w:tc>
          <w:tcPr>
            <w:tcW w:w="817" w:type="dxa"/>
          </w:tcPr>
          <w:p w14:paraId="6F7EC143" w14:textId="70A2FB84" w:rsidR="0002598F" w:rsidRPr="000C0B6C" w:rsidRDefault="0002598F" w:rsidP="0002598F">
            <w:r>
              <w:lastRenderedPageBreak/>
              <w:t>1</w:t>
            </w:r>
          </w:p>
        </w:tc>
        <w:tc>
          <w:tcPr>
            <w:tcW w:w="815" w:type="dxa"/>
          </w:tcPr>
          <w:p w14:paraId="6CC921C5" w14:textId="3797DFC7" w:rsidR="0002598F" w:rsidRPr="000C0B6C" w:rsidRDefault="0002598F" w:rsidP="0002598F">
            <w:r>
              <w:t>4</w:t>
            </w:r>
          </w:p>
        </w:tc>
        <w:tc>
          <w:tcPr>
            <w:tcW w:w="974" w:type="dxa"/>
          </w:tcPr>
          <w:p w14:paraId="7B217B46" w14:textId="067EBD2E" w:rsidR="0002598F" w:rsidRPr="000C0B6C" w:rsidRDefault="00BD051E" w:rsidP="0002598F">
            <w:r>
              <w:t>C</w:t>
            </w:r>
          </w:p>
        </w:tc>
        <w:tc>
          <w:tcPr>
            <w:tcW w:w="1215" w:type="dxa"/>
            <w:gridSpan w:val="2"/>
          </w:tcPr>
          <w:p w14:paraId="4E831E3F" w14:textId="76A7F543" w:rsidR="0002598F" w:rsidRPr="000C0B6C" w:rsidRDefault="0002598F" w:rsidP="0002598F">
            <w:r>
              <w:t>40</w:t>
            </w:r>
          </w:p>
        </w:tc>
        <w:tc>
          <w:tcPr>
            <w:tcW w:w="5785" w:type="dxa"/>
          </w:tcPr>
          <w:p w14:paraId="172C2D6F" w14:textId="04A768C7" w:rsidR="0002598F" w:rsidRPr="000C0B6C" w:rsidRDefault="0014607D" w:rsidP="0002598F">
            <w:r>
              <w:t xml:space="preserve">Goal A5. </w:t>
            </w:r>
            <w:r w:rsidR="0002598F">
              <w:t xml:space="preserve">In addition to Red list index for domesticated animals, we can also provide a Red list index for crop wild relatives. Suggest </w:t>
            </w:r>
            <w:r w:rsidR="0056095F">
              <w:t>including</w:t>
            </w:r>
            <w:r w:rsidR="0002598F">
              <w:t xml:space="preserve"> a separate indicator </w:t>
            </w:r>
            <w:r w:rsidR="0056095F">
              <w:t>“</w:t>
            </w:r>
            <w:r w:rsidR="0002598F">
              <w:t>Red list Index for crop wild relatives</w:t>
            </w:r>
            <w:r w:rsidR="0056095F">
              <w:t>”</w:t>
            </w:r>
            <w:r w:rsidR="00164AA0">
              <w:t>.</w:t>
            </w:r>
            <w:r w:rsidR="0002598F">
              <w:t xml:space="preserve"> </w:t>
            </w:r>
          </w:p>
        </w:tc>
      </w:tr>
      <w:tr w:rsidR="00BC2A0F" w:rsidRPr="000C0B6C" w14:paraId="39653AE2" w14:textId="77777777" w:rsidTr="4832EE42">
        <w:trPr>
          <w:trHeight w:val="224"/>
        </w:trPr>
        <w:tc>
          <w:tcPr>
            <w:tcW w:w="817" w:type="dxa"/>
          </w:tcPr>
          <w:p w14:paraId="6C448B65" w14:textId="7B90D3AE" w:rsidR="00BC2A0F" w:rsidRDefault="00BC2A0F" w:rsidP="0002598F">
            <w:r>
              <w:t>1</w:t>
            </w:r>
          </w:p>
        </w:tc>
        <w:tc>
          <w:tcPr>
            <w:tcW w:w="815" w:type="dxa"/>
          </w:tcPr>
          <w:p w14:paraId="1CA49E73" w14:textId="7E15A368" w:rsidR="00BC2A0F" w:rsidRDefault="00BC2A0F" w:rsidP="0002598F">
            <w:r>
              <w:t>5</w:t>
            </w:r>
          </w:p>
        </w:tc>
        <w:tc>
          <w:tcPr>
            <w:tcW w:w="974" w:type="dxa"/>
          </w:tcPr>
          <w:p w14:paraId="725F65E2" w14:textId="3AC6F39C" w:rsidR="00BC2A0F" w:rsidRDefault="00FC2AF2" w:rsidP="0002598F">
            <w:r>
              <w:t>C</w:t>
            </w:r>
          </w:p>
        </w:tc>
        <w:tc>
          <w:tcPr>
            <w:tcW w:w="1215" w:type="dxa"/>
            <w:gridSpan w:val="2"/>
          </w:tcPr>
          <w:p w14:paraId="50D49393" w14:textId="4347B8E5" w:rsidR="00BC2A0F" w:rsidRDefault="00FC2AF2" w:rsidP="0002598F">
            <w:r>
              <w:t>After 59</w:t>
            </w:r>
          </w:p>
        </w:tc>
        <w:tc>
          <w:tcPr>
            <w:tcW w:w="5785" w:type="dxa"/>
          </w:tcPr>
          <w:p w14:paraId="062E4DA4" w14:textId="423EBF4A" w:rsidR="00BC2A0F" w:rsidRDefault="00FC2AF2" w:rsidP="0002598F">
            <w:r>
              <w:t xml:space="preserve">Goal B1. </w:t>
            </w:r>
            <w:r w:rsidR="00DF6E34">
              <w:t xml:space="preserve">We suggest adding </w:t>
            </w:r>
            <w:r w:rsidR="00DF6E34" w:rsidRPr="00DF6E34">
              <w:t xml:space="preserve">an indicator that reflects </w:t>
            </w:r>
            <w:r w:rsidR="001A0A01" w:rsidRPr="00DF6E34">
              <w:t xml:space="preserve">lower water consumption </w:t>
            </w:r>
            <w:r w:rsidR="001A0A01">
              <w:t xml:space="preserve">through </w:t>
            </w:r>
            <w:r w:rsidR="00DF6E34" w:rsidRPr="00DF6E34">
              <w:t>agriculture adaptation</w:t>
            </w:r>
            <w:r w:rsidR="00F37672">
              <w:t xml:space="preserve">, measured by </w:t>
            </w:r>
            <w:r w:rsidR="00DF6E34" w:rsidRPr="00DF6E34">
              <w:t>“</w:t>
            </w:r>
            <w:r w:rsidR="00F37672">
              <w:t xml:space="preserve">Proportion </w:t>
            </w:r>
            <w:r w:rsidR="00646912">
              <w:t xml:space="preserve">of </w:t>
            </w:r>
            <w:r w:rsidR="00646912" w:rsidRPr="00DF6E34">
              <w:t>drought resistan</w:t>
            </w:r>
            <w:r w:rsidR="00646912">
              <w:t>t</w:t>
            </w:r>
            <w:r w:rsidR="00646912" w:rsidRPr="00DF6E34">
              <w:t xml:space="preserve"> or low water demand crops or varieties </w:t>
            </w:r>
            <w:r w:rsidR="00646912">
              <w:t>a</w:t>
            </w:r>
            <w:r w:rsidR="00DF6E34" w:rsidRPr="00DF6E34">
              <w:t>doption</w:t>
            </w:r>
            <w:r w:rsidR="00646912">
              <w:t xml:space="preserve"> </w:t>
            </w:r>
            <w:r w:rsidR="00DF6E34" w:rsidRPr="00DF6E34">
              <w:t>throughout the growing period” AND “</w:t>
            </w:r>
            <w:r w:rsidR="006D0627">
              <w:t xml:space="preserve">Proportion of </w:t>
            </w:r>
            <w:r w:rsidR="006D0627" w:rsidRPr="00DF6E34">
              <w:t xml:space="preserve">low input farming practices and downstream mitigation practices </w:t>
            </w:r>
            <w:r w:rsidR="006D0627">
              <w:t>a</w:t>
            </w:r>
            <w:r w:rsidR="00DF6E34" w:rsidRPr="00DF6E34">
              <w:t>dopt</w:t>
            </w:r>
            <w:r w:rsidR="006D0627">
              <w:t>ed</w:t>
            </w:r>
            <w:r w:rsidR="00DF6E34" w:rsidRPr="00DF6E34">
              <w:t xml:space="preserve"> to prevent and reduce runoff and non-source pollution”</w:t>
            </w:r>
            <w:r w:rsidR="006F5E63">
              <w:t xml:space="preserve">. </w:t>
            </w:r>
            <w:r w:rsidR="00DF6E34" w:rsidRPr="00DF6E34">
              <w:t>FAO crop data could be used but better ways of capturing crop and varieties names and adoption/changes in practices would be needed</w:t>
            </w:r>
            <w:r w:rsidR="006D0627">
              <w:t>.</w:t>
            </w:r>
          </w:p>
        </w:tc>
      </w:tr>
      <w:tr w:rsidR="005548DC" w:rsidRPr="000C0B6C" w14:paraId="392FCFEE" w14:textId="77777777" w:rsidTr="4832EE42">
        <w:trPr>
          <w:trHeight w:val="224"/>
        </w:trPr>
        <w:tc>
          <w:tcPr>
            <w:tcW w:w="817" w:type="dxa"/>
          </w:tcPr>
          <w:p w14:paraId="196BC146" w14:textId="10DA9452" w:rsidR="005548DC" w:rsidRDefault="005548DC" w:rsidP="005548DC">
            <w:r w:rsidRPr="005548DC">
              <w:t>1</w:t>
            </w:r>
          </w:p>
        </w:tc>
        <w:tc>
          <w:tcPr>
            <w:tcW w:w="815" w:type="dxa"/>
          </w:tcPr>
          <w:p w14:paraId="55E25972" w14:textId="2C78C935" w:rsidR="005548DC" w:rsidRDefault="005548DC" w:rsidP="005548DC">
            <w:r w:rsidRPr="005548DC">
              <w:t>5</w:t>
            </w:r>
          </w:p>
        </w:tc>
        <w:tc>
          <w:tcPr>
            <w:tcW w:w="974" w:type="dxa"/>
          </w:tcPr>
          <w:p w14:paraId="678E3B09" w14:textId="30CBD1AB" w:rsidR="005548DC" w:rsidRDefault="005548DC" w:rsidP="005548DC">
            <w:r>
              <w:t>B</w:t>
            </w:r>
          </w:p>
        </w:tc>
        <w:tc>
          <w:tcPr>
            <w:tcW w:w="1215" w:type="dxa"/>
            <w:gridSpan w:val="2"/>
          </w:tcPr>
          <w:p w14:paraId="567BB331" w14:textId="163757AD" w:rsidR="005548DC" w:rsidRDefault="005548DC" w:rsidP="005548DC">
            <w:r>
              <w:t>64-67</w:t>
            </w:r>
          </w:p>
        </w:tc>
        <w:tc>
          <w:tcPr>
            <w:tcW w:w="5785" w:type="dxa"/>
          </w:tcPr>
          <w:p w14:paraId="6296405B" w14:textId="4688FAB5" w:rsidR="005548DC" w:rsidRDefault="005548DC" w:rsidP="005548DC">
            <w:r w:rsidRPr="005548DC">
              <w:t>This needs to address access and control over these resources, disaggregated by sex. Also, need to measure food and nutrition diversity and security.</w:t>
            </w:r>
          </w:p>
        </w:tc>
      </w:tr>
      <w:tr w:rsidR="005548DC" w:rsidRPr="000C0B6C" w14:paraId="10745840" w14:textId="77777777" w:rsidTr="4832EE42">
        <w:trPr>
          <w:trHeight w:val="224"/>
        </w:trPr>
        <w:tc>
          <w:tcPr>
            <w:tcW w:w="817" w:type="dxa"/>
          </w:tcPr>
          <w:p w14:paraId="2AFA2D3B" w14:textId="77777777" w:rsidR="005548DC" w:rsidRDefault="005548DC" w:rsidP="005548DC">
            <w:r>
              <w:t>1</w:t>
            </w:r>
          </w:p>
        </w:tc>
        <w:tc>
          <w:tcPr>
            <w:tcW w:w="815" w:type="dxa"/>
          </w:tcPr>
          <w:p w14:paraId="5AA5EC4D" w14:textId="77777777" w:rsidR="005548DC" w:rsidRDefault="005548DC" w:rsidP="005548DC">
            <w:r>
              <w:t>6</w:t>
            </w:r>
          </w:p>
        </w:tc>
        <w:tc>
          <w:tcPr>
            <w:tcW w:w="974" w:type="dxa"/>
          </w:tcPr>
          <w:p w14:paraId="2A6724D5" w14:textId="77777777" w:rsidR="005548DC" w:rsidRDefault="005548DC" w:rsidP="005548DC">
            <w:r>
              <w:t>B</w:t>
            </w:r>
          </w:p>
        </w:tc>
        <w:tc>
          <w:tcPr>
            <w:tcW w:w="1215" w:type="dxa"/>
            <w:gridSpan w:val="2"/>
          </w:tcPr>
          <w:p w14:paraId="51FCD792" w14:textId="77777777" w:rsidR="005548DC" w:rsidRDefault="005548DC" w:rsidP="005548DC">
            <w:r>
              <w:t>65</w:t>
            </w:r>
          </w:p>
        </w:tc>
        <w:tc>
          <w:tcPr>
            <w:tcW w:w="5785" w:type="dxa"/>
          </w:tcPr>
          <w:p w14:paraId="6BE6CDDC" w14:textId="45E12915" w:rsidR="005548DC" w:rsidRDefault="005548DC" w:rsidP="005548DC">
            <w:pPr>
              <w:tabs>
                <w:tab w:val="left" w:pos="1152"/>
              </w:tabs>
            </w:pPr>
            <w:r>
              <w:t xml:space="preserve">Goal B2. </w:t>
            </w:r>
            <w:r w:rsidRPr="00DB765C">
              <w:t xml:space="preserve">There is no mention of nutrition. </w:t>
            </w:r>
            <w:r>
              <w:t>We s</w:t>
            </w:r>
            <w:r w:rsidRPr="00DB765C">
              <w:t xml:space="preserve">uggest rewording </w:t>
            </w:r>
            <w:r>
              <w:t>and adding the qualifier “nutritious”:</w:t>
            </w:r>
            <w:r w:rsidRPr="00DB765C">
              <w:t xml:space="preserve"> "Trends in the provision of nutritious food and feed from biodiversity"</w:t>
            </w:r>
            <w:r>
              <w:t>.</w:t>
            </w:r>
          </w:p>
        </w:tc>
      </w:tr>
      <w:tr w:rsidR="005548DC" w:rsidRPr="000C0B6C" w14:paraId="175F5787" w14:textId="77777777" w:rsidTr="4832EE42">
        <w:trPr>
          <w:trHeight w:val="224"/>
        </w:trPr>
        <w:tc>
          <w:tcPr>
            <w:tcW w:w="817" w:type="dxa"/>
          </w:tcPr>
          <w:p w14:paraId="7BCD04C3" w14:textId="6851DD8A" w:rsidR="005548DC" w:rsidRDefault="005548DC" w:rsidP="005548DC">
            <w:r>
              <w:t>1</w:t>
            </w:r>
          </w:p>
        </w:tc>
        <w:tc>
          <w:tcPr>
            <w:tcW w:w="815" w:type="dxa"/>
          </w:tcPr>
          <w:p w14:paraId="033C9C43" w14:textId="22906D2D" w:rsidR="005548DC" w:rsidRDefault="005548DC" w:rsidP="005548DC">
            <w:r>
              <w:t>6</w:t>
            </w:r>
          </w:p>
        </w:tc>
        <w:tc>
          <w:tcPr>
            <w:tcW w:w="974" w:type="dxa"/>
          </w:tcPr>
          <w:p w14:paraId="47436DB6" w14:textId="009D710B" w:rsidR="005548DC" w:rsidRDefault="005548DC" w:rsidP="005548DC">
            <w:r>
              <w:t>C</w:t>
            </w:r>
          </w:p>
        </w:tc>
        <w:tc>
          <w:tcPr>
            <w:tcW w:w="1215" w:type="dxa"/>
            <w:gridSpan w:val="2"/>
          </w:tcPr>
          <w:p w14:paraId="00D4C1E1" w14:textId="3C578B2B" w:rsidR="005548DC" w:rsidRDefault="005548DC" w:rsidP="005548DC">
            <w:r>
              <w:t>65</w:t>
            </w:r>
          </w:p>
        </w:tc>
        <w:tc>
          <w:tcPr>
            <w:tcW w:w="5785" w:type="dxa"/>
          </w:tcPr>
          <w:p w14:paraId="06C263C9" w14:textId="6E45C4D1" w:rsidR="005548DC" w:rsidRDefault="005548DC" w:rsidP="005548DC">
            <w:r>
              <w:t>Goal B2. We suggest a</w:t>
            </w:r>
            <w:r w:rsidRPr="008E5F91">
              <w:t>ddi</w:t>
            </w:r>
            <w:r>
              <w:t>ng</w:t>
            </w:r>
            <w:r w:rsidRPr="008E5F91">
              <w:t xml:space="preserve"> </w:t>
            </w:r>
            <w:r>
              <w:t>the following indicators:</w:t>
            </w:r>
            <w:r w:rsidRPr="008E5F91">
              <w:t xml:space="preserve"> </w:t>
            </w:r>
          </w:p>
          <w:p w14:paraId="01073C0A" w14:textId="77777777" w:rsidR="005548DC" w:rsidRDefault="005548DC" w:rsidP="005548DC">
            <w:r w:rsidRPr="008E5F91">
              <w:t xml:space="preserve">i) indicator for the nutritional functional diversity of food in supply; </w:t>
            </w:r>
          </w:p>
          <w:p w14:paraId="1AF56268" w14:textId="77777777" w:rsidR="005548DC" w:rsidRDefault="005548DC" w:rsidP="005548DC">
            <w:r w:rsidRPr="008E5F91">
              <w:t>ii) indicator for the proportion of energy from non-staples, roots or tubers</w:t>
            </w:r>
            <w:r>
              <w:t xml:space="preserve">; </w:t>
            </w:r>
          </w:p>
          <w:p w14:paraId="1A342145" w14:textId="6D980108" w:rsidR="005548DC" w:rsidRDefault="005548DC" w:rsidP="005548DC">
            <w:r>
              <w:t xml:space="preserve">iii) </w:t>
            </w:r>
            <w:r w:rsidRPr="00AB202D">
              <w:t>N</w:t>
            </w:r>
            <w:r>
              <w:t>umber</w:t>
            </w:r>
            <w:r w:rsidRPr="00AB202D">
              <w:t xml:space="preserve"> of species, varieties and breeds in regional and national databases with food composition tables which include reliable nutritional value information on food biodiversity and associated traditional knowledge</w:t>
            </w:r>
            <w:r>
              <w:t xml:space="preserve">; iv) </w:t>
            </w:r>
            <w:r w:rsidRPr="007476E6">
              <w:t>N</w:t>
            </w:r>
            <w:r>
              <w:t>umber</w:t>
            </w:r>
            <w:r w:rsidRPr="007476E6">
              <w:t xml:space="preserve"> of people trained to deploy and benefit from nutritionally rich biodiversity</w:t>
            </w:r>
            <w:r>
              <w:t xml:space="preserve"> (repeated under target 15.1 and 15.2);</w:t>
            </w:r>
          </w:p>
          <w:p w14:paraId="29936E0E" w14:textId="09A3DCDF" w:rsidR="005548DC" w:rsidRDefault="005548DC" w:rsidP="005548DC">
            <w:r>
              <w:t xml:space="preserve">v) </w:t>
            </w:r>
            <w:r w:rsidRPr="00FB4FA8">
              <w:t>N</w:t>
            </w:r>
            <w:r>
              <w:t>umber</w:t>
            </w:r>
            <w:r w:rsidRPr="00FB4FA8">
              <w:t xml:space="preserve"> of new markets developed for food biodiverse products with high nutritional value, including more nutritious convenience foods based on biodiverse products</w:t>
            </w:r>
            <w:r>
              <w:t xml:space="preserve"> (repeated under target 15.1 and 15.3);</w:t>
            </w:r>
          </w:p>
          <w:p w14:paraId="7683484A" w14:textId="34719269" w:rsidR="005548DC" w:rsidRDefault="005548DC" w:rsidP="005548DC">
            <w:r>
              <w:t>vi) Number of countries with policies in place which provide subsidies/incentives for the sustainable production of healthy biodiverse foods (repeated under target 17);</w:t>
            </w:r>
          </w:p>
          <w:p w14:paraId="25793C51" w14:textId="34388259" w:rsidR="005548DC" w:rsidRDefault="005548DC" w:rsidP="005548DC">
            <w:r>
              <w:lastRenderedPageBreak/>
              <w:t xml:space="preserve">vii) Proportion of countries that have increased production and availability of food biodiversity with sustainable agricultural management practices (repeated under target 9.1); </w:t>
            </w:r>
          </w:p>
          <w:p w14:paraId="370BA59A" w14:textId="63345441" w:rsidR="005548DC" w:rsidRDefault="005548DC" w:rsidP="005548DC">
            <w:r>
              <w:t>viii) Number of countries that have in place national food-based dietary guidelines which highlight the importance of food biodiversity not only for healthy diets and nutrition outcomes but also the many other multiple benefits including environmental sustainability and social equity (repeated under target 15.1);</w:t>
            </w:r>
          </w:p>
          <w:p w14:paraId="347BE34F" w14:textId="2BDE9C92" w:rsidR="005548DC" w:rsidRDefault="005548DC" w:rsidP="005548DC">
            <w:r>
              <w:t xml:space="preserve">ix) Number of countries implementing the </w:t>
            </w:r>
            <w:r w:rsidRPr="00D12B66">
              <w:rPr>
                <w:i/>
                <w:iCs/>
              </w:rPr>
              <w:t>Voluntary Guidelines on Mainstreaming Biodiversity into Policies, Programmes and National and Regional Plans of Action on Nutrition</w:t>
            </w:r>
            <w:r>
              <w:t xml:space="preserve"> and </w:t>
            </w:r>
            <w:r w:rsidRPr="00D12B66">
              <w:rPr>
                <w:i/>
                <w:iCs/>
              </w:rPr>
              <w:t>Voluntary Guidelines on Food Systems and Nutrition</w:t>
            </w:r>
            <w:r>
              <w:t xml:space="preserve"> (to be endorsed by CFS in 2020), as well as other relevant instruments, tools and voluntary guidelines for transforming food systems (repeated under target 13.2);</w:t>
            </w:r>
          </w:p>
          <w:p w14:paraId="7D1E8849" w14:textId="1D1EE729" w:rsidR="005548DC" w:rsidRDefault="005548DC" w:rsidP="005548DC">
            <w:r>
              <w:t>x) Number of countries that have mainstreamed biodiversity for food and nutrition into relevant national development strategies and plans including National Biodiversity Strategy and Action Plans (NBSAPs), Multi-sectoral Nutrition Plans, National Agricultural Plans, National Climate Change Adaptation Programmes of Action (NAPAs) and National Climate Change Adaptation Plans (NAPs) and other relevant national development strategies and plans (repeated under target 13.2).</w:t>
            </w:r>
          </w:p>
        </w:tc>
      </w:tr>
      <w:tr w:rsidR="005548DC" w:rsidRPr="000C0B6C" w14:paraId="16702BED" w14:textId="77777777" w:rsidTr="4832EE42">
        <w:trPr>
          <w:trHeight w:val="224"/>
        </w:trPr>
        <w:tc>
          <w:tcPr>
            <w:tcW w:w="817" w:type="dxa"/>
          </w:tcPr>
          <w:p w14:paraId="2211740E" w14:textId="36BCB053" w:rsidR="005548DC" w:rsidRDefault="005548DC" w:rsidP="005548DC">
            <w:r>
              <w:lastRenderedPageBreak/>
              <w:t>1</w:t>
            </w:r>
          </w:p>
        </w:tc>
        <w:tc>
          <w:tcPr>
            <w:tcW w:w="815" w:type="dxa"/>
          </w:tcPr>
          <w:p w14:paraId="129E0D1D" w14:textId="7FC527EE" w:rsidR="005548DC" w:rsidRDefault="005548DC" w:rsidP="005548DC">
            <w:r>
              <w:t>6</w:t>
            </w:r>
          </w:p>
        </w:tc>
        <w:tc>
          <w:tcPr>
            <w:tcW w:w="974" w:type="dxa"/>
          </w:tcPr>
          <w:p w14:paraId="5469C4B6" w14:textId="03A59CEC" w:rsidR="005548DC" w:rsidRDefault="005548DC" w:rsidP="005548DC">
            <w:r>
              <w:t>B-C</w:t>
            </w:r>
          </w:p>
        </w:tc>
        <w:tc>
          <w:tcPr>
            <w:tcW w:w="1215" w:type="dxa"/>
            <w:gridSpan w:val="2"/>
          </w:tcPr>
          <w:p w14:paraId="78AC5647" w14:textId="43BD9333" w:rsidR="005548DC" w:rsidRDefault="005548DC" w:rsidP="005548DC">
            <w:r>
              <w:t>66</w:t>
            </w:r>
          </w:p>
        </w:tc>
        <w:tc>
          <w:tcPr>
            <w:tcW w:w="5785" w:type="dxa"/>
          </w:tcPr>
          <w:p w14:paraId="0676CBAC" w14:textId="08CE23C4" w:rsidR="005548DC" w:rsidRDefault="005548DC" w:rsidP="005548DC">
            <w:r>
              <w:t xml:space="preserve">Goal B2. We understand this Monitoring Element as also referring to </w:t>
            </w:r>
            <w:r w:rsidRPr="00B5397D">
              <w:t>material</w:t>
            </w:r>
            <w:r>
              <w:t>s</w:t>
            </w:r>
            <w:r w:rsidRPr="00B5397D">
              <w:t xml:space="preserve"> contributions in terms of livelihoods. </w:t>
            </w:r>
            <w:r>
              <w:t>We would like to put more emphasis on the use of those materials by people. An indicator to measure this</w:t>
            </w:r>
            <w:r w:rsidRPr="00B5397D">
              <w:t xml:space="preserve"> would be: </w:t>
            </w:r>
            <w:r>
              <w:t>“I</w:t>
            </w:r>
            <w:r w:rsidRPr="00B5397D">
              <w:t>ncome levels changing due to sales of nutritionally rich biodiverse products</w:t>
            </w:r>
            <w:r>
              <w:t>”</w:t>
            </w:r>
          </w:p>
        </w:tc>
      </w:tr>
      <w:tr w:rsidR="005548DC" w:rsidRPr="000C0B6C" w14:paraId="4555972C" w14:textId="77777777" w:rsidTr="4832EE42">
        <w:trPr>
          <w:trHeight w:val="224"/>
        </w:trPr>
        <w:tc>
          <w:tcPr>
            <w:tcW w:w="817" w:type="dxa"/>
          </w:tcPr>
          <w:p w14:paraId="7F424C8D" w14:textId="760168FF" w:rsidR="005548DC" w:rsidRDefault="005548DC" w:rsidP="005548DC">
            <w:r>
              <w:rPr>
                <w:sz w:val="22"/>
                <w:szCs w:val="22"/>
              </w:rPr>
              <w:t>1</w:t>
            </w:r>
          </w:p>
        </w:tc>
        <w:tc>
          <w:tcPr>
            <w:tcW w:w="815" w:type="dxa"/>
          </w:tcPr>
          <w:p w14:paraId="2D7FC332" w14:textId="33736CB2" w:rsidR="005548DC" w:rsidRDefault="005548DC" w:rsidP="005548DC">
            <w:r>
              <w:rPr>
                <w:sz w:val="22"/>
                <w:szCs w:val="22"/>
              </w:rPr>
              <w:t>6</w:t>
            </w:r>
          </w:p>
        </w:tc>
        <w:tc>
          <w:tcPr>
            <w:tcW w:w="974" w:type="dxa"/>
          </w:tcPr>
          <w:p w14:paraId="19702650" w14:textId="60F32129" w:rsidR="005548DC" w:rsidRDefault="005548DC" w:rsidP="005548DC">
            <w:r>
              <w:t>B</w:t>
            </w:r>
          </w:p>
        </w:tc>
        <w:tc>
          <w:tcPr>
            <w:tcW w:w="1215" w:type="dxa"/>
            <w:gridSpan w:val="2"/>
          </w:tcPr>
          <w:p w14:paraId="7E7A9A09" w14:textId="6A4C1C53" w:rsidR="005548DC" w:rsidRDefault="005548DC" w:rsidP="005548DC">
            <w:r>
              <w:t>68-71</w:t>
            </w:r>
          </w:p>
        </w:tc>
        <w:tc>
          <w:tcPr>
            <w:tcW w:w="5785" w:type="dxa"/>
          </w:tcPr>
          <w:p w14:paraId="40743658" w14:textId="04E794B7" w:rsidR="005548DC" w:rsidRDefault="005548DC" w:rsidP="005548DC">
            <w:r>
              <w:t>Indicators for B3 should capture the experiences of women and men from different cultural groups, including marginalized groups.</w:t>
            </w:r>
          </w:p>
        </w:tc>
      </w:tr>
      <w:tr w:rsidR="005548DC" w:rsidRPr="000C0B6C" w14:paraId="4CA2AFBA" w14:textId="77777777" w:rsidTr="4832EE42">
        <w:trPr>
          <w:trHeight w:val="224"/>
        </w:trPr>
        <w:tc>
          <w:tcPr>
            <w:tcW w:w="817" w:type="dxa"/>
          </w:tcPr>
          <w:p w14:paraId="1E1AEDCF" w14:textId="673EBEBD" w:rsidR="005548DC" w:rsidRDefault="005548DC" w:rsidP="005548DC">
            <w:r>
              <w:t>1</w:t>
            </w:r>
          </w:p>
        </w:tc>
        <w:tc>
          <w:tcPr>
            <w:tcW w:w="815" w:type="dxa"/>
          </w:tcPr>
          <w:p w14:paraId="0A21ED41" w14:textId="6D283CC3" w:rsidR="005548DC" w:rsidRDefault="005548DC" w:rsidP="005548DC">
            <w:r>
              <w:t>6</w:t>
            </w:r>
          </w:p>
        </w:tc>
        <w:tc>
          <w:tcPr>
            <w:tcW w:w="974" w:type="dxa"/>
          </w:tcPr>
          <w:p w14:paraId="52977BED" w14:textId="3EDAE432" w:rsidR="005548DC" w:rsidRDefault="005548DC" w:rsidP="005548DC">
            <w:r>
              <w:t>B-C</w:t>
            </w:r>
          </w:p>
        </w:tc>
        <w:tc>
          <w:tcPr>
            <w:tcW w:w="1215" w:type="dxa"/>
            <w:gridSpan w:val="2"/>
          </w:tcPr>
          <w:p w14:paraId="187A1E79" w14:textId="1A79792D" w:rsidR="005548DC" w:rsidRDefault="005548DC" w:rsidP="005548DC">
            <w:r>
              <w:t>72-74</w:t>
            </w:r>
          </w:p>
        </w:tc>
        <w:tc>
          <w:tcPr>
            <w:tcW w:w="5785" w:type="dxa"/>
          </w:tcPr>
          <w:p w14:paraId="1FEFC699" w14:textId="3C62FCAD" w:rsidR="005548DC" w:rsidRPr="00ED3160" w:rsidRDefault="005548DC" w:rsidP="005548DC">
            <w:r>
              <w:t xml:space="preserve">Goal C1. </w:t>
            </w:r>
            <w:r w:rsidRPr="00ED3160">
              <w:t>The monitoring elements listed here, trends in access and trends in the benefits</w:t>
            </w:r>
            <w:r>
              <w:t>,</w:t>
            </w:r>
            <w:r w:rsidRPr="00ED3160">
              <w:t xml:space="preserve"> repeat what is already monitored under the Target</w:t>
            </w:r>
            <w:r>
              <w:t xml:space="preserve"> 12</w:t>
            </w:r>
            <w:r w:rsidRPr="00ED3160">
              <w:t>. If this repetition between the Goals and Targets is to remain, it makes sense to repeat the indicators for trends in access and trends in benefit sharing form Target</w:t>
            </w:r>
            <w:r>
              <w:t xml:space="preserve"> 12</w:t>
            </w:r>
            <w:r w:rsidRPr="00ED3160">
              <w:t xml:space="preserve"> as well. The indicator listed here for C1 concerns actual use (as monitored by checkpoints), and not access per se. They are better suited as indicators for 'Trends in utilization of genetic resources' under C2.</w:t>
            </w:r>
          </w:p>
        </w:tc>
      </w:tr>
      <w:tr w:rsidR="00B253FA" w:rsidRPr="000C0B6C" w14:paraId="37A17910" w14:textId="77777777" w:rsidTr="4832EE42">
        <w:trPr>
          <w:trHeight w:val="224"/>
        </w:trPr>
        <w:tc>
          <w:tcPr>
            <w:tcW w:w="817" w:type="dxa"/>
          </w:tcPr>
          <w:p w14:paraId="5CF05FB5" w14:textId="6DB0ACA0" w:rsidR="00B253FA" w:rsidRDefault="00B253FA" w:rsidP="00B253FA">
            <w:r>
              <w:lastRenderedPageBreak/>
              <w:t>1</w:t>
            </w:r>
          </w:p>
        </w:tc>
        <w:tc>
          <w:tcPr>
            <w:tcW w:w="815" w:type="dxa"/>
          </w:tcPr>
          <w:p w14:paraId="0C94922D" w14:textId="2DDB5FA0" w:rsidR="00B253FA" w:rsidRDefault="00B253FA" w:rsidP="00B253FA">
            <w:r>
              <w:t>6</w:t>
            </w:r>
          </w:p>
        </w:tc>
        <w:tc>
          <w:tcPr>
            <w:tcW w:w="974" w:type="dxa"/>
          </w:tcPr>
          <w:p w14:paraId="3AB87FA5" w14:textId="53F04D5F" w:rsidR="00B253FA" w:rsidRDefault="00B253FA" w:rsidP="00B253FA">
            <w:r>
              <w:t>C</w:t>
            </w:r>
          </w:p>
        </w:tc>
        <w:tc>
          <w:tcPr>
            <w:tcW w:w="1215" w:type="dxa"/>
            <w:gridSpan w:val="2"/>
          </w:tcPr>
          <w:p w14:paraId="5305B8BA" w14:textId="44D523F5" w:rsidR="00B253FA" w:rsidRDefault="00B253FA" w:rsidP="00B253FA">
            <w:r>
              <w:t>72-76</w:t>
            </w:r>
          </w:p>
        </w:tc>
        <w:tc>
          <w:tcPr>
            <w:tcW w:w="5785" w:type="dxa"/>
          </w:tcPr>
          <w:p w14:paraId="1D8CA4F8" w14:textId="3FD13DCE" w:rsidR="00B253FA" w:rsidRDefault="00B253FA" w:rsidP="00B253FA">
            <w:r>
              <w:t>Secure access to genetic resources (and legitimacy of claims to benefits) is connected to tenure security and access to decision-making over resource management. Consider linking with SDG 1.4.2. (sex-disaggregated) and e.g. proportion of women and men in resource user groups. FAO LAT could also be a useful resource.</w:t>
            </w:r>
          </w:p>
        </w:tc>
      </w:tr>
      <w:tr w:rsidR="00B253FA" w:rsidRPr="000C0B6C" w14:paraId="0CB73C0A" w14:textId="77777777" w:rsidTr="4832EE42">
        <w:trPr>
          <w:trHeight w:val="224"/>
        </w:trPr>
        <w:tc>
          <w:tcPr>
            <w:tcW w:w="817" w:type="dxa"/>
          </w:tcPr>
          <w:p w14:paraId="16ADBE9A" w14:textId="07FBCD65" w:rsidR="00B253FA" w:rsidRDefault="00B253FA" w:rsidP="00B253FA">
            <w:r>
              <w:t>1</w:t>
            </w:r>
          </w:p>
        </w:tc>
        <w:tc>
          <w:tcPr>
            <w:tcW w:w="815" w:type="dxa"/>
          </w:tcPr>
          <w:p w14:paraId="2275E2C7" w14:textId="6203541C" w:rsidR="00B253FA" w:rsidRDefault="00B253FA" w:rsidP="00B253FA">
            <w:r>
              <w:t>6</w:t>
            </w:r>
          </w:p>
        </w:tc>
        <w:tc>
          <w:tcPr>
            <w:tcW w:w="974" w:type="dxa"/>
          </w:tcPr>
          <w:p w14:paraId="1F89B50D" w14:textId="34BEADC2" w:rsidR="00B253FA" w:rsidRDefault="00B253FA" w:rsidP="00B253FA">
            <w:r>
              <w:t>C</w:t>
            </w:r>
          </w:p>
        </w:tc>
        <w:tc>
          <w:tcPr>
            <w:tcW w:w="1215" w:type="dxa"/>
            <w:gridSpan w:val="2"/>
          </w:tcPr>
          <w:p w14:paraId="00F37584" w14:textId="121CC16C" w:rsidR="00B253FA" w:rsidRDefault="00B253FA" w:rsidP="00B253FA">
            <w:r>
              <w:t>72-76</w:t>
            </w:r>
          </w:p>
        </w:tc>
        <w:tc>
          <w:tcPr>
            <w:tcW w:w="5785" w:type="dxa"/>
          </w:tcPr>
          <w:p w14:paraId="16EFE880" w14:textId="74350CD2" w:rsidR="00B253FA" w:rsidRDefault="00B253FA" w:rsidP="00B253FA">
            <w:r>
              <w:t>Indicators proposed for monitoring elements related to genetic resources and benefit sharing (C1 and C2) should require indicator data to be disaggregated by sex</w:t>
            </w:r>
          </w:p>
        </w:tc>
      </w:tr>
      <w:tr w:rsidR="007071DD" w:rsidRPr="000C0B6C" w14:paraId="3054505C" w14:textId="77777777" w:rsidTr="4832EE42">
        <w:trPr>
          <w:trHeight w:val="224"/>
        </w:trPr>
        <w:tc>
          <w:tcPr>
            <w:tcW w:w="817" w:type="dxa"/>
          </w:tcPr>
          <w:p w14:paraId="749D61BC" w14:textId="47922DA9" w:rsidR="007071DD" w:rsidRDefault="007071DD" w:rsidP="007071DD">
            <w:r>
              <w:t>1</w:t>
            </w:r>
          </w:p>
        </w:tc>
        <w:tc>
          <w:tcPr>
            <w:tcW w:w="815" w:type="dxa"/>
          </w:tcPr>
          <w:p w14:paraId="54BB63CE" w14:textId="4DEE8928" w:rsidR="007071DD" w:rsidRDefault="007071DD" w:rsidP="007071DD">
            <w:r>
              <w:t>6</w:t>
            </w:r>
          </w:p>
        </w:tc>
        <w:tc>
          <w:tcPr>
            <w:tcW w:w="974" w:type="dxa"/>
          </w:tcPr>
          <w:p w14:paraId="33F0AF14" w14:textId="5310986D" w:rsidR="007071DD" w:rsidRDefault="007071DD" w:rsidP="007071DD">
            <w:r>
              <w:t>C</w:t>
            </w:r>
          </w:p>
        </w:tc>
        <w:tc>
          <w:tcPr>
            <w:tcW w:w="1215" w:type="dxa"/>
            <w:gridSpan w:val="2"/>
          </w:tcPr>
          <w:p w14:paraId="3379528E" w14:textId="3EB45FB8" w:rsidR="007071DD" w:rsidRDefault="007071DD" w:rsidP="007071DD">
            <w:r>
              <w:t>74-76</w:t>
            </w:r>
          </w:p>
        </w:tc>
        <w:tc>
          <w:tcPr>
            <w:tcW w:w="5785" w:type="dxa"/>
          </w:tcPr>
          <w:p w14:paraId="5060E594" w14:textId="28C8F2AF" w:rsidR="007071DD" w:rsidRDefault="007071DD" w:rsidP="007071DD">
            <w:r>
              <w:t>Trends in the use of benefits from benefit-sharing schemes oriented towards women’s and/or gender equality projects</w:t>
            </w:r>
          </w:p>
        </w:tc>
      </w:tr>
      <w:tr w:rsidR="007071DD" w:rsidRPr="000C0B6C" w14:paraId="16865F7D" w14:textId="77777777" w:rsidTr="4832EE42">
        <w:trPr>
          <w:trHeight w:val="224"/>
        </w:trPr>
        <w:tc>
          <w:tcPr>
            <w:tcW w:w="817" w:type="dxa"/>
          </w:tcPr>
          <w:p w14:paraId="1F59A685" w14:textId="674A0D3A" w:rsidR="007071DD" w:rsidRDefault="007071DD" w:rsidP="007071DD">
            <w:r>
              <w:t>1</w:t>
            </w:r>
          </w:p>
        </w:tc>
        <w:tc>
          <w:tcPr>
            <w:tcW w:w="815" w:type="dxa"/>
          </w:tcPr>
          <w:p w14:paraId="4D55F3B0" w14:textId="1EEA634E" w:rsidR="007071DD" w:rsidRDefault="007071DD" w:rsidP="007071DD">
            <w:r>
              <w:t>7</w:t>
            </w:r>
          </w:p>
        </w:tc>
        <w:tc>
          <w:tcPr>
            <w:tcW w:w="974" w:type="dxa"/>
          </w:tcPr>
          <w:p w14:paraId="757289B1" w14:textId="20F07D22" w:rsidR="007071DD" w:rsidRDefault="007071DD" w:rsidP="007071DD">
            <w:r>
              <w:t>D</w:t>
            </w:r>
          </w:p>
        </w:tc>
        <w:tc>
          <w:tcPr>
            <w:tcW w:w="1215" w:type="dxa"/>
            <w:gridSpan w:val="2"/>
          </w:tcPr>
          <w:p w14:paraId="46193493" w14:textId="44FD3401" w:rsidR="007071DD" w:rsidRDefault="007071DD" w:rsidP="007071DD">
            <w:r>
              <w:t>81-84</w:t>
            </w:r>
          </w:p>
        </w:tc>
        <w:tc>
          <w:tcPr>
            <w:tcW w:w="5785" w:type="dxa"/>
          </w:tcPr>
          <w:p w14:paraId="5002CD2F" w14:textId="40C0DC1C" w:rsidR="007071DD" w:rsidRDefault="007071DD" w:rsidP="007071DD">
            <w:r>
              <w:t>Capacity building indicators should be gender-disaggregated.</w:t>
            </w:r>
          </w:p>
        </w:tc>
      </w:tr>
      <w:tr w:rsidR="007071DD" w:rsidRPr="000C0B6C" w14:paraId="4FCBDCC1" w14:textId="77777777" w:rsidTr="4832EE42">
        <w:trPr>
          <w:trHeight w:val="224"/>
        </w:trPr>
        <w:tc>
          <w:tcPr>
            <w:tcW w:w="817" w:type="dxa"/>
          </w:tcPr>
          <w:p w14:paraId="4A596083" w14:textId="5B737B77" w:rsidR="007071DD" w:rsidRDefault="007071DD" w:rsidP="007071DD">
            <w:r>
              <w:t>1</w:t>
            </w:r>
          </w:p>
        </w:tc>
        <w:tc>
          <w:tcPr>
            <w:tcW w:w="815" w:type="dxa"/>
          </w:tcPr>
          <w:p w14:paraId="61D867DD" w14:textId="78546975" w:rsidR="007071DD" w:rsidRDefault="007071DD" w:rsidP="007071DD">
            <w:r>
              <w:t>7</w:t>
            </w:r>
          </w:p>
        </w:tc>
        <w:tc>
          <w:tcPr>
            <w:tcW w:w="974" w:type="dxa"/>
          </w:tcPr>
          <w:p w14:paraId="4615872A" w14:textId="595EAD8E" w:rsidR="007071DD" w:rsidRDefault="007071DD" w:rsidP="007071DD">
            <w:r>
              <w:t>D</w:t>
            </w:r>
          </w:p>
        </w:tc>
        <w:tc>
          <w:tcPr>
            <w:tcW w:w="1215" w:type="dxa"/>
            <w:gridSpan w:val="2"/>
          </w:tcPr>
          <w:p w14:paraId="42EF3617" w14:textId="20350AC3" w:rsidR="007071DD" w:rsidRDefault="007071DD" w:rsidP="007071DD">
            <w:r>
              <w:t>85</w:t>
            </w:r>
          </w:p>
        </w:tc>
        <w:tc>
          <w:tcPr>
            <w:tcW w:w="5785" w:type="dxa"/>
          </w:tcPr>
          <w:p w14:paraId="6DFAF668" w14:textId="2DEA9D14" w:rsidR="007071DD" w:rsidRDefault="007071DD" w:rsidP="007071DD">
            <w:r>
              <w:t>Trends in access to technology should be gender-disaggregated.</w:t>
            </w:r>
          </w:p>
        </w:tc>
      </w:tr>
      <w:tr w:rsidR="007071DD" w:rsidRPr="000C0B6C" w14:paraId="28364A34" w14:textId="77777777" w:rsidTr="4832EE42">
        <w:trPr>
          <w:trHeight w:val="224"/>
        </w:trPr>
        <w:tc>
          <w:tcPr>
            <w:tcW w:w="817" w:type="dxa"/>
          </w:tcPr>
          <w:p w14:paraId="4C336D20" w14:textId="715C7B80" w:rsidR="007071DD" w:rsidRDefault="007071DD" w:rsidP="007071DD">
            <w:r>
              <w:rPr>
                <w:b/>
                <w:sz w:val="22"/>
                <w:szCs w:val="22"/>
              </w:rPr>
              <w:t>Table</w:t>
            </w:r>
          </w:p>
        </w:tc>
        <w:tc>
          <w:tcPr>
            <w:tcW w:w="815" w:type="dxa"/>
          </w:tcPr>
          <w:p w14:paraId="6BEE32C6" w14:textId="03FAC235" w:rsidR="007071DD" w:rsidRDefault="007071DD" w:rsidP="007071DD">
            <w:r w:rsidRPr="000C0B6C">
              <w:rPr>
                <w:b/>
                <w:sz w:val="22"/>
                <w:szCs w:val="22"/>
              </w:rPr>
              <w:t>Page</w:t>
            </w:r>
          </w:p>
        </w:tc>
        <w:tc>
          <w:tcPr>
            <w:tcW w:w="974" w:type="dxa"/>
          </w:tcPr>
          <w:p w14:paraId="2C1ECC8B" w14:textId="45F92386" w:rsidR="007071DD" w:rsidRDefault="007071DD" w:rsidP="007071DD">
            <w:r>
              <w:rPr>
                <w:b/>
                <w:sz w:val="22"/>
                <w:szCs w:val="22"/>
              </w:rPr>
              <w:t>Column letter</w:t>
            </w:r>
          </w:p>
        </w:tc>
        <w:tc>
          <w:tcPr>
            <w:tcW w:w="1215" w:type="dxa"/>
            <w:gridSpan w:val="2"/>
          </w:tcPr>
          <w:p w14:paraId="3499B8A7" w14:textId="01D4B555" w:rsidR="007071DD" w:rsidRDefault="007071DD" w:rsidP="007071DD">
            <w:r>
              <w:rPr>
                <w:b/>
              </w:rPr>
              <w:t>Row number</w:t>
            </w:r>
          </w:p>
        </w:tc>
        <w:tc>
          <w:tcPr>
            <w:tcW w:w="5785" w:type="dxa"/>
          </w:tcPr>
          <w:p w14:paraId="084DB570" w14:textId="583D35B3" w:rsidR="007071DD" w:rsidRDefault="007071DD" w:rsidP="007071DD">
            <w:r w:rsidRPr="000C0B6C">
              <w:rPr>
                <w:b/>
                <w:sz w:val="22"/>
                <w:szCs w:val="22"/>
              </w:rPr>
              <w:t>Comment</w:t>
            </w:r>
          </w:p>
        </w:tc>
      </w:tr>
      <w:tr w:rsidR="002B57CC" w:rsidRPr="000C0B6C" w14:paraId="1E289330" w14:textId="77777777" w:rsidTr="4832EE42">
        <w:trPr>
          <w:trHeight w:val="224"/>
        </w:trPr>
        <w:tc>
          <w:tcPr>
            <w:tcW w:w="817" w:type="dxa"/>
          </w:tcPr>
          <w:p w14:paraId="4BC225EE" w14:textId="396D0146" w:rsidR="002B57CC" w:rsidRDefault="002B57CC" w:rsidP="002B57CC">
            <w:r>
              <w:t>2</w:t>
            </w:r>
          </w:p>
        </w:tc>
        <w:tc>
          <w:tcPr>
            <w:tcW w:w="815" w:type="dxa"/>
          </w:tcPr>
          <w:p w14:paraId="723609FA" w14:textId="25D6A5E2" w:rsidR="002B57CC" w:rsidRDefault="002B57CC" w:rsidP="002B57CC">
            <w:r>
              <w:t>8</w:t>
            </w:r>
          </w:p>
        </w:tc>
        <w:tc>
          <w:tcPr>
            <w:tcW w:w="974" w:type="dxa"/>
          </w:tcPr>
          <w:p w14:paraId="1E29B8F4" w14:textId="36A6A592" w:rsidR="002B57CC" w:rsidRDefault="002B57CC" w:rsidP="002B57CC">
            <w:r>
              <w:t>A, B, C</w:t>
            </w:r>
          </w:p>
        </w:tc>
        <w:tc>
          <w:tcPr>
            <w:tcW w:w="1215" w:type="dxa"/>
            <w:gridSpan w:val="2"/>
          </w:tcPr>
          <w:p w14:paraId="41A9294E" w14:textId="322A9D0B" w:rsidR="002B57CC" w:rsidRDefault="002B57CC" w:rsidP="002B57CC">
            <w:r>
              <w:t>1-5</w:t>
            </w:r>
          </w:p>
        </w:tc>
        <w:tc>
          <w:tcPr>
            <w:tcW w:w="5785" w:type="dxa"/>
          </w:tcPr>
          <w:p w14:paraId="11A265D0" w14:textId="27D78205" w:rsidR="002B57CC" w:rsidRDefault="002B57CC" w:rsidP="002B57CC">
            <w:r>
              <w:t xml:space="preserve">Land-use plans must address needs and preferences of different land-users. Suggest including ‘area under multi-stakeholder governance arrangements’ or ‘spatial planning plans with embedded multi-stakeholder processes’. </w:t>
            </w:r>
          </w:p>
        </w:tc>
      </w:tr>
      <w:tr w:rsidR="002B57CC" w:rsidRPr="000C0B6C" w14:paraId="1FAA34A7" w14:textId="77777777" w:rsidTr="4832EE42">
        <w:trPr>
          <w:trHeight w:val="224"/>
        </w:trPr>
        <w:tc>
          <w:tcPr>
            <w:tcW w:w="817" w:type="dxa"/>
          </w:tcPr>
          <w:p w14:paraId="00B2AA16" w14:textId="672332E7" w:rsidR="002B57CC" w:rsidRDefault="002B57CC" w:rsidP="002B57CC">
            <w:pPr>
              <w:rPr>
                <w:b/>
                <w:sz w:val="22"/>
                <w:szCs w:val="22"/>
              </w:rPr>
            </w:pPr>
            <w:r>
              <w:t>2</w:t>
            </w:r>
          </w:p>
        </w:tc>
        <w:tc>
          <w:tcPr>
            <w:tcW w:w="815" w:type="dxa"/>
          </w:tcPr>
          <w:p w14:paraId="6133C510" w14:textId="4C64B1B7" w:rsidR="002B57CC" w:rsidRPr="000C0B6C" w:rsidRDefault="002B57CC" w:rsidP="002B57CC">
            <w:pPr>
              <w:rPr>
                <w:b/>
                <w:sz w:val="22"/>
                <w:szCs w:val="22"/>
              </w:rPr>
            </w:pPr>
            <w:r>
              <w:t>11-12</w:t>
            </w:r>
          </w:p>
        </w:tc>
        <w:tc>
          <w:tcPr>
            <w:tcW w:w="974" w:type="dxa"/>
          </w:tcPr>
          <w:p w14:paraId="1A1BE410" w14:textId="4E02A59A" w:rsidR="002B57CC" w:rsidRDefault="002B57CC" w:rsidP="002B57CC">
            <w:pPr>
              <w:rPr>
                <w:b/>
                <w:sz w:val="22"/>
                <w:szCs w:val="22"/>
              </w:rPr>
            </w:pPr>
            <w:r>
              <w:t>B, C</w:t>
            </w:r>
          </w:p>
        </w:tc>
        <w:tc>
          <w:tcPr>
            <w:tcW w:w="1215" w:type="dxa"/>
            <w:gridSpan w:val="2"/>
          </w:tcPr>
          <w:p w14:paraId="3B08F24F" w14:textId="5697E2E8" w:rsidR="002B57CC" w:rsidRDefault="002B57CC" w:rsidP="002B57CC">
            <w:pPr>
              <w:rPr>
                <w:b/>
              </w:rPr>
            </w:pPr>
            <w:r>
              <w:t>46-48</w:t>
            </w:r>
          </w:p>
        </w:tc>
        <w:tc>
          <w:tcPr>
            <w:tcW w:w="5785" w:type="dxa"/>
          </w:tcPr>
          <w:p w14:paraId="614498E3" w14:textId="1BE8AF95" w:rsidR="002B57CC" w:rsidRPr="000C0B6C" w:rsidRDefault="002B57CC" w:rsidP="002B57CC">
            <w:pPr>
              <w:rPr>
                <w:b/>
                <w:sz w:val="22"/>
                <w:szCs w:val="22"/>
              </w:rPr>
            </w:pPr>
            <w:r>
              <w:t xml:space="preserve">Monitoring elements and indicators do not address ‘equitable governance’. Indicators should capture trends in management regimes for protected areas: proportion of protected areas under different types of collaborative/co-/joint management arrangements and sex-disaggregated data on women and men’s participation in active management actions. Include sex-disaggregated data on FPIC and participation in decision-making and access to benefits from certification schemes. </w:t>
            </w:r>
          </w:p>
        </w:tc>
      </w:tr>
      <w:tr w:rsidR="002B57CC" w:rsidRPr="000C0B6C" w14:paraId="47D4C2B6" w14:textId="77777777" w:rsidTr="4832EE42">
        <w:trPr>
          <w:trHeight w:val="224"/>
        </w:trPr>
        <w:tc>
          <w:tcPr>
            <w:tcW w:w="817" w:type="dxa"/>
          </w:tcPr>
          <w:p w14:paraId="005E9146" w14:textId="483EA2A6" w:rsidR="002B57CC" w:rsidRPr="006E04CE" w:rsidRDefault="002B57CC" w:rsidP="002B57CC">
            <w:pPr>
              <w:rPr>
                <w:bCs/>
                <w:sz w:val="22"/>
                <w:szCs w:val="22"/>
              </w:rPr>
            </w:pPr>
            <w:r w:rsidRPr="006E04CE">
              <w:rPr>
                <w:bCs/>
                <w:sz w:val="22"/>
                <w:szCs w:val="22"/>
              </w:rPr>
              <w:t>2</w:t>
            </w:r>
          </w:p>
        </w:tc>
        <w:tc>
          <w:tcPr>
            <w:tcW w:w="815" w:type="dxa"/>
          </w:tcPr>
          <w:p w14:paraId="46F7E792" w14:textId="65584A8D" w:rsidR="002B57CC" w:rsidRPr="006E04CE" w:rsidRDefault="002B57CC" w:rsidP="002B57CC">
            <w:pPr>
              <w:rPr>
                <w:bCs/>
                <w:sz w:val="22"/>
                <w:szCs w:val="22"/>
              </w:rPr>
            </w:pPr>
            <w:r w:rsidRPr="006E04CE">
              <w:rPr>
                <w:bCs/>
                <w:sz w:val="22"/>
                <w:szCs w:val="22"/>
              </w:rPr>
              <w:t>12</w:t>
            </w:r>
          </w:p>
        </w:tc>
        <w:tc>
          <w:tcPr>
            <w:tcW w:w="974" w:type="dxa"/>
          </w:tcPr>
          <w:p w14:paraId="2F7BAE46" w14:textId="23ED60CF" w:rsidR="002B57CC" w:rsidRPr="006E04CE" w:rsidRDefault="002B57CC" w:rsidP="002B57CC">
            <w:pPr>
              <w:rPr>
                <w:bCs/>
                <w:sz w:val="22"/>
                <w:szCs w:val="22"/>
              </w:rPr>
            </w:pPr>
            <w:r w:rsidRPr="006E04CE">
              <w:rPr>
                <w:bCs/>
                <w:sz w:val="22"/>
                <w:szCs w:val="22"/>
              </w:rPr>
              <w:t>C</w:t>
            </w:r>
          </w:p>
        </w:tc>
        <w:tc>
          <w:tcPr>
            <w:tcW w:w="1215" w:type="dxa"/>
            <w:gridSpan w:val="2"/>
          </w:tcPr>
          <w:p w14:paraId="36D97A50" w14:textId="697761BC" w:rsidR="002B57CC" w:rsidRPr="006E04CE" w:rsidRDefault="002B57CC" w:rsidP="002B57CC">
            <w:pPr>
              <w:rPr>
                <w:bCs/>
              </w:rPr>
            </w:pPr>
            <w:r w:rsidRPr="006E04CE">
              <w:rPr>
                <w:bCs/>
              </w:rPr>
              <w:t>53</w:t>
            </w:r>
          </w:p>
        </w:tc>
        <w:tc>
          <w:tcPr>
            <w:tcW w:w="5785" w:type="dxa"/>
          </w:tcPr>
          <w:p w14:paraId="50362275" w14:textId="79098DD0" w:rsidR="002B57CC" w:rsidRPr="004D7B1C" w:rsidRDefault="002B57CC" w:rsidP="002B57CC">
            <w:r>
              <w:t>Target 3.1. We suggest adding the following indicator</w:t>
            </w:r>
            <w:r w:rsidRPr="00071848">
              <w:t>:</w:t>
            </w:r>
            <w:r>
              <w:t xml:space="preserve"> “</w:t>
            </w:r>
            <w:hyperlink r:id="rId18" w:history="1">
              <w:r w:rsidRPr="00B47AE7">
                <w:rPr>
                  <w:rStyle w:val="Hyperlink"/>
                </w:rPr>
                <w:t>Comprehensiveness of conservation of socioeconomically as well as culturally valuable species</w:t>
              </w:r>
            </w:hyperlink>
            <w:r>
              <w:t>” (responsible is</w:t>
            </w:r>
            <w:r w:rsidRPr="00071848">
              <w:t xml:space="preserve"> </w:t>
            </w:r>
            <w:r>
              <w:t>Alliance of Bioversity and CIAT,</w:t>
            </w:r>
            <w:r w:rsidRPr="00071848">
              <w:t xml:space="preserve"> </w:t>
            </w:r>
            <w:r>
              <w:t xml:space="preserve">and </w:t>
            </w:r>
            <w:r w:rsidRPr="00071848">
              <w:t>Crop Tru</w:t>
            </w:r>
            <w:r>
              <w:t>st; more info in the link)</w:t>
            </w:r>
          </w:p>
        </w:tc>
      </w:tr>
      <w:tr w:rsidR="00494090" w:rsidRPr="000C0B6C" w14:paraId="1E15301E" w14:textId="77777777" w:rsidTr="4832EE42">
        <w:trPr>
          <w:trHeight w:val="224"/>
        </w:trPr>
        <w:tc>
          <w:tcPr>
            <w:tcW w:w="817" w:type="dxa"/>
          </w:tcPr>
          <w:p w14:paraId="41F6049C" w14:textId="13C33588" w:rsidR="00494090" w:rsidRPr="006E04CE" w:rsidRDefault="00494090" w:rsidP="00494090">
            <w:pPr>
              <w:rPr>
                <w:bCs/>
                <w:sz w:val="22"/>
                <w:szCs w:val="22"/>
              </w:rPr>
            </w:pPr>
            <w:r>
              <w:t>2</w:t>
            </w:r>
          </w:p>
        </w:tc>
        <w:tc>
          <w:tcPr>
            <w:tcW w:w="815" w:type="dxa"/>
          </w:tcPr>
          <w:p w14:paraId="161BBB67" w14:textId="42E9562F" w:rsidR="00494090" w:rsidRPr="006E04CE" w:rsidRDefault="00494090" w:rsidP="00494090">
            <w:pPr>
              <w:rPr>
                <w:bCs/>
                <w:sz w:val="22"/>
                <w:szCs w:val="22"/>
              </w:rPr>
            </w:pPr>
            <w:r>
              <w:t>12</w:t>
            </w:r>
          </w:p>
        </w:tc>
        <w:tc>
          <w:tcPr>
            <w:tcW w:w="974" w:type="dxa"/>
          </w:tcPr>
          <w:p w14:paraId="40F11305" w14:textId="0C9C1042" w:rsidR="00494090" w:rsidRPr="006E04CE" w:rsidRDefault="00494090" w:rsidP="00494090">
            <w:pPr>
              <w:rPr>
                <w:bCs/>
                <w:sz w:val="22"/>
                <w:szCs w:val="22"/>
              </w:rPr>
            </w:pPr>
            <w:r>
              <w:t>C</w:t>
            </w:r>
          </w:p>
        </w:tc>
        <w:tc>
          <w:tcPr>
            <w:tcW w:w="1215" w:type="dxa"/>
            <w:gridSpan w:val="2"/>
          </w:tcPr>
          <w:p w14:paraId="7B736DEC" w14:textId="5A287CE1" w:rsidR="00494090" w:rsidRPr="006E04CE" w:rsidRDefault="00494090" w:rsidP="00494090">
            <w:pPr>
              <w:rPr>
                <w:bCs/>
              </w:rPr>
            </w:pPr>
            <w:r>
              <w:t>53-55</w:t>
            </w:r>
          </w:p>
        </w:tc>
        <w:tc>
          <w:tcPr>
            <w:tcW w:w="5785" w:type="dxa"/>
          </w:tcPr>
          <w:p w14:paraId="164CDF0A" w14:textId="5E4BB9D3" w:rsidR="00494090" w:rsidRDefault="00494090" w:rsidP="00494090">
            <w:r>
              <w:t xml:space="preserve">There is increasing evidence that more inclusive management arrangements yield better environmental outcomes. Include indicators for collecting sex-disaggregated data on women and men’s participation in active management actions. </w:t>
            </w:r>
          </w:p>
        </w:tc>
      </w:tr>
      <w:tr w:rsidR="00494090" w:rsidRPr="000C0B6C" w14:paraId="5449929B" w14:textId="77777777" w:rsidTr="4832EE42">
        <w:trPr>
          <w:trHeight w:val="224"/>
        </w:trPr>
        <w:tc>
          <w:tcPr>
            <w:tcW w:w="817" w:type="dxa"/>
          </w:tcPr>
          <w:p w14:paraId="6B4E1585" w14:textId="258A1F20" w:rsidR="00494090" w:rsidRPr="006E04CE" w:rsidRDefault="00494090" w:rsidP="00494090">
            <w:pPr>
              <w:rPr>
                <w:bCs/>
                <w:sz w:val="22"/>
                <w:szCs w:val="22"/>
              </w:rPr>
            </w:pPr>
            <w:r>
              <w:rPr>
                <w:bCs/>
                <w:sz w:val="22"/>
                <w:szCs w:val="22"/>
              </w:rPr>
              <w:t>2</w:t>
            </w:r>
          </w:p>
        </w:tc>
        <w:tc>
          <w:tcPr>
            <w:tcW w:w="815" w:type="dxa"/>
          </w:tcPr>
          <w:p w14:paraId="2D9C8EEC" w14:textId="1D75A74A" w:rsidR="00494090" w:rsidRPr="006E04CE" w:rsidRDefault="00494090" w:rsidP="00494090">
            <w:pPr>
              <w:rPr>
                <w:bCs/>
                <w:sz w:val="22"/>
                <w:szCs w:val="22"/>
              </w:rPr>
            </w:pPr>
            <w:r>
              <w:rPr>
                <w:bCs/>
                <w:sz w:val="22"/>
                <w:szCs w:val="22"/>
              </w:rPr>
              <w:t>12</w:t>
            </w:r>
          </w:p>
        </w:tc>
        <w:tc>
          <w:tcPr>
            <w:tcW w:w="974" w:type="dxa"/>
          </w:tcPr>
          <w:p w14:paraId="6A23B418" w14:textId="459F94FA" w:rsidR="00494090" w:rsidRPr="006E04CE" w:rsidRDefault="00494090" w:rsidP="00494090">
            <w:pPr>
              <w:rPr>
                <w:bCs/>
                <w:sz w:val="22"/>
                <w:szCs w:val="22"/>
              </w:rPr>
            </w:pPr>
            <w:r>
              <w:rPr>
                <w:bCs/>
                <w:sz w:val="22"/>
                <w:szCs w:val="22"/>
              </w:rPr>
              <w:t>C</w:t>
            </w:r>
          </w:p>
        </w:tc>
        <w:tc>
          <w:tcPr>
            <w:tcW w:w="1215" w:type="dxa"/>
            <w:gridSpan w:val="2"/>
          </w:tcPr>
          <w:p w14:paraId="76C0FE0B" w14:textId="536DA61E" w:rsidR="00494090" w:rsidRPr="006E04CE" w:rsidRDefault="00494090" w:rsidP="00494090">
            <w:pPr>
              <w:rPr>
                <w:bCs/>
              </w:rPr>
            </w:pPr>
            <w:r>
              <w:rPr>
                <w:bCs/>
              </w:rPr>
              <w:t>56</w:t>
            </w:r>
          </w:p>
        </w:tc>
        <w:tc>
          <w:tcPr>
            <w:tcW w:w="5785" w:type="dxa"/>
          </w:tcPr>
          <w:p w14:paraId="04B1F8FF" w14:textId="56E31039" w:rsidR="00494090" w:rsidRPr="0047046E" w:rsidRDefault="00494090" w:rsidP="00494090">
            <w:pPr>
              <w:autoSpaceDE w:val="0"/>
              <w:autoSpaceDN w:val="0"/>
              <w:adjustRightInd w:val="0"/>
            </w:pPr>
            <w:r>
              <w:t>Target 4.1 We suggest rewording</w:t>
            </w:r>
            <w:r w:rsidRPr="0047046E">
              <w:t xml:space="preserve"> </w:t>
            </w:r>
            <w:r>
              <w:t>of the indicator “</w:t>
            </w:r>
            <w:r w:rsidRPr="00222815">
              <w:t>Proportion of traded wildlife that was poached or illicitly trafficked (SDG indicators 15.7.1 and 15.c.1)”</w:t>
            </w:r>
            <w:r>
              <w:t xml:space="preserve"> to</w:t>
            </w:r>
          </w:p>
          <w:p w14:paraId="64DED977" w14:textId="156DDF4E" w:rsidR="00494090" w:rsidRPr="0047046E" w:rsidRDefault="00494090" w:rsidP="00494090">
            <w:pPr>
              <w:rPr>
                <w:lang w:val="en-MY"/>
              </w:rPr>
            </w:pPr>
            <w:r w:rsidRPr="0047046E">
              <w:t>“Proportion of traded</w:t>
            </w:r>
            <w:r>
              <w:t xml:space="preserve"> </w:t>
            </w:r>
            <w:r w:rsidRPr="00222815">
              <w:t>wildlife</w:t>
            </w:r>
            <w:r w:rsidRPr="0047046E">
              <w:t xml:space="preserve"> fauna and flora</w:t>
            </w:r>
            <w:r>
              <w:t xml:space="preserve"> </w:t>
            </w:r>
            <w:r w:rsidRPr="00222815">
              <w:t>that was poached or illicitly trafficked</w:t>
            </w:r>
            <w:r w:rsidRPr="0047046E">
              <w:t>”</w:t>
            </w:r>
            <w:r>
              <w:t xml:space="preserve">. </w:t>
            </w:r>
            <w:r w:rsidRPr="0047046E">
              <w:t xml:space="preserve">This is the term used in the SDGs. Wildlife is often understood to mean only </w:t>
            </w:r>
            <w:r w:rsidRPr="0047046E">
              <w:lastRenderedPageBreak/>
              <w:t>animals, which may lead to lack of reporting on trafficked timber and other plant species. </w:t>
            </w:r>
          </w:p>
        </w:tc>
      </w:tr>
      <w:tr w:rsidR="00852A28" w:rsidRPr="000C0B6C" w14:paraId="21800A54" w14:textId="77777777" w:rsidTr="4832EE42">
        <w:trPr>
          <w:trHeight w:val="224"/>
        </w:trPr>
        <w:tc>
          <w:tcPr>
            <w:tcW w:w="817" w:type="dxa"/>
          </w:tcPr>
          <w:p w14:paraId="371E2AFF" w14:textId="0A5A9789" w:rsidR="00852A28" w:rsidRDefault="00852A28" w:rsidP="00852A28">
            <w:pPr>
              <w:rPr>
                <w:bCs/>
                <w:sz w:val="22"/>
                <w:szCs w:val="22"/>
              </w:rPr>
            </w:pPr>
            <w:r>
              <w:lastRenderedPageBreak/>
              <w:t>2</w:t>
            </w:r>
          </w:p>
        </w:tc>
        <w:tc>
          <w:tcPr>
            <w:tcW w:w="815" w:type="dxa"/>
          </w:tcPr>
          <w:p w14:paraId="1B643ABA" w14:textId="50741BA4" w:rsidR="00852A28" w:rsidRDefault="00852A28" w:rsidP="00852A28">
            <w:pPr>
              <w:rPr>
                <w:bCs/>
                <w:sz w:val="22"/>
                <w:szCs w:val="22"/>
              </w:rPr>
            </w:pPr>
            <w:r>
              <w:t>13</w:t>
            </w:r>
          </w:p>
        </w:tc>
        <w:tc>
          <w:tcPr>
            <w:tcW w:w="974" w:type="dxa"/>
          </w:tcPr>
          <w:p w14:paraId="6F2DACFC" w14:textId="11553740" w:rsidR="00852A28" w:rsidRDefault="00852A28" w:rsidP="00852A28">
            <w:pPr>
              <w:rPr>
                <w:bCs/>
                <w:sz w:val="22"/>
                <w:szCs w:val="22"/>
              </w:rPr>
            </w:pPr>
            <w:r>
              <w:t>A</w:t>
            </w:r>
          </w:p>
        </w:tc>
        <w:tc>
          <w:tcPr>
            <w:tcW w:w="1215" w:type="dxa"/>
            <w:gridSpan w:val="2"/>
          </w:tcPr>
          <w:p w14:paraId="46524153" w14:textId="0D354F78" w:rsidR="00852A28" w:rsidRDefault="00852A28" w:rsidP="00852A28">
            <w:pPr>
              <w:rPr>
                <w:bCs/>
              </w:rPr>
            </w:pPr>
            <w:r>
              <w:t>56-66</w:t>
            </w:r>
          </w:p>
        </w:tc>
        <w:tc>
          <w:tcPr>
            <w:tcW w:w="5785" w:type="dxa"/>
          </w:tcPr>
          <w:p w14:paraId="480B7618" w14:textId="77777777" w:rsidR="008D246D" w:rsidRDefault="008D246D" w:rsidP="008D246D">
            <w:pPr>
              <w:autoSpaceDE w:val="0"/>
              <w:autoSpaceDN w:val="0"/>
              <w:adjustRightInd w:val="0"/>
            </w:pPr>
            <w:r>
              <w:t>Formalization processes are often dominated by export-oriented industries and end up criminalizing poor, informal resource users. Extent of legality solely is hence a poor indicator considering the higher-level objectives of the framework. Need to separate between domestic and export market. Below suggested indicators are amended from the Chatham House framework.</w:t>
            </w:r>
          </w:p>
          <w:p w14:paraId="7ABE4072" w14:textId="7F4971BB" w:rsidR="008D246D" w:rsidRDefault="008D246D" w:rsidP="008D246D">
            <w:pPr>
              <w:autoSpaceDE w:val="0"/>
              <w:autoSpaceDN w:val="0"/>
              <w:adjustRightInd w:val="0"/>
            </w:pPr>
            <w:r>
              <w:t>Are there formal consultation processes in place for multi-stakeholder involvement (incl. women and men) in developing policy and legislation to tackle illegal harvest and trade?</w:t>
            </w:r>
          </w:p>
          <w:p w14:paraId="3F9D0ABF" w14:textId="77777777" w:rsidR="008D246D" w:rsidRDefault="008D246D" w:rsidP="008D246D">
            <w:pPr>
              <w:autoSpaceDE w:val="0"/>
              <w:autoSpaceDN w:val="0"/>
              <w:adjustRightInd w:val="0"/>
            </w:pPr>
          </w:p>
          <w:p w14:paraId="5CA0D7B4" w14:textId="6FBB4B6C" w:rsidR="00852A28" w:rsidRDefault="008D246D" w:rsidP="008D246D">
            <w:pPr>
              <w:autoSpaceDE w:val="0"/>
              <w:autoSpaceDN w:val="0"/>
              <w:adjustRightInd w:val="0"/>
            </w:pPr>
            <w:r>
              <w:t>Is the legislation and regulation for artisanal and micro-scale enterprises coherent and unambiguous?</w:t>
            </w:r>
          </w:p>
        </w:tc>
      </w:tr>
      <w:tr w:rsidR="00852A28" w:rsidRPr="000C0B6C" w14:paraId="321D356E" w14:textId="77777777" w:rsidTr="4832EE42">
        <w:trPr>
          <w:trHeight w:val="224"/>
        </w:trPr>
        <w:tc>
          <w:tcPr>
            <w:tcW w:w="817" w:type="dxa"/>
          </w:tcPr>
          <w:p w14:paraId="474540B8" w14:textId="25977C6D" w:rsidR="00852A28" w:rsidRDefault="00852A28" w:rsidP="00852A28">
            <w:pPr>
              <w:rPr>
                <w:bCs/>
                <w:sz w:val="22"/>
                <w:szCs w:val="22"/>
              </w:rPr>
            </w:pPr>
            <w:r>
              <w:rPr>
                <w:bCs/>
                <w:sz w:val="22"/>
                <w:szCs w:val="22"/>
              </w:rPr>
              <w:t>2</w:t>
            </w:r>
          </w:p>
        </w:tc>
        <w:tc>
          <w:tcPr>
            <w:tcW w:w="815" w:type="dxa"/>
          </w:tcPr>
          <w:p w14:paraId="46D0BC7E" w14:textId="2750B352" w:rsidR="00852A28" w:rsidRDefault="00852A28" w:rsidP="00852A28">
            <w:pPr>
              <w:rPr>
                <w:bCs/>
                <w:sz w:val="22"/>
                <w:szCs w:val="22"/>
              </w:rPr>
            </w:pPr>
            <w:r>
              <w:rPr>
                <w:bCs/>
                <w:sz w:val="22"/>
                <w:szCs w:val="22"/>
              </w:rPr>
              <w:t>15</w:t>
            </w:r>
          </w:p>
        </w:tc>
        <w:tc>
          <w:tcPr>
            <w:tcW w:w="974" w:type="dxa"/>
          </w:tcPr>
          <w:p w14:paraId="50DC0BF5" w14:textId="5DFC0E3B" w:rsidR="00852A28" w:rsidRDefault="00852A28" w:rsidP="00852A28">
            <w:pPr>
              <w:rPr>
                <w:bCs/>
                <w:sz w:val="22"/>
                <w:szCs w:val="22"/>
              </w:rPr>
            </w:pPr>
            <w:r>
              <w:rPr>
                <w:bCs/>
                <w:sz w:val="22"/>
                <w:szCs w:val="22"/>
              </w:rPr>
              <w:t>C</w:t>
            </w:r>
          </w:p>
        </w:tc>
        <w:tc>
          <w:tcPr>
            <w:tcW w:w="1215" w:type="dxa"/>
            <w:gridSpan w:val="2"/>
          </w:tcPr>
          <w:p w14:paraId="24C39C35" w14:textId="30249DB6" w:rsidR="00852A28" w:rsidRDefault="00852A28" w:rsidP="00852A28">
            <w:pPr>
              <w:rPr>
                <w:bCs/>
              </w:rPr>
            </w:pPr>
            <w:r>
              <w:rPr>
                <w:bCs/>
              </w:rPr>
              <w:t>After 84</w:t>
            </w:r>
          </w:p>
        </w:tc>
        <w:tc>
          <w:tcPr>
            <w:tcW w:w="5785" w:type="dxa"/>
          </w:tcPr>
          <w:p w14:paraId="7F4C6DCC" w14:textId="3652683E" w:rsidR="00852A28" w:rsidRDefault="00852A28" w:rsidP="00852A28">
            <w:pPr>
              <w:autoSpaceDE w:val="0"/>
              <w:autoSpaceDN w:val="0"/>
              <w:adjustRightInd w:val="0"/>
            </w:pPr>
            <w:r>
              <w:t xml:space="preserve">Target 6.1 We suggest adding </w:t>
            </w:r>
            <w:r w:rsidRPr="00DF6E34">
              <w:t>an indicator</w:t>
            </w:r>
            <w:r>
              <w:t xml:space="preserve"> </w:t>
            </w:r>
            <w:r w:rsidRPr="00DF6E34">
              <w:t>“</w:t>
            </w:r>
            <w:r>
              <w:t xml:space="preserve">Proportion of </w:t>
            </w:r>
            <w:r w:rsidRPr="00DF6E34">
              <w:t xml:space="preserve">low input farming practices and downstream mitigation practices </w:t>
            </w:r>
            <w:r>
              <w:t>a</w:t>
            </w:r>
            <w:r w:rsidRPr="00DF6E34">
              <w:t>dopt</w:t>
            </w:r>
            <w:r>
              <w:t>ed</w:t>
            </w:r>
            <w:r w:rsidRPr="00DF6E34">
              <w:t xml:space="preserve"> to prevent and reduce runoff and non-source pollution”</w:t>
            </w:r>
            <w:r>
              <w:t xml:space="preserve">. </w:t>
            </w:r>
            <w:r w:rsidRPr="00DF6E34">
              <w:t>FAO crop data could be used but better ways of capturing adoption/changes in practices would be needed</w:t>
            </w:r>
            <w:r>
              <w:t>.</w:t>
            </w:r>
          </w:p>
        </w:tc>
      </w:tr>
      <w:tr w:rsidR="00852A28" w:rsidRPr="000C0B6C" w14:paraId="1535C43B" w14:textId="77777777" w:rsidTr="4832EE42">
        <w:trPr>
          <w:trHeight w:val="224"/>
        </w:trPr>
        <w:tc>
          <w:tcPr>
            <w:tcW w:w="817" w:type="dxa"/>
          </w:tcPr>
          <w:p w14:paraId="5B81C0D8" w14:textId="4AB5BFCF" w:rsidR="00852A28" w:rsidRPr="00C75E82" w:rsidRDefault="00852A28" w:rsidP="00852A28">
            <w:pPr>
              <w:rPr>
                <w:bCs/>
                <w:sz w:val="22"/>
                <w:szCs w:val="22"/>
              </w:rPr>
            </w:pPr>
            <w:r w:rsidRPr="00C75E82">
              <w:rPr>
                <w:bCs/>
                <w:sz w:val="22"/>
                <w:szCs w:val="22"/>
              </w:rPr>
              <w:t>2</w:t>
            </w:r>
          </w:p>
        </w:tc>
        <w:tc>
          <w:tcPr>
            <w:tcW w:w="815" w:type="dxa"/>
          </w:tcPr>
          <w:p w14:paraId="1BCFFC95" w14:textId="549D6D81" w:rsidR="00852A28" w:rsidRPr="00C75E82" w:rsidRDefault="00852A28" w:rsidP="00852A28">
            <w:pPr>
              <w:rPr>
                <w:bCs/>
                <w:sz w:val="22"/>
                <w:szCs w:val="22"/>
              </w:rPr>
            </w:pPr>
            <w:r w:rsidRPr="00C75E82">
              <w:rPr>
                <w:bCs/>
                <w:sz w:val="22"/>
                <w:szCs w:val="22"/>
              </w:rPr>
              <w:t>16</w:t>
            </w:r>
          </w:p>
        </w:tc>
        <w:tc>
          <w:tcPr>
            <w:tcW w:w="974" w:type="dxa"/>
          </w:tcPr>
          <w:p w14:paraId="15199901" w14:textId="6F0F98D9" w:rsidR="00852A28" w:rsidRPr="00C75E82" w:rsidRDefault="00852A28" w:rsidP="00852A28">
            <w:pPr>
              <w:rPr>
                <w:bCs/>
                <w:sz w:val="22"/>
                <w:szCs w:val="22"/>
              </w:rPr>
            </w:pPr>
            <w:r>
              <w:rPr>
                <w:bCs/>
                <w:sz w:val="22"/>
                <w:szCs w:val="22"/>
              </w:rPr>
              <w:t>C</w:t>
            </w:r>
          </w:p>
        </w:tc>
        <w:tc>
          <w:tcPr>
            <w:tcW w:w="1215" w:type="dxa"/>
            <w:gridSpan w:val="2"/>
          </w:tcPr>
          <w:p w14:paraId="120F69AC" w14:textId="6CA3F767" w:rsidR="00852A28" w:rsidRPr="00C75E82" w:rsidRDefault="00852A28" w:rsidP="00852A28">
            <w:pPr>
              <w:rPr>
                <w:bCs/>
              </w:rPr>
            </w:pPr>
            <w:r>
              <w:rPr>
                <w:bCs/>
              </w:rPr>
              <w:t>98</w:t>
            </w:r>
          </w:p>
        </w:tc>
        <w:tc>
          <w:tcPr>
            <w:tcW w:w="5785" w:type="dxa"/>
          </w:tcPr>
          <w:p w14:paraId="7455A8B3" w14:textId="163B5C7F" w:rsidR="00852A28" w:rsidRPr="00C75E82" w:rsidRDefault="00852A28" w:rsidP="00852A28">
            <w:pPr>
              <w:autoSpaceDE w:val="0"/>
              <w:autoSpaceDN w:val="0"/>
              <w:adjustRightInd w:val="0"/>
              <w:rPr>
                <w:sz w:val="22"/>
                <w:szCs w:val="22"/>
              </w:rPr>
            </w:pPr>
            <w:r>
              <w:t>Target 7.1. We suggest adding the indicator “Proportion of agriculture land that is diversified under agroforestry, intercropping, crop rotation, mixtures or other diversification practices” or this one “Land use diversity of agricultural landscapes in space and time, at district or country level”. Land use diversity especially relates to the use of different types of cropping and production systems, NOT to non-agricultural land uses. This indicator directly relates to the “spatial and temporal heterogeneity” indicator by Cabell and Oelofse, 2012 (Cabell, J.F., &amp; Oelofse, M. 2012. An indicator framework for assessing agroecosystem resilience. Ecology and Society 17(1): 18) and to the “Landscape/seascape diversity” by UNU-IAS et al., 2014. (UNU-IAS, Bioversity International, IGES, UNDP Toolkit for the indicators of resilience in socio-ecological production landscapes and seascapes (SEPLS) UNU-IAS, Tokyo, Japan (2014)).</w:t>
            </w:r>
          </w:p>
        </w:tc>
      </w:tr>
      <w:tr w:rsidR="00852A28" w:rsidRPr="000C0B6C" w14:paraId="02D6D47C" w14:textId="77777777" w:rsidTr="4832EE42">
        <w:trPr>
          <w:trHeight w:val="224"/>
        </w:trPr>
        <w:tc>
          <w:tcPr>
            <w:tcW w:w="817" w:type="dxa"/>
          </w:tcPr>
          <w:p w14:paraId="2233EACD" w14:textId="06A23D77" w:rsidR="00852A28" w:rsidRPr="00C75E82" w:rsidRDefault="00852A28" w:rsidP="00852A28">
            <w:pPr>
              <w:rPr>
                <w:bCs/>
                <w:sz w:val="22"/>
                <w:szCs w:val="22"/>
              </w:rPr>
            </w:pPr>
            <w:r>
              <w:rPr>
                <w:bCs/>
                <w:sz w:val="22"/>
                <w:szCs w:val="22"/>
              </w:rPr>
              <w:t>2</w:t>
            </w:r>
          </w:p>
        </w:tc>
        <w:tc>
          <w:tcPr>
            <w:tcW w:w="815" w:type="dxa"/>
          </w:tcPr>
          <w:p w14:paraId="3CC386FA" w14:textId="5B1191BF" w:rsidR="00852A28" w:rsidRPr="00C75E82" w:rsidRDefault="00852A28" w:rsidP="00852A28">
            <w:pPr>
              <w:rPr>
                <w:bCs/>
                <w:sz w:val="22"/>
                <w:szCs w:val="22"/>
              </w:rPr>
            </w:pPr>
            <w:r>
              <w:rPr>
                <w:bCs/>
                <w:sz w:val="22"/>
                <w:szCs w:val="22"/>
              </w:rPr>
              <w:t>16</w:t>
            </w:r>
          </w:p>
        </w:tc>
        <w:tc>
          <w:tcPr>
            <w:tcW w:w="974" w:type="dxa"/>
          </w:tcPr>
          <w:p w14:paraId="341DE9C1" w14:textId="4C113F2D" w:rsidR="00852A28" w:rsidRDefault="00852A28" w:rsidP="00852A28">
            <w:pPr>
              <w:rPr>
                <w:bCs/>
                <w:sz w:val="22"/>
                <w:szCs w:val="22"/>
              </w:rPr>
            </w:pPr>
            <w:r>
              <w:rPr>
                <w:bCs/>
                <w:sz w:val="22"/>
                <w:szCs w:val="22"/>
              </w:rPr>
              <w:t>C</w:t>
            </w:r>
          </w:p>
        </w:tc>
        <w:tc>
          <w:tcPr>
            <w:tcW w:w="1215" w:type="dxa"/>
            <w:gridSpan w:val="2"/>
          </w:tcPr>
          <w:p w14:paraId="7A9D6F25" w14:textId="68F80D7A" w:rsidR="00852A28" w:rsidRDefault="00852A28" w:rsidP="00852A28">
            <w:pPr>
              <w:rPr>
                <w:bCs/>
              </w:rPr>
            </w:pPr>
            <w:r>
              <w:rPr>
                <w:bCs/>
              </w:rPr>
              <w:t>98</w:t>
            </w:r>
          </w:p>
        </w:tc>
        <w:tc>
          <w:tcPr>
            <w:tcW w:w="5785" w:type="dxa"/>
          </w:tcPr>
          <w:p w14:paraId="04BDDD13" w14:textId="2C902A75" w:rsidR="00852A28" w:rsidRDefault="00852A28" w:rsidP="00852A28">
            <w:pPr>
              <w:autoSpaceDE w:val="0"/>
              <w:autoSpaceDN w:val="0"/>
              <w:adjustRightInd w:val="0"/>
            </w:pPr>
            <w:r>
              <w:t>Target 7.1. We suggest adding the following indicator</w:t>
            </w:r>
            <w:r w:rsidRPr="00071848">
              <w:t>:</w:t>
            </w:r>
            <w:r>
              <w:t xml:space="preserve"> “</w:t>
            </w:r>
            <w:r w:rsidRPr="004C24AA">
              <w:t>Trait diversity of crops and livestock, especially climate related responses</w:t>
            </w:r>
            <w:r>
              <w:t xml:space="preserve">”. </w:t>
            </w:r>
            <w:r w:rsidRPr="00C76E4B">
              <w:t>The indicator on trait diversity relates to the indicator on “high degree of functional and response diversity” by Cabell and Oelofse, 2012. (Cabell, J.F., &amp; Oelofse, M. (2012) An indicator framework for assessing agroecosystem resilience. Ecology and Society 17(1): 18).</w:t>
            </w:r>
          </w:p>
        </w:tc>
      </w:tr>
      <w:tr w:rsidR="00852A28" w:rsidRPr="000C0B6C" w14:paraId="05FA05A7" w14:textId="77777777" w:rsidTr="4832EE42">
        <w:trPr>
          <w:trHeight w:val="224"/>
        </w:trPr>
        <w:tc>
          <w:tcPr>
            <w:tcW w:w="817" w:type="dxa"/>
          </w:tcPr>
          <w:p w14:paraId="37FB121B" w14:textId="63B77D0E" w:rsidR="00852A28" w:rsidRDefault="00852A28" w:rsidP="00852A28">
            <w:pPr>
              <w:rPr>
                <w:bCs/>
                <w:sz w:val="22"/>
                <w:szCs w:val="22"/>
              </w:rPr>
            </w:pPr>
            <w:r>
              <w:rPr>
                <w:bCs/>
                <w:sz w:val="22"/>
                <w:szCs w:val="22"/>
              </w:rPr>
              <w:lastRenderedPageBreak/>
              <w:t>2</w:t>
            </w:r>
          </w:p>
        </w:tc>
        <w:tc>
          <w:tcPr>
            <w:tcW w:w="815" w:type="dxa"/>
          </w:tcPr>
          <w:p w14:paraId="35F26289" w14:textId="30905A7B" w:rsidR="00852A28" w:rsidRDefault="00852A28" w:rsidP="00852A28">
            <w:pPr>
              <w:rPr>
                <w:bCs/>
                <w:sz w:val="22"/>
                <w:szCs w:val="22"/>
              </w:rPr>
            </w:pPr>
            <w:r>
              <w:rPr>
                <w:bCs/>
                <w:sz w:val="22"/>
                <w:szCs w:val="22"/>
              </w:rPr>
              <w:t>16</w:t>
            </w:r>
          </w:p>
        </w:tc>
        <w:tc>
          <w:tcPr>
            <w:tcW w:w="974" w:type="dxa"/>
          </w:tcPr>
          <w:p w14:paraId="2EBAFB9C" w14:textId="2CEBF534" w:rsidR="00852A28" w:rsidRDefault="00852A28" w:rsidP="00852A28">
            <w:pPr>
              <w:rPr>
                <w:bCs/>
                <w:sz w:val="22"/>
                <w:szCs w:val="22"/>
              </w:rPr>
            </w:pPr>
            <w:r>
              <w:rPr>
                <w:bCs/>
                <w:sz w:val="22"/>
                <w:szCs w:val="22"/>
              </w:rPr>
              <w:t>C</w:t>
            </w:r>
          </w:p>
        </w:tc>
        <w:tc>
          <w:tcPr>
            <w:tcW w:w="1215" w:type="dxa"/>
            <w:gridSpan w:val="2"/>
          </w:tcPr>
          <w:p w14:paraId="56536158" w14:textId="4583CFD9" w:rsidR="00852A28" w:rsidRDefault="00852A28" w:rsidP="00852A28">
            <w:pPr>
              <w:rPr>
                <w:bCs/>
              </w:rPr>
            </w:pPr>
            <w:r>
              <w:rPr>
                <w:bCs/>
              </w:rPr>
              <w:t>98</w:t>
            </w:r>
          </w:p>
        </w:tc>
        <w:tc>
          <w:tcPr>
            <w:tcW w:w="5785" w:type="dxa"/>
          </w:tcPr>
          <w:p w14:paraId="57CA465B" w14:textId="1275D609" w:rsidR="00852A28" w:rsidRDefault="00852A28" w:rsidP="00852A28">
            <w:pPr>
              <w:autoSpaceDE w:val="0"/>
              <w:autoSpaceDN w:val="0"/>
              <w:adjustRightInd w:val="0"/>
            </w:pPr>
            <w:r>
              <w:t xml:space="preserve">Target 7.1. We suggest adding </w:t>
            </w:r>
            <w:r w:rsidRPr="00DF6E34">
              <w:t xml:space="preserve">an indicator that reflects </w:t>
            </w:r>
            <w:r>
              <w:t xml:space="preserve">climate change </w:t>
            </w:r>
            <w:r w:rsidRPr="00DF6E34">
              <w:t xml:space="preserve">adaptation </w:t>
            </w:r>
            <w:r>
              <w:t xml:space="preserve">in </w:t>
            </w:r>
            <w:r w:rsidRPr="00DF6E34">
              <w:t xml:space="preserve">agriculture </w:t>
            </w:r>
            <w:r>
              <w:t xml:space="preserve">through crops </w:t>
            </w:r>
            <w:r w:rsidRPr="00DF6E34">
              <w:t>lower water consumption</w:t>
            </w:r>
            <w:r>
              <w:t xml:space="preserve">, measured by </w:t>
            </w:r>
            <w:r w:rsidRPr="00DF6E34">
              <w:t>“</w:t>
            </w:r>
            <w:r>
              <w:t xml:space="preserve">Proportion of </w:t>
            </w:r>
            <w:r w:rsidRPr="00DF6E34">
              <w:t>drought resistan</w:t>
            </w:r>
            <w:r>
              <w:t>t</w:t>
            </w:r>
            <w:r w:rsidRPr="00DF6E34">
              <w:t xml:space="preserve"> or low water demand crops or varieties </w:t>
            </w:r>
            <w:r>
              <w:t>a</w:t>
            </w:r>
            <w:r w:rsidRPr="00DF6E34">
              <w:t>doption</w:t>
            </w:r>
            <w:r>
              <w:t xml:space="preserve"> </w:t>
            </w:r>
            <w:r w:rsidRPr="00DF6E34">
              <w:t>throughout the growing period”</w:t>
            </w:r>
            <w:r>
              <w:t xml:space="preserve">. </w:t>
            </w:r>
            <w:r w:rsidRPr="00DF6E34">
              <w:t>FAO crop data could be used but better ways of capturing crop and varieties names and adoption/changes in practices would be needed</w:t>
            </w:r>
            <w:r>
              <w:t>.</w:t>
            </w:r>
          </w:p>
        </w:tc>
      </w:tr>
      <w:tr w:rsidR="00420F6D" w:rsidRPr="000C0B6C" w14:paraId="5C4C75DB" w14:textId="77777777" w:rsidTr="4832EE42">
        <w:trPr>
          <w:trHeight w:val="224"/>
        </w:trPr>
        <w:tc>
          <w:tcPr>
            <w:tcW w:w="817" w:type="dxa"/>
          </w:tcPr>
          <w:p w14:paraId="320B5393" w14:textId="3AD57938" w:rsidR="00420F6D" w:rsidRDefault="00420F6D" w:rsidP="00420F6D">
            <w:pPr>
              <w:rPr>
                <w:bCs/>
                <w:sz w:val="22"/>
                <w:szCs w:val="22"/>
              </w:rPr>
            </w:pPr>
            <w:r>
              <w:t>2</w:t>
            </w:r>
          </w:p>
        </w:tc>
        <w:tc>
          <w:tcPr>
            <w:tcW w:w="815" w:type="dxa"/>
          </w:tcPr>
          <w:p w14:paraId="77920B3C" w14:textId="2A983C2D" w:rsidR="00420F6D" w:rsidRDefault="00420F6D" w:rsidP="00420F6D">
            <w:pPr>
              <w:rPr>
                <w:bCs/>
                <w:sz w:val="22"/>
                <w:szCs w:val="22"/>
              </w:rPr>
            </w:pPr>
            <w:r>
              <w:t>16-17</w:t>
            </w:r>
          </w:p>
        </w:tc>
        <w:tc>
          <w:tcPr>
            <w:tcW w:w="974" w:type="dxa"/>
          </w:tcPr>
          <w:p w14:paraId="38C5FF06" w14:textId="2D49543A" w:rsidR="00420F6D" w:rsidRDefault="00420F6D" w:rsidP="00420F6D">
            <w:pPr>
              <w:rPr>
                <w:bCs/>
                <w:sz w:val="22"/>
                <w:szCs w:val="22"/>
              </w:rPr>
            </w:pPr>
            <w:r>
              <w:t>A, B, C</w:t>
            </w:r>
          </w:p>
        </w:tc>
        <w:tc>
          <w:tcPr>
            <w:tcW w:w="1215" w:type="dxa"/>
            <w:gridSpan w:val="2"/>
          </w:tcPr>
          <w:p w14:paraId="1ED55755" w14:textId="713112A7" w:rsidR="00420F6D" w:rsidRDefault="00420F6D" w:rsidP="00420F6D">
            <w:pPr>
              <w:rPr>
                <w:bCs/>
              </w:rPr>
            </w:pPr>
            <w:r>
              <w:t>97-100</w:t>
            </w:r>
          </w:p>
        </w:tc>
        <w:tc>
          <w:tcPr>
            <w:tcW w:w="5785" w:type="dxa"/>
          </w:tcPr>
          <w:p w14:paraId="79841CA9" w14:textId="3B6B6160" w:rsidR="00420F6D" w:rsidRDefault="00420F6D" w:rsidP="00420F6D">
            <w:pPr>
              <w:autoSpaceDE w:val="0"/>
              <w:autoSpaceDN w:val="0"/>
              <w:adjustRightInd w:val="0"/>
            </w:pPr>
            <w:r>
              <w:t>In order to contribute to resilience, NBS and EBA must enhance tenure security (SDG 1.4.2.), enhance access to natural resources, improve incomes (SDG 2.3.2.). Include sex-disaggregated indicators for all. NBS must also adhere to FPIC principles.</w:t>
            </w:r>
          </w:p>
        </w:tc>
      </w:tr>
      <w:tr w:rsidR="000C3BF1" w:rsidRPr="000C0B6C" w14:paraId="6174B37F" w14:textId="77777777" w:rsidTr="4832EE42">
        <w:trPr>
          <w:trHeight w:val="224"/>
        </w:trPr>
        <w:tc>
          <w:tcPr>
            <w:tcW w:w="817" w:type="dxa"/>
          </w:tcPr>
          <w:p w14:paraId="6BCEBCB2" w14:textId="46BFA583" w:rsidR="000C3BF1" w:rsidRDefault="000C3BF1" w:rsidP="000C3BF1">
            <w:r>
              <w:t>2</w:t>
            </w:r>
          </w:p>
        </w:tc>
        <w:tc>
          <w:tcPr>
            <w:tcW w:w="815" w:type="dxa"/>
          </w:tcPr>
          <w:p w14:paraId="7529F2CB" w14:textId="413D60BE" w:rsidR="000C3BF1" w:rsidRDefault="000C3BF1" w:rsidP="000C3BF1">
            <w:r>
              <w:t>18-19</w:t>
            </w:r>
          </w:p>
        </w:tc>
        <w:tc>
          <w:tcPr>
            <w:tcW w:w="974" w:type="dxa"/>
          </w:tcPr>
          <w:p w14:paraId="655458F2" w14:textId="6AB51DCE" w:rsidR="000C3BF1" w:rsidRDefault="000C3BF1" w:rsidP="000C3BF1">
            <w:r>
              <w:t>A, B, C</w:t>
            </w:r>
          </w:p>
        </w:tc>
        <w:tc>
          <w:tcPr>
            <w:tcW w:w="1215" w:type="dxa"/>
            <w:gridSpan w:val="2"/>
          </w:tcPr>
          <w:p w14:paraId="6FE517D9" w14:textId="41455E4C" w:rsidR="000C3BF1" w:rsidRDefault="000C3BF1" w:rsidP="000C3BF1">
            <w:r>
              <w:t>103-116</w:t>
            </w:r>
          </w:p>
        </w:tc>
        <w:tc>
          <w:tcPr>
            <w:tcW w:w="5785" w:type="dxa"/>
          </w:tcPr>
          <w:p w14:paraId="42D0DB2A" w14:textId="24D6D8F1" w:rsidR="000C3BF1" w:rsidRDefault="000C3BF1" w:rsidP="000C3BF1">
            <w:pPr>
              <w:autoSpaceDE w:val="0"/>
              <w:autoSpaceDN w:val="0"/>
              <w:adjustRightInd w:val="0"/>
            </w:pPr>
            <w:r>
              <w:t xml:space="preserve">None of the indicators are equipped to address the extent to which benefits reach the most vulnerable. Specific indicators needed in line with SDG target 2.1. to measure nutrition and food security as well as health by sex and other pertinent factors (esp. mothers and children).  </w:t>
            </w:r>
          </w:p>
        </w:tc>
      </w:tr>
      <w:tr w:rsidR="000C3BF1" w:rsidRPr="000C0B6C" w14:paraId="23E7DA0D" w14:textId="77777777" w:rsidTr="4832EE42">
        <w:trPr>
          <w:trHeight w:val="224"/>
        </w:trPr>
        <w:tc>
          <w:tcPr>
            <w:tcW w:w="817" w:type="dxa"/>
          </w:tcPr>
          <w:p w14:paraId="302BEDBA" w14:textId="501C0381" w:rsidR="000C3BF1" w:rsidRPr="000C0B6C" w:rsidRDefault="000C3BF1" w:rsidP="000C3BF1">
            <w:r>
              <w:t>2</w:t>
            </w:r>
          </w:p>
        </w:tc>
        <w:tc>
          <w:tcPr>
            <w:tcW w:w="815" w:type="dxa"/>
          </w:tcPr>
          <w:p w14:paraId="204BB650" w14:textId="5DBF5177" w:rsidR="000C3BF1" w:rsidRPr="000C0B6C" w:rsidRDefault="000C3BF1" w:rsidP="000C3BF1">
            <w:r>
              <w:t>19</w:t>
            </w:r>
          </w:p>
        </w:tc>
        <w:tc>
          <w:tcPr>
            <w:tcW w:w="974" w:type="dxa"/>
          </w:tcPr>
          <w:p w14:paraId="139DE851" w14:textId="0FA527C3" w:rsidR="000C3BF1" w:rsidRPr="000C0B6C" w:rsidRDefault="000C3BF1" w:rsidP="000C3BF1">
            <w:r>
              <w:t>B</w:t>
            </w:r>
          </w:p>
        </w:tc>
        <w:tc>
          <w:tcPr>
            <w:tcW w:w="1215" w:type="dxa"/>
            <w:gridSpan w:val="2"/>
          </w:tcPr>
          <w:p w14:paraId="2BE62951" w14:textId="4DF31C09" w:rsidR="000C3BF1" w:rsidRPr="000C0B6C" w:rsidRDefault="000C3BF1" w:rsidP="000C3BF1">
            <w:r>
              <w:t>114-116</w:t>
            </w:r>
          </w:p>
        </w:tc>
        <w:tc>
          <w:tcPr>
            <w:tcW w:w="5785" w:type="dxa"/>
          </w:tcPr>
          <w:p w14:paraId="76FDE132" w14:textId="3E883E66" w:rsidR="000C3BF1" w:rsidRDefault="000C3BF1" w:rsidP="000C3BF1">
            <w:pPr>
              <w:autoSpaceDE w:val="0"/>
              <w:autoSpaceDN w:val="0"/>
              <w:adjustRightInd w:val="0"/>
            </w:pPr>
            <w:r>
              <w:t>Target 8.2. The monitoring element “</w:t>
            </w:r>
            <w:r w:rsidRPr="00C81304">
              <w:t xml:space="preserve">Trends in terrestrial wild species of fauna used for food and medicine” </w:t>
            </w:r>
            <w:r>
              <w:t>only considers wild species of fauna, but the component of the target (Column A “</w:t>
            </w:r>
            <w:r w:rsidRPr="00AE4677">
              <w:t>T8.2. Sustainable management of terrestrial wild species of fauna and flora”) and</w:t>
            </w:r>
            <w:r>
              <w:t xml:space="preserve"> its indicator (“</w:t>
            </w:r>
            <w:r w:rsidRPr="00C81304">
              <w:t>Number of plant and animal genetic resources for food and agriculture secured in</w:t>
            </w:r>
            <w:r>
              <w:t xml:space="preserve"> </w:t>
            </w:r>
            <w:r w:rsidRPr="00C81304">
              <w:t xml:space="preserve">medium- or long-term conservation facilities” (SDG indicator 2.5.1) </w:t>
            </w:r>
            <w:r>
              <w:t>Column C/Row114) covers both plants and animals.  The framework previously contained the same element for wild species of flora used for food and medicine separately but has been lost. This could be a mistake and the monitoring element should be reworded to also include “flora” i.e “</w:t>
            </w:r>
            <w:r w:rsidRPr="00C81304">
              <w:t>Trends in terrestrial wild species of flora and fauna used for food and medicine”</w:t>
            </w:r>
            <w:r>
              <w:t>.</w:t>
            </w:r>
          </w:p>
          <w:p w14:paraId="0431EA24" w14:textId="77777777" w:rsidR="000C3BF1" w:rsidRDefault="000C3BF1" w:rsidP="000C3BF1">
            <w:pPr>
              <w:autoSpaceDE w:val="0"/>
              <w:autoSpaceDN w:val="0"/>
              <w:adjustRightInd w:val="0"/>
            </w:pPr>
          </w:p>
          <w:p w14:paraId="37CBE39D" w14:textId="513644B1" w:rsidR="000C3BF1" w:rsidRPr="000C0B6C" w:rsidRDefault="000C3BF1" w:rsidP="000C3BF1">
            <w:r>
              <w:t xml:space="preserve">We also suggest adding the following indicator which is included in the </w:t>
            </w:r>
            <w:r w:rsidRPr="00071848">
              <w:t>BIP</w:t>
            </w:r>
            <w:r>
              <w:t>/WCMC</w:t>
            </w:r>
            <w:r w:rsidRPr="00071848">
              <w:t xml:space="preserve"> indicators</w:t>
            </w:r>
            <w:r>
              <w:t xml:space="preserve"> document</w:t>
            </w:r>
            <w:r w:rsidRPr="00071848">
              <w:t>:</w:t>
            </w:r>
            <w:r>
              <w:t xml:space="preserve"> “</w:t>
            </w:r>
            <w:hyperlink r:id="rId19" w:history="1">
              <w:r w:rsidRPr="00B47AE7">
                <w:rPr>
                  <w:rStyle w:val="Hyperlink"/>
                </w:rPr>
                <w:t>Comprehensiveness of conservation of socioeconomically as well as culturally valuable species</w:t>
              </w:r>
            </w:hyperlink>
            <w:r>
              <w:t>” (responsible is</w:t>
            </w:r>
            <w:r w:rsidRPr="00071848">
              <w:t xml:space="preserve"> </w:t>
            </w:r>
            <w:r>
              <w:t>Alliance of Bioversity and CIAT,</w:t>
            </w:r>
            <w:r w:rsidRPr="00071848">
              <w:t xml:space="preserve"> </w:t>
            </w:r>
            <w:r>
              <w:t xml:space="preserve">and </w:t>
            </w:r>
            <w:r w:rsidRPr="00071848">
              <w:t>Crop Tru</w:t>
            </w:r>
            <w:r>
              <w:t>st; more info in the link).</w:t>
            </w:r>
          </w:p>
        </w:tc>
      </w:tr>
      <w:tr w:rsidR="000C3BF1" w:rsidRPr="000C0B6C" w14:paraId="18898DF1" w14:textId="77777777" w:rsidTr="4832EE42">
        <w:trPr>
          <w:trHeight w:val="224"/>
        </w:trPr>
        <w:tc>
          <w:tcPr>
            <w:tcW w:w="817" w:type="dxa"/>
          </w:tcPr>
          <w:p w14:paraId="0CC6F126" w14:textId="491782B4" w:rsidR="000C3BF1" w:rsidRDefault="000C3BF1" w:rsidP="000C3BF1">
            <w:r>
              <w:t>2</w:t>
            </w:r>
          </w:p>
        </w:tc>
        <w:tc>
          <w:tcPr>
            <w:tcW w:w="815" w:type="dxa"/>
          </w:tcPr>
          <w:p w14:paraId="471DFB7F" w14:textId="25FDFF4B" w:rsidR="000C3BF1" w:rsidRDefault="000C3BF1" w:rsidP="000C3BF1">
            <w:r>
              <w:t>19</w:t>
            </w:r>
          </w:p>
        </w:tc>
        <w:tc>
          <w:tcPr>
            <w:tcW w:w="974" w:type="dxa"/>
          </w:tcPr>
          <w:p w14:paraId="644615EB" w14:textId="1C37BA2A" w:rsidR="000C3BF1" w:rsidRDefault="000C3BF1" w:rsidP="000C3BF1">
            <w:r>
              <w:t>C</w:t>
            </w:r>
          </w:p>
        </w:tc>
        <w:tc>
          <w:tcPr>
            <w:tcW w:w="1215" w:type="dxa"/>
            <w:gridSpan w:val="2"/>
          </w:tcPr>
          <w:p w14:paraId="6FC3CFF4" w14:textId="20ED8F89" w:rsidR="000C3BF1" w:rsidRDefault="000C3BF1" w:rsidP="000C3BF1">
            <w:r>
              <w:t>115</w:t>
            </w:r>
          </w:p>
        </w:tc>
        <w:tc>
          <w:tcPr>
            <w:tcW w:w="5785" w:type="dxa"/>
          </w:tcPr>
          <w:p w14:paraId="460DBFF2" w14:textId="64F8D49F" w:rsidR="000C3BF1" w:rsidRDefault="000C3BF1" w:rsidP="000C3BF1">
            <w:pPr>
              <w:autoSpaceDE w:val="0"/>
              <w:autoSpaceDN w:val="0"/>
              <w:adjustRightInd w:val="0"/>
            </w:pPr>
            <w:r>
              <w:t xml:space="preserve">Why only food producers? This should address income of producers of all relevant species and across the value chain. </w:t>
            </w:r>
          </w:p>
        </w:tc>
      </w:tr>
      <w:tr w:rsidR="000C3BF1" w:rsidRPr="000C0B6C" w14:paraId="2596E19A" w14:textId="77777777" w:rsidTr="4832EE42">
        <w:trPr>
          <w:trHeight w:val="224"/>
        </w:trPr>
        <w:tc>
          <w:tcPr>
            <w:tcW w:w="817" w:type="dxa"/>
          </w:tcPr>
          <w:p w14:paraId="10A4DA4D" w14:textId="1FABB796" w:rsidR="000C3BF1" w:rsidRPr="000C0B6C" w:rsidRDefault="000C3BF1" w:rsidP="000C3BF1">
            <w:r>
              <w:t>2</w:t>
            </w:r>
          </w:p>
        </w:tc>
        <w:tc>
          <w:tcPr>
            <w:tcW w:w="815" w:type="dxa"/>
          </w:tcPr>
          <w:p w14:paraId="1F576A95" w14:textId="19AEB4F6" w:rsidR="000C3BF1" w:rsidRPr="000C0B6C" w:rsidRDefault="000C3BF1" w:rsidP="000C3BF1">
            <w:r>
              <w:t>20</w:t>
            </w:r>
          </w:p>
        </w:tc>
        <w:tc>
          <w:tcPr>
            <w:tcW w:w="974" w:type="dxa"/>
          </w:tcPr>
          <w:p w14:paraId="77A088DA" w14:textId="152E90A6" w:rsidR="000C3BF1" w:rsidRPr="000C0B6C" w:rsidRDefault="000C3BF1" w:rsidP="000C3BF1">
            <w:r>
              <w:t>C</w:t>
            </w:r>
          </w:p>
        </w:tc>
        <w:tc>
          <w:tcPr>
            <w:tcW w:w="1215" w:type="dxa"/>
            <w:gridSpan w:val="2"/>
          </w:tcPr>
          <w:p w14:paraId="64AF1246" w14:textId="2595C01B" w:rsidR="000C3BF1" w:rsidRPr="000C0B6C" w:rsidRDefault="000C3BF1" w:rsidP="000C3BF1">
            <w:r>
              <w:t>After 117-119</w:t>
            </w:r>
          </w:p>
        </w:tc>
        <w:tc>
          <w:tcPr>
            <w:tcW w:w="5785" w:type="dxa"/>
          </w:tcPr>
          <w:p w14:paraId="2B5CE3AB" w14:textId="7F2EEA75" w:rsidR="000C3BF1" w:rsidRPr="000C0B6C" w:rsidRDefault="000C3BF1" w:rsidP="000C3BF1">
            <w:r>
              <w:t>Target 9.1. We propose adding the indicator “</w:t>
            </w:r>
            <w:r w:rsidRPr="00B158CF">
              <w:t xml:space="preserve">Percentage of </w:t>
            </w:r>
            <w:r>
              <w:t xml:space="preserve">cropped </w:t>
            </w:r>
            <w:r w:rsidRPr="00B158CF">
              <w:t>landscapes with at least 10% natural land</w:t>
            </w:r>
            <w:r>
              <w:t xml:space="preserve">” (BIP/WCMC indicators document; 2015, annually). </w:t>
            </w:r>
          </w:p>
        </w:tc>
      </w:tr>
      <w:tr w:rsidR="000C3BF1" w:rsidRPr="000C0B6C" w14:paraId="64928F1A" w14:textId="77777777" w:rsidTr="4832EE42">
        <w:trPr>
          <w:trHeight w:val="224"/>
        </w:trPr>
        <w:tc>
          <w:tcPr>
            <w:tcW w:w="817" w:type="dxa"/>
          </w:tcPr>
          <w:p w14:paraId="1DAD2665" w14:textId="4CA198D9" w:rsidR="000C3BF1" w:rsidRDefault="000C3BF1" w:rsidP="000C3BF1">
            <w:r>
              <w:t>2</w:t>
            </w:r>
          </w:p>
        </w:tc>
        <w:tc>
          <w:tcPr>
            <w:tcW w:w="815" w:type="dxa"/>
          </w:tcPr>
          <w:p w14:paraId="16A6B002" w14:textId="18A51F87" w:rsidR="000C3BF1" w:rsidRDefault="000C3BF1" w:rsidP="000C3BF1">
            <w:r>
              <w:t>20</w:t>
            </w:r>
          </w:p>
        </w:tc>
        <w:tc>
          <w:tcPr>
            <w:tcW w:w="974" w:type="dxa"/>
          </w:tcPr>
          <w:p w14:paraId="13BB02DD" w14:textId="11B738DD" w:rsidR="000C3BF1" w:rsidRDefault="000C3BF1" w:rsidP="000C3BF1">
            <w:r>
              <w:t>C</w:t>
            </w:r>
          </w:p>
        </w:tc>
        <w:tc>
          <w:tcPr>
            <w:tcW w:w="1215" w:type="dxa"/>
            <w:gridSpan w:val="2"/>
          </w:tcPr>
          <w:p w14:paraId="08698C5D" w14:textId="1D46CF12" w:rsidR="000C3BF1" w:rsidRDefault="000C3BF1" w:rsidP="000C3BF1">
            <w:r>
              <w:t>After 117-119</w:t>
            </w:r>
          </w:p>
        </w:tc>
        <w:tc>
          <w:tcPr>
            <w:tcW w:w="5785" w:type="dxa"/>
          </w:tcPr>
          <w:p w14:paraId="543A887A" w14:textId="02E3E194" w:rsidR="000C3BF1" w:rsidRDefault="000C3BF1" w:rsidP="000C3BF1">
            <w:r>
              <w:t xml:space="preserve">Target 9.1. We suggest adding the indicator “Proportion of countries that have increased production and </w:t>
            </w:r>
            <w:r>
              <w:lastRenderedPageBreak/>
              <w:t>availability of food biodiversity with sustainable agricultural management practices”</w:t>
            </w:r>
          </w:p>
        </w:tc>
      </w:tr>
      <w:tr w:rsidR="000C3BF1" w:rsidRPr="000C0B6C" w14:paraId="7DA643F7" w14:textId="77777777" w:rsidTr="4832EE42">
        <w:trPr>
          <w:trHeight w:val="224"/>
        </w:trPr>
        <w:tc>
          <w:tcPr>
            <w:tcW w:w="817" w:type="dxa"/>
          </w:tcPr>
          <w:p w14:paraId="21C43A78" w14:textId="4E3D179D" w:rsidR="000C3BF1" w:rsidRDefault="000C3BF1" w:rsidP="000C3BF1">
            <w:r>
              <w:lastRenderedPageBreak/>
              <w:t>2</w:t>
            </w:r>
          </w:p>
        </w:tc>
        <w:tc>
          <w:tcPr>
            <w:tcW w:w="815" w:type="dxa"/>
          </w:tcPr>
          <w:p w14:paraId="0003C9B1" w14:textId="11409366" w:rsidR="000C3BF1" w:rsidRDefault="000C3BF1" w:rsidP="000C3BF1">
            <w:r>
              <w:t>20</w:t>
            </w:r>
          </w:p>
        </w:tc>
        <w:tc>
          <w:tcPr>
            <w:tcW w:w="974" w:type="dxa"/>
          </w:tcPr>
          <w:p w14:paraId="2C5D3257" w14:textId="085B331A" w:rsidR="000C3BF1" w:rsidRDefault="000C3BF1" w:rsidP="000C3BF1">
            <w:r>
              <w:t>C</w:t>
            </w:r>
          </w:p>
        </w:tc>
        <w:tc>
          <w:tcPr>
            <w:tcW w:w="1215" w:type="dxa"/>
            <w:gridSpan w:val="2"/>
          </w:tcPr>
          <w:p w14:paraId="0E60FF70" w14:textId="2EB598CE" w:rsidR="000C3BF1" w:rsidRDefault="000C3BF1" w:rsidP="000C3BF1">
            <w:r>
              <w:t>After 117-119</w:t>
            </w:r>
          </w:p>
        </w:tc>
        <w:tc>
          <w:tcPr>
            <w:tcW w:w="5785" w:type="dxa"/>
          </w:tcPr>
          <w:p w14:paraId="3A342618" w14:textId="1021A0FD" w:rsidR="000C3BF1" w:rsidRPr="00DA6B8E" w:rsidRDefault="000C3BF1" w:rsidP="000C3BF1">
            <w:pPr>
              <w:pStyle w:val="CommentText"/>
              <w:spacing w:after="160"/>
              <w:rPr>
                <w:sz w:val="24"/>
                <w:szCs w:val="24"/>
              </w:rPr>
            </w:pPr>
            <w:r w:rsidRPr="00DA6B8E">
              <w:rPr>
                <w:sz w:val="24"/>
                <w:szCs w:val="24"/>
              </w:rPr>
              <w:t xml:space="preserve">Target 9.1 We suggest adding the indicator </w:t>
            </w:r>
            <w:r>
              <w:rPr>
                <w:sz w:val="24"/>
                <w:szCs w:val="24"/>
              </w:rPr>
              <w:t>|</w:t>
            </w:r>
            <w:r w:rsidRPr="00DA6B8E">
              <w:rPr>
                <w:sz w:val="24"/>
                <w:szCs w:val="24"/>
              </w:rPr>
              <w:t>Percentage of agricultural land that is organic, including land under conversion to organic</w:t>
            </w:r>
            <w:r>
              <w:rPr>
                <w:sz w:val="24"/>
                <w:szCs w:val="24"/>
              </w:rPr>
              <w:t>”</w:t>
            </w:r>
            <w:r w:rsidRPr="00DA6B8E">
              <w:rPr>
                <w:sz w:val="24"/>
                <w:szCs w:val="24"/>
              </w:rPr>
              <w:t xml:space="preserve"> (FAOSTAT)</w:t>
            </w:r>
            <w:r>
              <w:rPr>
                <w:sz w:val="24"/>
                <w:szCs w:val="24"/>
              </w:rPr>
              <w:t>.</w:t>
            </w:r>
          </w:p>
        </w:tc>
      </w:tr>
      <w:tr w:rsidR="0064490F" w:rsidRPr="000C0B6C" w14:paraId="269E898F" w14:textId="77777777" w:rsidTr="4832EE42">
        <w:trPr>
          <w:trHeight w:val="224"/>
        </w:trPr>
        <w:tc>
          <w:tcPr>
            <w:tcW w:w="817" w:type="dxa"/>
          </w:tcPr>
          <w:p w14:paraId="566793BA" w14:textId="39D7B937" w:rsidR="0064490F" w:rsidRDefault="0064490F" w:rsidP="0064490F">
            <w:r>
              <w:t>2</w:t>
            </w:r>
          </w:p>
        </w:tc>
        <w:tc>
          <w:tcPr>
            <w:tcW w:w="815" w:type="dxa"/>
          </w:tcPr>
          <w:p w14:paraId="5E9B19F7" w14:textId="23E93A77" w:rsidR="0064490F" w:rsidRDefault="0064490F" w:rsidP="0064490F">
            <w:r>
              <w:t>20</w:t>
            </w:r>
          </w:p>
        </w:tc>
        <w:tc>
          <w:tcPr>
            <w:tcW w:w="974" w:type="dxa"/>
          </w:tcPr>
          <w:p w14:paraId="7F3FF8EF" w14:textId="4574A5A5" w:rsidR="0064490F" w:rsidRDefault="0064490F" w:rsidP="0064490F">
            <w:r>
              <w:t>C</w:t>
            </w:r>
          </w:p>
        </w:tc>
        <w:tc>
          <w:tcPr>
            <w:tcW w:w="1215" w:type="dxa"/>
            <w:gridSpan w:val="2"/>
          </w:tcPr>
          <w:p w14:paraId="543DF1B8" w14:textId="2703908C" w:rsidR="0064490F" w:rsidRDefault="0064490F" w:rsidP="0064490F">
            <w:r>
              <w:t>117-119</w:t>
            </w:r>
          </w:p>
        </w:tc>
        <w:tc>
          <w:tcPr>
            <w:tcW w:w="5785" w:type="dxa"/>
          </w:tcPr>
          <w:p w14:paraId="676EF449" w14:textId="2B0666BE" w:rsidR="0064490F" w:rsidRPr="00DA6B8E" w:rsidRDefault="0064490F" w:rsidP="0064490F">
            <w:pPr>
              <w:pStyle w:val="CommentText"/>
              <w:spacing w:after="160"/>
              <w:rPr>
                <w:sz w:val="24"/>
                <w:szCs w:val="24"/>
              </w:rPr>
            </w:pPr>
            <w:r w:rsidRPr="0064490F">
              <w:rPr>
                <w:sz w:val="24"/>
                <w:szCs w:val="24"/>
              </w:rPr>
              <w:t>Secure rights by sex, countries with legal frameworks that guarantee women’s equal rights to land (FAO LAT), as these targets relate to a key gender-biodiversity priority area (equal engagement and leadership)</w:t>
            </w:r>
          </w:p>
        </w:tc>
      </w:tr>
      <w:tr w:rsidR="0064490F" w:rsidRPr="000C0B6C" w14:paraId="66C10761" w14:textId="77777777" w:rsidTr="4832EE42">
        <w:trPr>
          <w:trHeight w:val="224"/>
        </w:trPr>
        <w:tc>
          <w:tcPr>
            <w:tcW w:w="817" w:type="dxa"/>
          </w:tcPr>
          <w:p w14:paraId="43CD1FC5" w14:textId="16450622" w:rsidR="0064490F" w:rsidRDefault="0064490F" w:rsidP="0064490F">
            <w:r>
              <w:t>2</w:t>
            </w:r>
          </w:p>
        </w:tc>
        <w:tc>
          <w:tcPr>
            <w:tcW w:w="815" w:type="dxa"/>
          </w:tcPr>
          <w:p w14:paraId="2F48AE8C" w14:textId="00EF057C" w:rsidR="0064490F" w:rsidRDefault="0064490F" w:rsidP="0064490F">
            <w:r>
              <w:t>20</w:t>
            </w:r>
          </w:p>
        </w:tc>
        <w:tc>
          <w:tcPr>
            <w:tcW w:w="974" w:type="dxa"/>
          </w:tcPr>
          <w:p w14:paraId="125CEC81" w14:textId="6CB2133A" w:rsidR="0064490F" w:rsidRDefault="0064490F" w:rsidP="0064490F">
            <w:r>
              <w:t>C</w:t>
            </w:r>
          </w:p>
        </w:tc>
        <w:tc>
          <w:tcPr>
            <w:tcW w:w="1215" w:type="dxa"/>
            <w:gridSpan w:val="2"/>
          </w:tcPr>
          <w:p w14:paraId="11E9DAD2" w14:textId="57BAC645" w:rsidR="0064490F" w:rsidRDefault="0064490F" w:rsidP="0064490F">
            <w:r>
              <w:t>120</w:t>
            </w:r>
          </w:p>
        </w:tc>
        <w:tc>
          <w:tcPr>
            <w:tcW w:w="5785" w:type="dxa"/>
          </w:tcPr>
          <w:p w14:paraId="537C687B" w14:textId="3F70179E" w:rsidR="0064490F" w:rsidRDefault="0064490F" w:rsidP="0064490F">
            <w:r>
              <w:t>Target 9.1. We suggest adding the following indicator</w:t>
            </w:r>
            <w:r w:rsidRPr="00071848">
              <w:t>:</w:t>
            </w:r>
            <w:r>
              <w:t xml:space="preserve"> “</w:t>
            </w:r>
            <w:r w:rsidRPr="00CC28CD">
              <w:t>Agricultural soil quality (soil organic C, soil biota diversity)</w:t>
            </w:r>
            <w:r>
              <w:t xml:space="preserve">”. </w:t>
            </w:r>
            <w:r w:rsidRPr="006F2465">
              <w:t>The indicator on soil quality is related to the “ecologically self-regulated” indicator of Cabell and Oelofse, 2012, as well as their “coupled with local natural capital” indicator. Further review and comment by soil specialists of the soil quality measures is recommended. (Cabell, J.F., &amp; Oelofse, M. 2012</w:t>
            </w:r>
            <w:r>
              <w:t>.</w:t>
            </w:r>
            <w:r w:rsidRPr="006F2465">
              <w:t xml:space="preserve"> An indicator framework for assessing agroecosystem resilience. Ecology and Society 17(1): 18).</w:t>
            </w:r>
          </w:p>
        </w:tc>
      </w:tr>
      <w:tr w:rsidR="0064490F" w:rsidRPr="000C0B6C" w14:paraId="6592683D" w14:textId="77777777" w:rsidTr="4832EE42">
        <w:trPr>
          <w:trHeight w:val="224"/>
        </w:trPr>
        <w:tc>
          <w:tcPr>
            <w:tcW w:w="817" w:type="dxa"/>
          </w:tcPr>
          <w:p w14:paraId="021ECB9E" w14:textId="637BBC6A" w:rsidR="0064490F" w:rsidRDefault="0064490F" w:rsidP="0064490F">
            <w:r>
              <w:t>2</w:t>
            </w:r>
          </w:p>
        </w:tc>
        <w:tc>
          <w:tcPr>
            <w:tcW w:w="815" w:type="dxa"/>
          </w:tcPr>
          <w:p w14:paraId="72760F16" w14:textId="75368F8A" w:rsidR="0064490F" w:rsidRDefault="0064490F" w:rsidP="0064490F">
            <w:r>
              <w:t>20</w:t>
            </w:r>
          </w:p>
        </w:tc>
        <w:tc>
          <w:tcPr>
            <w:tcW w:w="974" w:type="dxa"/>
          </w:tcPr>
          <w:p w14:paraId="362DC305" w14:textId="492DA24F" w:rsidR="0064490F" w:rsidRDefault="0064490F" w:rsidP="0064490F">
            <w:r>
              <w:t>C</w:t>
            </w:r>
          </w:p>
        </w:tc>
        <w:tc>
          <w:tcPr>
            <w:tcW w:w="1215" w:type="dxa"/>
            <w:gridSpan w:val="2"/>
          </w:tcPr>
          <w:p w14:paraId="149F6352" w14:textId="0BCA3021" w:rsidR="0064490F" w:rsidRDefault="0064490F" w:rsidP="0064490F">
            <w:r>
              <w:t>120</w:t>
            </w:r>
          </w:p>
        </w:tc>
        <w:tc>
          <w:tcPr>
            <w:tcW w:w="5785" w:type="dxa"/>
          </w:tcPr>
          <w:p w14:paraId="41B205B9" w14:textId="25F10CDE" w:rsidR="0064490F" w:rsidRPr="00B20863" w:rsidRDefault="0064490F" w:rsidP="0064490F">
            <w:pPr>
              <w:pStyle w:val="CommentText"/>
              <w:spacing w:after="160"/>
              <w:rPr>
                <w:lang w:val="en-CA"/>
              </w:rPr>
            </w:pPr>
            <w:r w:rsidRPr="00B20863">
              <w:rPr>
                <w:sz w:val="24"/>
                <w:szCs w:val="24"/>
              </w:rPr>
              <w:t xml:space="preserve">Target 9.1. We suggest adding the following indicator: </w:t>
            </w:r>
            <w:r>
              <w:rPr>
                <w:sz w:val="24"/>
                <w:szCs w:val="24"/>
              </w:rPr>
              <w:t>“</w:t>
            </w:r>
            <w:r w:rsidRPr="00B20863">
              <w:rPr>
                <w:sz w:val="24"/>
                <w:szCs w:val="24"/>
              </w:rPr>
              <w:t>Inverse of the Sustainable Nitrogen Management Index (</w:t>
            </w:r>
            <w:hyperlink r:id="rId20" w:history="1">
              <w:r w:rsidRPr="00B20863">
                <w:rPr>
                  <w:sz w:val="24"/>
                  <w:szCs w:val="24"/>
                </w:rPr>
                <w:t>https://epi.yale.edu/</w:t>
              </w:r>
            </w:hyperlink>
            <w:r w:rsidRPr="00B20863">
              <w:rPr>
                <w:sz w:val="24"/>
                <w:szCs w:val="24"/>
              </w:rPr>
              <w:t>)</w:t>
            </w:r>
            <w:r>
              <w:rPr>
                <w:sz w:val="24"/>
                <w:szCs w:val="24"/>
              </w:rPr>
              <w:t>”</w:t>
            </w:r>
          </w:p>
        </w:tc>
      </w:tr>
      <w:tr w:rsidR="0064490F" w:rsidRPr="000C0B6C" w14:paraId="238E5059" w14:textId="77777777" w:rsidTr="4832EE42">
        <w:trPr>
          <w:trHeight w:val="224"/>
        </w:trPr>
        <w:tc>
          <w:tcPr>
            <w:tcW w:w="817" w:type="dxa"/>
          </w:tcPr>
          <w:p w14:paraId="2859998D" w14:textId="2DBF13CD" w:rsidR="0064490F" w:rsidRPr="000C0B6C" w:rsidRDefault="0064490F" w:rsidP="0064490F">
            <w:r>
              <w:t>2</w:t>
            </w:r>
          </w:p>
        </w:tc>
        <w:tc>
          <w:tcPr>
            <w:tcW w:w="815" w:type="dxa"/>
          </w:tcPr>
          <w:p w14:paraId="10649071" w14:textId="211A4E2C" w:rsidR="0064490F" w:rsidRPr="000C0B6C" w:rsidRDefault="0064490F" w:rsidP="0064490F">
            <w:r>
              <w:t>20</w:t>
            </w:r>
          </w:p>
        </w:tc>
        <w:tc>
          <w:tcPr>
            <w:tcW w:w="974" w:type="dxa"/>
          </w:tcPr>
          <w:p w14:paraId="7D05E6D6" w14:textId="0A82AF05" w:rsidR="0064490F" w:rsidRPr="000C0B6C" w:rsidRDefault="0064490F" w:rsidP="0064490F">
            <w:r>
              <w:t>C</w:t>
            </w:r>
          </w:p>
        </w:tc>
        <w:tc>
          <w:tcPr>
            <w:tcW w:w="1215" w:type="dxa"/>
            <w:gridSpan w:val="2"/>
          </w:tcPr>
          <w:p w14:paraId="66758AE3" w14:textId="413581B0" w:rsidR="0064490F" w:rsidRPr="000C0B6C" w:rsidRDefault="0064490F" w:rsidP="0064490F">
            <w:r>
              <w:t>122</w:t>
            </w:r>
          </w:p>
        </w:tc>
        <w:tc>
          <w:tcPr>
            <w:tcW w:w="5785" w:type="dxa"/>
          </w:tcPr>
          <w:p w14:paraId="465E1D14" w14:textId="60303D98" w:rsidR="0064490F" w:rsidRPr="000C0B6C" w:rsidRDefault="0064490F" w:rsidP="0064490F">
            <w:r>
              <w:t xml:space="preserve">Target 9.1. We suggest adding the following indicator which is included in the </w:t>
            </w:r>
            <w:r w:rsidRPr="00071848">
              <w:t>BIP</w:t>
            </w:r>
            <w:r>
              <w:t>/WCMC</w:t>
            </w:r>
            <w:r w:rsidRPr="00071848">
              <w:t xml:space="preserve"> indicators</w:t>
            </w:r>
            <w:r>
              <w:t xml:space="preserve"> document</w:t>
            </w:r>
            <w:r w:rsidRPr="00071848">
              <w:t>:</w:t>
            </w:r>
            <w:r>
              <w:t xml:space="preserve"> “</w:t>
            </w:r>
            <w:hyperlink r:id="rId21" w:history="1">
              <w:r w:rsidRPr="00B47AE7">
                <w:rPr>
                  <w:rStyle w:val="Hyperlink"/>
                </w:rPr>
                <w:t>Comprehensiveness of conservation of socioeconomically as well as culturally valuable species</w:t>
              </w:r>
            </w:hyperlink>
            <w:r>
              <w:t>” (responsible is</w:t>
            </w:r>
            <w:r w:rsidRPr="00071848">
              <w:t xml:space="preserve"> </w:t>
            </w:r>
            <w:r>
              <w:t>Alliance of Bioversity and CIAT,</w:t>
            </w:r>
            <w:r w:rsidRPr="00071848">
              <w:t xml:space="preserve"> </w:t>
            </w:r>
            <w:r>
              <w:t xml:space="preserve">and </w:t>
            </w:r>
            <w:r w:rsidRPr="00071848">
              <w:t>Crop Tru</w:t>
            </w:r>
            <w:r>
              <w:t>st; more info in the link).</w:t>
            </w:r>
          </w:p>
        </w:tc>
      </w:tr>
      <w:tr w:rsidR="0064490F" w:rsidRPr="000C0B6C" w14:paraId="5FF9747D" w14:textId="77777777" w:rsidTr="4832EE42">
        <w:trPr>
          <w:trHeight w:val="224"/>
        </w:trPr>
        <w:tc>
          <w:tcPr>
            <w:tcW w:w="817" w:type="dxa"/>
          </w:tcPr>
          <w:p w14:paraId="25AD3622" w14:textId="2116A31E" w:rsidR="0064490F" w:rsidRPr="000C0B6C" w:rsidRDefault="0064490F" w:rsidP="0064490F">
            <w:r>
              <w:t>2</w:t>
            </w:r>
          </w:p>
        </w:tc>
        <w:tc>
          <w:tcPr>
            <w:tcW w:w="815" w:type="dxa"/>
          </w:tcPr>
          <w:p w14:paraId="01027AFD" w14:textId="4B9B7CC8" w:rsidR="0064490F" w:rsidRPr="000C0B6C" w:rsidRDefault="0064490F" w:rsidP="0064490F">
            <w:r>
              <w:t>20</w:t>
            </w:r>
          </w:p>
        </w:tc>
        <w:tc>
          <w:tcPr>
            <w:tcW w:w="974" w:type="dxa"/>
          </w:tcPr>
          <w:p w14:paraId="5734FE12" w14:textId="32E8E1C4" w:rsidR="0064490F" w:rsidRPr="000C0B6C" w:rsidRDefault="0064490F" w:rsidP="0064490F">
            <w:r>
              <w:t>C</w:t>
            </w:r>
          </w:p>
        </w:tc>
        <w:tc>
          <w:tcPr>
            <w:tcW w:w="1215" w:type="dxa"/>
            <w:gridSpan w:val="2"/>
          </w:tcPr>
          <w:p w14:paraId="2703E14B" w14:textId="5C681C68" w:rsidR="0064490F" w:rsidRPr="000C0B6C" w:rsidRDefault="0064490F" w:rsidP="0064490F">
            <w:r>
              <w:t>122</w:t>
            </w:r>
          </w:p>
        </w:tc>
        <w:tc>
          <w:tcPr>
            <w:tcW w:w="5785" w:type="dxa"/>
          </w:tcPr>
          <w:p w14:paraId="5AE6B6A3" w14:textId="698CE253" w:rsidR="0064490F" w:rsidRPr="000C0B6C" w:rsidRDefault="0064490F" w:rsidP="0064490F">
            <w:r>
              <w:t>Target 9.1. We suggest adding the following indicator: “</w:t>
            </w:r>
            <w:r w:rsidRPr="00CD1E06">
              <w:t>Trait diversity of crops and livestock, especially climate related responses</w:t>
            </w:r>
            <w:r>
              <w:t xml:space="preserve">”. </w:t>
            </w:r>
            <w:r w:rsidRPr="00F7259F">
              <w:t>The indicator on trait diversity relates to the indicator on “high degree of functional and response diversity” by Cabell and Oelofse, 2012. (Cabell, J.F., &amp; Oelofse, M. 2012</w:t>
            </w:r>
            <w:r>
              <w:t>.</w:t>
            </w:r>
            <w:r w:rsidRPr="00F7259F">
              <w:t xml:space="preserve"> An indicator framework for assessing agroecosystem resilience. Ecology and Society 17(1): 18).</w:t>
            </w:r>
          </w:p>
        </w:tc>
      </w:tr>
      <w:tr w:rsidR="0064490F" w:rsidRPr="000C0B6C" w14:paraId="0ECB6FBF" w14:textId="77777777" w:rsidTr="4832EE42">
        <w:trPr>
          <w:trHeight w:val="224"/>
        </w:trPr>
        <w:tc>
          <w:tcPr>
            <w:tcW w:w="817" w:type="dxa"/>
          </w:tcPr>
          <w:p w14:paraId="02CA7066" w14:textId="2D8AB201" w:rsidR="0064490F" w:rsidRDefault="0064490F" w:rsidP="0064490F">
            <w:r>
              <w:t>2</w:t>
            </w:r>
          </w:p>
        </w:tc>
        <w:tc>
          <w:tcPr>
            <w:tcW w:w="815" w:type="dxa"/>
          </w:tcPr>
          <w:p w14:paraId="2B469F0C" w14:textId="4D96F2AE" w:rsidR="0064490F" w:rsidRDefault="0064490F" w:rsidP="0064490F">
            <w:r>
              <w:t>20</w:t>
            </w:r>
          </w:p>
        </w:tc>
        <w:tc>
          <w:tcPr>
            <w:tcW w:w="974" w:type="dxa"/>
          </w:tcPr>
          <w:p w14:paraId="4F50465C" w14:textId="2B29ECE7" w:rsidR="0064490F" w:rsidRPr="000C0B6C" w:rsidRDefault="0064490F" w:rsidP="0064490F">
            <w:r>
              <w:t>C</w:t>
            </w:r>
          </w:p>
        </w:tc>
        <w:tc>
          <w:tcPr>
            <w:tcW w:w="1215" w:type="dxa"/>
            <w:gridSpan w:val="2"/>
          </w:tcPr>
          <w:p w14:paraId="55A80E56" w14:textId="32EA6915" w:rsidR="0064490F" w:rsidRDefault="0064490F" w:rsidP="0064490F">
            <w:r>
              <w:t>122</w:t>
            </w:r>
          </w:p>
        </w:tc>
        <w:tc>
          <w:tcPr>
            <w:tcW w:w="5785" w:type="dxa"/>
          </w:tcPr>
          <w:p w14:paraId="2B3AEE0F" w14:textId="1F75FA65" w:rsidR="0064490F" w:rsidRDefault="0064490F" w:rsidP="0064490F">
            <w:r>
              <w:t>Target 9.1. We suggest adding the following indicator: “</w:t>
            </w:r>
            <w:r w:rsidRPr="008B3EA6">
              <w:t>Level of production of indigenous/native food species, varieties and breeds</w:t>
            </w:r>
            <w:r>
              <w:t xml:space="preserve">”. </w:t>
            </w:r>
            <w:r w:rsidRPr="008B3EA6">
              <w:t>The indicator on indigenous/native food species, varieties and breeds relates to the indicator “honors legacy, while investing in the future” by Cabell and Oelofse, 2012, as well as the indicator “Maintenance and use of local crop varieties and animal breeds” by UNU-IAS et al., 2014 (Cabell, J.F., &amp; Oelofse, M. 2012</w:t>
            </w:r>
            <w:r>
              <w:t>.</w:t>
            </w:r>
            <w:r w:rsidRPr="008B3EA6">
              <w:t xml:space="preserve"> An indicator framework for assessing agroecosystem resilience. Ecology and Society 17(1): 18; UNU-IAS, Bioversity International, IGES, UNDP</w:t>
            </w:r>
            <w:r>
              <w:t>. 2014.</w:t>
            </w:r>
            <w:r w:rsidRPr="008B3EA6">
              <w:t xml:space="preserve"> Toolkit for </w:t>
            </w:r>
            <w:r w:rsidRPr="008B3EA6">
              <w:lastRenderedPageBreak/>
              <w:t>the indicators of resilience in socio-ecological production landscapes and seascapes (SEPLS) UNU-IAS, Tokyo, Japan).</w:t>
            </w:r>
          </w:p>
        </w:tc>
      </w:tr>
      <w:tr w:rsidR="0064490F" w:rsidRPr="000C0B6C" w14:paraId="638E36A2" w14:textId="77777777" w:rsidTr="4832EE42">
        <w:trPr>
          <w:trHeight w:val="224"/>
        </w:trPr>
        <w:tc>
          <w:tcPr>
            <w:tcW w:w="817" w:type="dxa"/>
          </w:tcPr>
          <w:p w14:paraId="7FF6C11D" w14:textId="4CC75A13" w:rsidR="0064490F" w:rsidRPr="000C0B6C" w:rsidRDefault="0064490F" w:rsidP="0064490F">
            <w:r>
              <w:lastRenderedPageBreak/>
              <w:t>2</w:t>
            </w:r>
          </w:p>
        </w:tc>
        <w:tc>
          <w:tcPr>
            <w:tcW w:w="815" w:type="dxa"/>
          </w:tcPr>
          <w:p w14:paraId="385B7058" w14:textId="16D765F1" w:rsidR="0064490F" w:rsidRPr="000C0B6C" w:rsidRDefault="0064490F" w:rsidP="0064490F">
            <w:r>
              <w:t>20</w:t>
            </w:r>
          </w:p>
        </w:tc>
        <w:tc>
          <w:tcPr>
            <w:tcW w:w="974" w:type="dxa"/>
          </w:tcPr>
          <w:p w14:paraId="26F1AEB8" w14:textId="606E9CA0" w:rsidR="0064490F" w:rsidRPr="000C0B6C" w:rsidRDefault="0064490F" w:rsidP="0064490F">
            <w:r>
              <w:t>C</w:t>
            </w:r>
          </w:p>
        </w:tc>
        <w:tc>
          <w:tcPr>
            <w:tcW w:w="1215" w:type="dxa"/>
            <w:gridSpan w:val="2"/>
          </w:tcPr>
          <w:p w14:paraId="20C89F03" w14:textId="0E7B8A4F" w:rsidR="0064490F" w:rsidRPr="000C0B6C" w:rsidRDefault="0064490F" w:rsidP="0064490F">
            <w:r>
              <w:t>125</w:t>
            </w:r>
          </w:p>
        </w:tc>
        <w:tc>
          <w:tcPr>
            <w:tcW w:w="5785" w:type="dxa"/>
          </w:tcPr>
          <w:p w14:paraId="70032FFD" w14:textId="77777777" w:rsidR="0064490F" w:rsidRDefault="0064490F" w:rsidP="0064490F">
            <w:r>
              <w:t>Forest area controlled by LCIP found to perform well and often yield more equitable benefits, include proportion of forest area under collective title (FAO/RRI)</w:t>
            </w:r>
          </w:p>
          <w:p w14:paraId="4554F6F8" w14:textId="77777777" w:rsidR="0064490F" w:rsidRDefault="0064490F" w:rsidP="0064490F"/>
          <w:p w14:paraId="4B890B95" w14:textId="67935DE2" w:rsidR="0064490F" w:rsidRPr="000C0B6C" w:rsidRDefault="0064490F" w:rsidP="0064490F">
            <w:r>
              <w:t>Add share of community-specific legal regimes with specific protections for women’s governance (voting and leadership) and inheritance rights (FAO LAT)</w:t>
            </w:r>
          </w:p>
        </w:tc>
      </w:tr>
      <w:tr w:rsidR="00D83C13" w:rsidRPr="000C0B6C" w14:paraId="413FEE45" w14:textId="77777777" w:rsidTr="4832EE42">
        <w:trPr>
          <w:trHeight w:val="224"/>
        </w:trPr>
        <w:tc>
          <w:tcPr>
            <w:tcW w:w="817" w:type="dxa"/>
          </w:tcPr>
          <w:p w14:paraId="7241DD73" w14:textId="48D9673F" w:rsidR="00D83C13" w:rsidRDefault="00D83C13" w:rsidP="00D83C13">
            <w:r>
              <w:t>2</w:t>
            </w:r>
          </w:p>
        </w:tc>
        <w:tc>
          <w:tcPr>
            <w:tcW w:w="815" w:type="dxa"/>
          </w:tcPr>
          <w:p w14:paraId="63D96668" w14:textId="575AC2E9" w:rsidR="00D83C13" w:rsidRDefault="00D83C13" w:rsidP="00D83C13">
            <w:r>
              <w:t>22</w:t>
            </w:r>
          </w:p>
        </w:tc>
        <w:tc>
          <w:tcPr>
            <w:tcW w:w="974" w:type="dxa"/>
          </w:tcPr>
          <w:p w14:paraId="263A97B2" w14:textId="4FF45B7B" w:rsidR="00D83C13" w:rsidRDefault="00D83C13" w:rsidP="00D83C13">
            <w:r>
              <w:t>B, C</w:t>
            </w:r>
          </w:p>
        </w:tc>
        <w:tc>
          <w:tcPr>
            <w:tcW w:w="1215" w:type="dxa"/>
            <w:gridSpan w:val="2"/>
          </w:tcPr>
          <w:p w14:paraId="30DA616E" w14:textId="6C665AAB" w:rsidR="00D83C13" w:rsidRDefault="00D83C13" w:rsidP="00D83C13">
            <w:r>
              <w:t>133</w:t>
            </w:r>
          </w:p>
        </w:tc>
        <w:tc>
          <w:tcPr>
            <w:tcW w:w="5785" w:type="dxa"/>
          </w:tcPr>
          <w:p w14:paraId="44D883AA" w14:textId="7735537C" w:rsidR="00D83C13" w:rsidRDefault="00D83C13" w:rsidP="00D83C13">
            <w:r w:rsidRPr="00D83C13">
              <w:t>Trends in species that provide essential HEALTH services to women and men from different socio-economic groups.</w:t>
            </w:r>
          </w:p>
        </w:tc>
      </w:tr>
      <w:tr w:rsidR="00D83C13" w:rsidRPr="000C0B6C" w14:paraId="4B3FCD73" w14:textId="77777777" w:rsidTr="4832EE42">
        <w:trPr>
          <w:trHeight w:val="224"/>
        </w:trPr>
        <w:tc>
          <w:tcPr>
            <w:tcW w:w="817" w:type="dxa"/>
          </w:tcPr>
          <w:p w14:paraId="115725E2" w14:textId="33A4C49E" w:rsidR="00D83C13" w:rsidRDefault="00D83C13" w:rsidP="00D83C13">
            <w:r>
              <w:t>2</w:t>
            </w:r>
          </w:p>
        </w:tc>
        <w:tc>
          <w:tcPr>
            <w:tcW w:w="815" w:type="dxa"/>
          </w:tcPr>
          <w:p w14:paraId="5754FEC1" w14:textId="5317AD3A" w:rsidR="00D83C13" w:rsidRDefault="00D83C13" w:rsidP="00D83C13">
            <w:r>
              <w:t>22</w:t>
            </w:r>
          </w:p>
        </w:tc>
        <w:tc>
          <w:tcPr>
            <w:tcW w:w="974" w:type="dxa"/>
          </w:tcPr>
          <w:p w14:paraId="72BE2008" w14:textId="4E5D5D04" w:rsidR="00D83C13" w:rsidRDefault="00D83C13" w:rsidP="00D83C13">
            <w:r>
              <w:t>B, C</w:t>
            </w:r>
          </w:p>
        </w:tc>
        <w:tc>
          <w:tcPr>
            <w:tcW w:w="1215" w:type="dxa"/>
            <w:gridSpan w:val="2"/>
          </w:tcPr>
          <w:p w14:paraId="02DFBEA8" w14:textId="6EC63F36" w:rsidR="00D83C13" w:rsidRDefault="00D83C13" w:rsidP="00D83C13">
            <w:r>
              <w:t>133-139</w:t>
            </w:r>
          </w:p>
        </w:tc>
        <w:tc>
          <w:tcPr>
            <w:tcW w:w="5785" w:type="dxa"/>
          </w:tcPr>
          <w:p w14:paraId="5CA1EE4C" w14:textId="1E27111D" w:rsidR="00D83C13" w:rsidRPr="00D83C13" w:rsidRDefault="00D83C13" w:rsidP="00D83C13">
            <w:r w:rsidRPr="00D83C13">
              <w:t>What is meant by well-being should be unpacked and captured in relevant sex-disaggregated indicators. Current focus seems to be on health, which does not equate with well-being.</w:t>
            </w:r>
          </w:p>
        </w:tc>
      </w:tr>
      <w:tr w:rsidR="00D83C13" w:rsidRPr="000C0B6C" w14:paraId="7F456D51" w14:textId="77777777" w:rsidTr="4832EE42">
        <w:trPr>
          <w:trHeight w:val="224"/>
        </w:trPr>
        <w:tc>
          <w:tcPr>
            <w:tcW w:w="817" w:type="dxa"/>
          </w:tcPr>
          <w:p w14:paraId="066DA43E" w14:textId="54F3C870" w:rsidR="00D83C13" w:rsidRDefault="00D83C13" w:rsidP="00D83C13">
            <w:r>
              <w:t>2</w:t>
            </w:r>
          </w:p>
        </w:tc>
        <w:tc>
          <w:tcPr>
            <w:tcW w:w="815" w:type="dxa"/>
          </w:tcPr>
          <w:p w14:paraId="3742A28F" w14:textId="275D4881" w:rsidR="00D83C13" w:rsidRDefault="00D83C13" w:rsidP="00D83C13">
            <w:r>
              <w:t>22-25</w:t>
            </w:r>
          </w:p>
        </w:tc>
        <w:tc>
          <w:tcPr>
            <w:tcW w:w="974" w:type="dxa"/>
          </w:tcPr>
          <w:p w14:paraId="12631F18" w14:textId="40B35235" w:rsidR="00D83C13" w:rsidRDefault="00D83C13" w:rsidP="00D83C13">
            <w:r>
              <w:t>B</w:t>
            </w:r>
          </w:p>
        </w:tc>
        <w:tc>
          <w:tcPr>
            <w:tcW w:w="1215" w:type="dxa"/>
            <w:gridSpan w:val="2"/>
          </w:tcPr>
          <w:p w14:paraId="7FAC98B5" w14:textId="3A6590D3" w:rsidR="00D83C13" w:rsidRDefault="00D83C13" w:rsidP="00D83C13">
            <w:r>
              <w:t>140-151</w:t>
            </w:r>
          </w:p>
        </w:tc>
        <w:tc>
          <w:tcPr>
            <w:tcW w:w="5785" w:type="dxa"/>
          </w:tcPr>
          <w:p w14:paraId="6D94E032" w14:textId="77777777" w:rsidR="00D83C13" w:rsidRDefault="00D83C13" w:rsidP="00D83C13">
            <w:r>
              <w:t xml:space="preserve">In order to ensure equitable access to benefits, targets must be aligned with SDG1 and 5 indicators aimed at enhancing gender-equitable access and control over land and other resources. </w:t>
            </w:r>
          </w:p>
          <w:p w14:paraId="0369C7E4" w14:textId="77777777" w:rsidR="00D83C13" w:rsidRDefault="00D83C13" w:rsidP="00D83C13"/>
          <w:p w14:paraId="1B6B526A" w14:textId="0C2634B2" w:rsidR="00D83C13" w:rsidRPr="00D83C13" w:rsidRDefault="00D83C13" w:rsidP="00D83C13">
            <w:r>
              <w:t>Also consider share of countries with mandatory 1/3 gender quota in resource use groups (or all publicly elected bodies).</w:t>
            </w:r>
          </w:p>
        </w:tc>
      </w:tr>
      <w:tr w:rsidR="00591C07" w:rsidRPr="000C0B6C" w14:paraId="659DA287" w14:textId="77777777" w:rsidTr="4832EE42">
        <w:trPr>
          <w:trHeight w:val="224"/>
        </w:trPr>
        <w:tc>
          <w:tcPr>
            <w:tcW w:w="817" w:type="dxa"/>
          </w:tcPr>
          <w:p w14:paraId="66AC4184" w14:textId="29C4B5C7" w:rsidR="00591C07" w:rsidRDefault="00591C07" w:rsidP="00591C07">
            <w:r>
              <w:t>2</w:t>
            </w:r>
          </w:p>
        </w:tc>
        <w:tc>
          <w:tcPr>
            <w:tcW w:w="815" w:type="dxa"/>
          </w:tcPr>
          <w:p w14:paraId="795A53C5" w14:textId="7A7E4CE9" w:rsidR="00591C07" w:rsidRDefault="00591C07" w:rsidP="00591C07">
            <w:r>
              <w:t>27</w:t>
            </w:r>
          </w:p>
        </w:tc>
        <w:tc>
          <w:tcPr>
            <w:tcW w:w="974" w:type="dxa"/>
          </w:tcPr>
          <w:p w14:paraId="194C9F36" w14:textId="5A597AA2" w:rsidR="00591C07" w:rsidRDefault="00591C07" w:rsidP="00591C07">
            <w:r>
              <w:t>B</w:t>
            </w:r>
          </w:p>
        </w:tc>
        <w:tc>
          <w:tcPr>
            <w:tcW w:w="1215" w:type="dxa"/>
            <w:gridSpan w:val="2"/>
          </w:tcPr>
          <w:p w14:paraId="2B848ACC" w14:textId="35C27996" w:rsidR="00591C07" w:rsidRDefault="00591C07" w:rsidP="00591C07">
            <w:r>
              <w:t>159-161</w:t>
            </w:r>
          </w:p>
        </w:tc>
        <w:tc>
          <w:tcPr>
            <w:tcW w:w="5785" w:type="dxa"/>
          </w:tcPr>
          <w:p w14:paraId="16CD8615" w14:textId="0AA56CF6" w:rsidR="00591C07" w:rsidRDefault="00591C07" w:rsidP="00591C07">
            <w:r w:rsidRPr="00591C07">
              <w:t>Consider also trends in gender-responsive policies; indicator to be based on established frameworks for assessing gender-integration in policies.</w:t>
            </w:r>
          </w:p>
        </w:tc>
      </w:tr>
      <w:tr w:rsidR="00591C07" w:rsidRPr="000C0B6C" w14:paraId="5E8061BF" w14:textId="77777777" w:rsidTr="4832EE42">
        <w:trPr>
          <w:trHeight w:val="224"/>
        </w:trPr>
        <w:tc>
          <w:tcPr>
            <w:tcW w:w="817" w:type="dxa"/>
          </w:tcPr>
          <w:p w14:paraId="0E09FEC4" w14:textId="7E32CA3A" w:rsidR="00591C07" w:rsidRPr="000C0B6C" w:rsidRDefault="00591C07" w:rsidP="00591C07">
            <w:r>
              <w:t>2</w:t>
            </w:r>
          </w:p>
        </w:tc>
        <w:tc>
          <w:tcPr>
            <w:tcW w:w="815" w:type="dxa"/>
          </w:tcPr>
          <w:p w14:paraId="307F5EF9" w14:textId="76E4E34B" w:rsidR="00591C07" w:rsidRPr="000C0B6C" w:rsidRDefault="00591C07" w:rsidP="00591C07">
            <w:r>
              <w:t>22</w:t>
            </w:r>
          </w:p>
        </w:tc>
        <w:tc>
          <w:tcPr>
            <w:tcW w:w="974" w:type="dxa"/>
          </w:tcPr>
          <w:p w14:paraId="216B5206" w14:textId="4F1B0126" w:rsidR="00591C07" w:rsidRPr="000C0B6C" w:rsidRDefault="00591C07" w:rsidP="00591C07">
            <w:r>
              <w:t>C</w:t>
            </w:r>
          </w:p>
        </w:tc>
        <w:tc>
          <w:tcPr>
            <w:tcW w:w="1215" w:type="dxa"/>
            <w:gridSpan w:val="2"/>
          </w:tcPr>
          <w:p w14:paraId="2D36624F" w14:textId="5CDAC095" w:rsidR="00591C07" w:rsidRPr="000C0B6C" w:rsidRDefault="00591C07" w:rsidP="00591C07">
            <w:r>
              <w:t>143</w:t>
            </w:r>
          </w:p>
        </w:tc>
        <w:tc>
          <w:tcPr>
            <w:tcW w:w="5785" w:type="dxa"/>
          </w:tcPr>
          <w:p w14:paraId="1A663809" w14:textId="10301F63" w:rsidR="00591C07" w:rsidRPr="0026640D" w:rsidRDefault="00591C07" w:rsidP="00591C07">
            <w:pPr>
              <w:rPr>
                <w:highlight w:val="yellow"/>
              </w:rPr>
            </w:pPr>
            <w:r>
              <w:t xml:space="preserve">Target 12.1 </w:t>
            </w:r>
            <w:r w:rsidRPr="002A0150">
              <w:t>This indicator seems redundant in light of the monitoring element below "Trends in number of countries that have adopted legislative or administrative ..." So it could be deleted, or it could be cut and pasted down to be an indicator for that monitoring element.</w:t>
            </w:r>
          </w:p>
        </w:tc>
      </w:tr>
      <w:tr w:rsidR="00591C07" w:rsidRPr="000C0B6C" w14:paraId="2ED03C78" w14:textId="77777777" w:rsidTr="4832EE42">
        <w:trPr>
          <w:trHeight w:val="224"/>
        </w:trPr>
        <w:tc>
          <w:tcPr>
            <w:tcW w:w="817" w:type="dxa"/>
          </w:tcPr>
          <w:p w14:paraId="6EACD91B" w14:textId="69B98F48" w:rsidR="00591C07" w:rsidRPr="000C0B6C" w:rsidRDefault="00591C07" w:rsidP="00591C07">
            <w:r>
              <w:t>2</w:t>
            </w:r>
          </w:p>
        </w:tc>
        <w:tc>
          <w:tcPr>
            <w:tcW w:w="815" w:type="dxa"/>
          </w:tcPr>
          <w:p w14:paraId="7811CF8D" w14:textId="7EE1DAF6" w:rsidR="00591C07" w:rsidRPr="000C0B6C" w:rsidRDefault="00591C07" w:rsidP="00591C07">
            <w:r>
              <w:t>23</w:t>
            </w:r>
          </w:p>
        </w:tc>
        <w:tc>
          <w:tcPr>
            <w:tcW w:w="974" w:type="dxa"/>
          </w:tcPr>
          <w:p w14:paraId="5E54400B" w14:textId="573ECB22" w:rsidR="00591C07" w:rsidRPr="000C0B6C" w:rsidRDefault="00591C07" w:rsidP="00591C07">
            <w:r>
              <w:t>C</w:t>
            </w:r>
          </w:p>
        </w:tc>
        <w:tc>
          <w:tcPr>
            <w:tcW w:w="1215" w:type="dxa"/>
            <w:gridSpan w:val="2"/>
          </w:tcPr>
          <w:p w14:paraId="6129CE85" w14:textId="1C93C71A" w:rsidR="00591C07" w:rsidRPr="000C0B6C" w:rsidRDefault="00591C07" w:rsidP="00591C07">
            <w:r>
              <w:t>144</w:t>
            </w:r>
          </w:p>
        </w:tc>
        <w:tc>
          <w:tcPr>
            <w:tcW w:w="5785" w:type="dxa"/>
          </w:tcPr>
          <w:p w14:paraId="1BE4AD12" w14:textId="0341A20B" w:rsidR="00591C07" w:rsidRPr="000C0B6C" w:rsidRDefault="00591C07" w:rsidP="00591C07">
            <w:r>
              <w:t xml:space="preserve">Target 12.1 </w:t>
            </w:r>
            <w:r w:rsidRPr="00991B9B">
              <w:t>This indicator seems redundant in light of the monitoring element below "Trends in number of countries that have adopted legislative or administrative ..." So it could be deleted, or it could be cut and pasted down to be an indicator for that monitoring element.</w:t>
            </w:r>
          </w:p>
        </w:tc>
      </w:tr>
      <w:tr w:rsidR="00591C07" w:rsidRPr="000C0B6C" w14:paraId="05AEEA64" w14:textId="77777777" w:rsidTr="4832EE42">
        <w:trPr>
          <w:trHeight w:val="224"/>
        </w:trPr>
        <w:tc>
          <w:tcPr>
            <w:tcW w:w="817" w:type="dxa"/>
          </w:tcPr>
          <w:p w14:paraId="05AC9287" w14:textId="1474CD8D" w:rsidR="00591C07" w:rsidRPr="000C0B6C" w:rsidRDefault="00591C07" w:rsidP="00591C07">
            <w:r>
              <w:t>2</w:t>
            </w:r>
          </w:p>
        </w:tc>
        <w:tc>
          <w:tcPr>
            <w:tcW w:w="815" w:type="dxa"/>
          </w:tcPr>
          <w:p w14:paraId="487DEABB" w14:textId="3BF746AE" w:rsidR="00591C07" w:rsidRPr="000C0B6C" w:rsidRDefault="00591C07" w:rsidP="00591C07">
            <w:r>
              <w:t>23</w:t>
            </w:r>
          </w:p>
        </w:tc>
        <w:tc>
          <w:tcPr>
            <w:tcW w:w="974" w:type="dxa"/>
          </w:tcPr>
          <w:p w14:paraId="21A2EFC9" w14:textId="185F55F5" w:rsidR="00591C07" w:rsidRPr="000C0B6C" w:rsidRDefault="00591C07" w:rsidP="00591C07">
            <w:r>
              <w:t>C</w:t>
            </w:r>
          </w:p>
        </w:tc>
        <w:tc>
          <w:tcPr>
            <w:tcW w:w="1215" w:type="dxa"/>
            <w:gridSpan w:val="2"/>
          </w:tcPr>
          <w:p w14:paraId="02D5C26C" w14:textId="169DDD12" w:rsidR="00591C07" w:rsidRPr="000C0B6C" w:rsidRDefault="00591C07" w:rsidP="00591C07">
            <w:r>
              <w:t>145</w:t>
            </w:r>
          </w:p>
        </w:tc>
        <w:tc>
          <w:tcPr>
            <w:tcW w:w="5785" w:type="dxa"/>
          </w:tcPr>
          <w:p w14:paraId="5D9058E3" w14:textId="07F22B29" w:rsidR="00591C07" w:rsidRPr="000C0B6C" w:rsidRDefault="00591C07" w:rsidP="00591C07">
            <w:r>
              <w:t xml:space="preserve">Target 12.1 </w:t>
            </w:r>
            <w:r w:rsidRPr="00533AF9">
              <w:t>This indicator seems redundant in light of the monitoring element below "Trends in number of countries that have adopted legislative or administrative ..." So it could be deleted, or it could be cut and pasted down to be an indicator for that monitoring element.</w:t>
            </w:r>
          </w:p>
        </w:tc>
      </w:tr>
      <w:tr w:rsidR="00591C07" w:rsidRPr="000C0B6C" w14:paraId="72E6BB88" w14:textId="77777777" w:rsidTr="4832EE42">
        <w:trPr>
          <w:trHeight w:val="224"/>
        </w:trPr>
        <w:tc>
          <w:tcPr>
            <w:tcW w:w="817" w:type="dxa"/>
          </w:tcPr>
          <w:p w14:paraId="2262B45B" w14:textId="1081AABB" w:rsidR="00591C07" w:rsidRPr="000C0B6C" w:rsidRDefault="00591C07" w:rsidP="00591C07">
            <w:r>
              <w:t>2</w:t>
            </w:r>
          </w:p>
        </w:tc>
        <w:tc>
          <w:tcPr>
            <w:tcW w:w="815" w:type="dxa"/>
          </w:tcPr>
          <w:p w14:paraId="3FADB91C" w14:textId="0ADF1A9F" w:rsidR="00591C07" w:rsidRPr="000C0B6C" w:rsidRDefault="00591C07" w:rsidP="00591C07">
            <w:r>
              <w:t>23</w:t>
            </w:r>
          </w:p>
        </w:tc>
        <w:tc>
          <w:tcPr>
            <w:tcW w:w="974" w:type="dxa"/>
          </w:tcPr>
          <w:p w14:paraId="06A34DE7" w14:textId="2C0CFF75" w:rsidR="00591C07" w:rsidRPr="000C0B6C" w:rsidRDefault="00591C07" w:rsidP="00591C07">
            <w:r>
              <w:t>B</w:t>
            </w:r>
          </w:p>
        </w:tc>
        <w:tc>
          <w:tcPr>
            <w:tcW w:w="1215" w:type="dxa"/>
            <w:gridSpan w:val="2"/>
          </w:tcPr>
          <w:p w14:paraId="41F04B85" w14:textId="405EDB20" w:rsidR="00591C07" w:rsidRPr="000C0B6C" w:rsidRDefault="00591C07" w:rsidP="00591C07">
            <w:r>
              <w:t>After 145</w:t>
            </w:r>
          </w:p>
        </w:tc>
        <w:tc>
          <w:tcPr>
            <w:tcW w:w="5785" w:type="dxa"/>
          </w:tcPr>
          <w:p w14:paraId="3A8DF46D" w14:textId="342160EC" w:rsidR="00591C07" w:rsidRPr="000C0B6C" w:rsidRDefault="00591C07" w:rsidP="00591C07">
            <w:r>
              <w:t>Target 12.1 We suggest adding a Monitoring element as follow: “</w:t>
            </w:r>
            <w:r w:rsidRPr="003D1C63">
              <w:t xml:space="preserve">Increase in </w:t>
            </w:r>
            <w:r>
              <w:t>genetic resources</w:t>
            </w:r>
            <w:r w:rsidRPr="003D1C63">
              <w:t xml:space="preserve"> available under internationally and nationally agreed ABS rules</w:t>
            </w:r>
            <w:r>
              <w:t>”</w:t>
            </w:r>
          </w:p>
        </w:tc>
      </w:tr>
      <w:tr w:rsidR="00591C07" w:rsidRPr="000C0B6C" w14:paraId="0DAAE811" w14:textId="77777777" w:rsidTr="4832EE42">
        <w:trPr>
          <w:trHeight w:val="224"/>
        </w:trPr>
        <w:tc>
          <w:tcPr>
            <w:tcW w:w="817" w:type="dxa"/>
          </w:tcPr>
          <w:p w14:paraId="18B54A9E" w14:textId="0B6F6DA2" w:rsidR="00591C07" w:rsidRPr="000C0B6C" w:rsidRDefault="00591C07" w:rsidP="00591C07">
            <w:r>
              <w:t>2</w:t>
            </w:r>
          </w:p>
        </w:tc>
        <w:tc>
          <w:tcPr>
            <w:tcW w:w="815" w:type="dxa"/>
          </w:tcPr>
          <w:p w14:paraId="7DFC4CC3" w14:textId="0426FFE0" w:rsidR="00591C07" w:rsidRPr="000C0B6C" w:rsidRDefault="00591C07" w:rsidP="00591C07">
            <w:r>
              <w:t>23</w:t>
            </w:r>
          </w:p>
        </w:tc>
        <w:tc>
          <w:tcPr>
            <w:tcW w:w="974" w:type="dxa"/>
          </w:tcPr>
          <w:p w14:paraId="5319CBFA" w14:textId="6732E1EE" w:rsidR="00591C07" w:rsidRPr="000C0B6C" w:rsidRDefault="00591C07" w:rsidP="00591C07">
            <w:r>
              <w:t>C</w:t>
            </w:r>
          </w:p>
        </w:tc>
        <w:tc>
          <w:tcPr>
            <w:tcW w:w="1215" w:type="dxa"/>
            <w:gridSpan w:val="2"/>
          </w:tcPr>
          <w:p w14:paraId="1FB30878" w14:textId="1EACE091" w:rsidR="00591C07" w:rsidRPr="000C0B6C" w:rsidRDefault="00591C07" w:rsidP="00591C07">
            <w:r>
              <w:t>After 145</w:t>
            </w:r>
          </w:p>
        </w:tc>
        <w:tc>
          <w:tcPr>
            <w:tcW w:w="5785" w:type="dxa"/>
          </w:tcPr>
          <w:p w14:paraId="3C5D359A" w14:textId="1683AA5F" w:rsidR="00591C07" w:rsidRDefault="00591C07" w:rsidP="00591C07">
            <w:r>
              <w:t xml:space="preserve">Target 12.1 We suggest to add the two following indicators to measure the monitoring element proposed </w:t>
            </w:r>
            <w:r>
              <w:lastRenderedPageBreak/>
              <w:t>above: “</w:t>
            </w:r>
            <w:r w:rsidRPr="003A72C8">
              <w:t>Numbers of plant genetic resources available under the ABS conditions established by the Plant Treaty (based on formal notifications to the Plant Treaty's Governing Body and which is available on the Plant Treaty's Global Information System and the FAO’s World information and early warning system (WIEWS) on Plant Genetic Resources</w:t>
            </w:r>
            <w:r>
              <w:t xml:space="preserve"> </w:t>
            </w:r>
            <w:r w:rsidRPr="003A72C8">
              <w:t>for Food and Agriculture</w:t>
            </w:r>
            <w:r>
              <w:t xml:space="preserve">”. </w:t>
            </w:r>
            <w:r w:rsidRPr="00253C35">
              <w:t>This figure is actively tracked and published by the Plant Treaty Secretariat and the FAO CGRFA Secretariat</w:t>
            </w:r>
            <w:r>
              <w:t>.</w:t>
            </w:r>
          </w:p>
          <w:p w14:paraId="3258A47C" w14:textId="105CE6CC" w:rsidR="00591C07" w:rsidRPr="000C0B6C" w:rsidRDefault="00591C07" w:rsidP="00591C07">
            <w:r>
              <w:t>And: “</w:t>
            </w:r>
            <w:r w:rsidRPr="009013A1">
              <w:t>Numbers of genetic resources which contracting parties and/or stakeholders have notified CBD C</w:t>
            </w:r>
            <w:r>
              <w:t xml:space="preserve">learing </w:t>
            </w:r>
            <w:r w:rsidRPr="009013A1">
              <w:t>H</w:t>
            </w:r>
            <w:r>
              <w:t xml:space="preserve">ouse </w:t>
            </w:r>
            <w:r w:rsidRPr="009013A1">
              <w:t>M</w:t>
            </w:r>
            <w:r>
              <w:t>echanism</w:t>
            </w:r>
            <w:r w:rsidRPr="009013A1">
              <w:t xml:space="preserve"> are potentially available under national ABS conditions (including those implementing the Nagoya Protocol</w:t>
            </w:r>
            <w:r>
              <w:t xml:space="preserve">)”. </w:t>
            </w:r>
            <w:r w:rsidRPr="009013A1">
              <w:t>This practice does not yet exist, but could be encouraged, perhaps through a decision of the CBD/COP when adopting the Post 2020 framework. One of the motivations behind community biodiversity registration projects is to know what a community has in its control that it may be willing to provide access to, providing they are able to agree upon ABS terms with the access-seeking party</w:t>
            </w:r>
            <w:r>
              <w:t xml:space="preserve">. </w:t>
            </w:r>
          </w:p>
        </w:tc>
      </w:tr>
      <w:tr w:rsidR="00591C07" w:rsidRPr="000C0B6C" w14:paraId="3C155952" w14:textId="77777777" w:rsidTr="4832EE42">
        <w:trPr>
          <w:trHeight w:val="224"/>
        </w:trPr>
        <w:tc>
          <w:tcPr>
            <w:tcW w:w="817" w:type="dxa"/>
          </w:tcPr>
          <w:p w14:paraId="70957E6F" w14:textId="6D2D37FC" w:rsidR="00591C07" w:rsidRPr="000C0B6C" w:rsidRDefault="00591C07" w:rsidP="00591C07">
            <w:r>
              <w:lastRenderedPageBreak/>
              <w:t>2</w:t>
            </w:r>
          </w:p>
        </w:tc>
        <w:tc>
          <w:tcPr>
            <w:tcW w:w="815" w:type="dxa"/>
          </w:tcPr>
          <w:p w14:paraId="32205340" w14:textId="27EFA5C7" w:rsidR="00591C07" w:rsidRPr="000C0B6C" w:rsidRDefault="00591C07" w:rsidP="00591C07">
            <w:r>
              <w:t>24</w:t>
            </w:r>
          </w:p>
        </w:tc>
        <w:tc>
          <w:tcPr>
            <w:tcW w:w="974" w:type="dxa"/>
          </w:tcPr>
          <w:p w14:paraId="1D267985" w14:textId="2FB77891" w:rsidR="00591C07" w:rsidRPr="000C0B6C" w:rsidRDefault="00591C07" w:rsidP="00591C07">
            <w:r>
              <w:t>C</w:t>
            </w:r>
          </w:p>
        </w:tc>
        <w:tc>
          <w:tcPr>
            <w:tcW w:w="1215" w:type="dxa"/>
            <w:gridSpan w:val="2"/>
          </w:tcPr>
          <w:p w14:paraId="6810B0CA" w14:textId="69D411C3" w:rsidR="00591C07" w:rsidRPr="000C0B6C" w:rsidRDefault="00591C07" w:rsidP="00591C07">
            <w:r>
              <w:t>146</w:t>
            </w:r>
          </w:p>
        </w:tc>
        <w:tc>
          <w:tcPr>
            <w:tcW w:w="5785" w:type="dxa"/>
          </w:tcPr>
          <w:p w14:paraId="753F89C2" w14:textId="52D1C187" w:rsidR="00591C07" w:rsidRPr="000735A0" w:rsidRDefault="00591C07" w:rsidP="00591C07">
            <w:pPr>
              <w:pStyle w:val="xmsonormal"/>
            </w:pPr>
            <w:r>
              <w:t>Target 12.2 We suggest adding the following indicators f</w:t>
            </w:r>
            <w:r w:rsidRPr="001D1777">
              <w:t xml:space="preserve">or monetary benefit sharing: 1. </w:t>
            </w:r>
            <w:r>
              <w:t>“</w:t>
            </w:r>
            <w:r w:rsidRPr="00A26C03">
              <w:rPr>
                <w:rFonts w:eastAsia="Times New Roman"/>
              </w:rPr>
              <w:t>Amount of money included in the Plant Treaty’s Benefit-sharing fund (BSF)</w:t>
            </w:r>
            <w:r>
              <w:t xml:space="preserve">”. Comment: </w:t>
            </w:r>
            <w:r w:rsidRPr="000735A0">
              <w:t>The Benefit-</w:t>
            </w:r>
            <w:r>
              <w:t>S</w:t>
            </w:r>
            <w:r w:rsidRPr="000735A0">
              <w:t xml:space="preserve">haring Fund of the Plant Treaty, as per its current operational manual adopted by the Governing Body, has two sources of income:  </w:t>
            </w:r>
          </w:p>
          <w:p w14:paraId="2194BE0E" w14:textId="77777777" w:rsidR="00591C07" w:rsidRPr="000735A0" w:rsidRDefault="00591C07" w:rsidP="00591C07">
            <w:pPr>
              <w:pStyle w:val="xmsonormal"/>
            </w:pPr>
            <w:r w:rsidRPr="000735A0">
              <w:t>-User-based income from the Multilateral System for Access and Benefit-sharing;</w:t>
            </w:r>
          </w:p>
          <w:p w14:paraId="624BEC2F" w14:textId="77777777" w:rsidR="00591C07" w:rsidRPr="000735A0" w:rsidRDefault="00591C07" w:rsidP="00591C07">
            <w:pPr>
              <w:pStyle w:val="xmsonormal"/>
            </w:pPr>
            <w:r w:rsidRPr="000735A0">
              <w:t>-Voluntary contributions from Contracting Parties and others.</w:t>
            </w:r>
          </w:p>
          <w:p w14:paraId="4861433F" w14:textId="77777777" w:rsidR="00591C07" w:rsidRDefault="00591C07" w:rsidP="00591C07">
            <w:pPr>
              <w:pStyle w:val="xmsonormal"/>
            </w:pPr>
          </w:p>
          <w:p w14:paraId="635B2E8A" w14:textId="7D4B2CDC" w:rsidR="00591C07" w:rsidRPr="000C0B6C" w:rsidRDefault="00591C07" w:rsidP="00591C07">
            <w:pPr>
              <w:pStyle w:val="xmsonormal"/>
            </w:pPr>
            <w:r w:rsidRPr="001D1777">
              <w:t>2.</w:t>
            </w:r>
            <w:r>
              <w:t xml:space="preserve"> “N</w:t>
            </w:r>
            <w:r w:rsidRPr="001D1777">
              <w:t>umber of ABS agreements with monetary benefit sharing clauses</w:t>
            </w:r>
            <w:r>
              <w:t>” (</w:t>
            </w:r>
            <w:r w:rsidRPr="001D1777">
              <w:t>not including names of parties to the agreements</w:t>
            </w:r>
            <w:r>
              <w:t>)</w:t>
            </w:r>
            <w:r w:rsidRPr="001D1777">
              <w:t xml:space="preserve">. </w:t>
            </w:r>
            <w:r>
              <w:t xml:space="preserve">Comment: </w:t>
            </w:r>
            <w:r w:rsidRPr="001D1777">
              <w:t xml:space="preserve">No </w:t>
            </w:r>
            <w:r w:rsidRPr="00753C11">
              <w:t>such mechanism exists (like the Plant Treaty’s BSF) under the CBD/NP</w:t>
            </w:r>
            <w:r>
              <w:rPr>
                <w:rFonts w:ascii="Calibri" w:hAnsi="Calibri" w:cs="Calibri"/>
                <w:color w:val="000000"/>
                <w:sz w:val="16"/>
                <w:szCs w:val="16"/>
              </w:rPr>
              <w:t xml:space="preserve"> </w:t>
            </w:r>
            <w:r w:rsidRPr="001D1777">
              <w:t xml:space="preserve">mechanism </w:t>
            </w:r>
            <w:r>
              <w:t>but t</w:t>
            </w:r>
            <w:r w:rsidRPr="00E94D35">
              <w:t>he CBD/COP could encourage contracting parties to share non-confidential information about monetary benefit sharing through ABS agreements concluded with people/orgs in their own jurisdictions.</w:t>
            </w:r>
            <w:r w:rsidRPr="001D1777">
              <w:t xml:space="preserve"> </w:t>
            </w:r>
          </w:p>
        </w:tc>
      </w:tr>
      <w:tr w:rsidR="00591C07" w:rsidRPr="000C0B6C" w14:paraId="67335DF0" w14:textId="77777777" w:rsidTr="4832EE42">
        <w:trPr>
          <w:trHeight w:val="224"/>
        </w:trPr>
        <w:tc>
          <w:tcPr>
            <w:tcW w:w="817" w:type="dxa"/>
          </w:tcPr>
          <w:p w14:paraId="1A107BED" w14:textId="7113B17C" w:rsidR="00591C07" w:rsidRPr="000C0B6C" w:rsidRDefault="00591C07" w:rsidP="00591C07">
            <w:r>
              <w:t>2</w:t>
            </w:r>
          </w:p>
        </w:tc>
        <w:tc>
          <w:tcPr>
            <w:tcW w:w="815" w:type="dxa"/>
          </w:tcPr>
          <w:p w14:paraId="056F0479" w14:textId="03FC2397" w:rsidR="00591C07" w:rsidRPr="000C0B6C" w:rsidRDefault="00591C07" w:rsidP="00591C07">
            <w:r>
              <w:t>24</w:t>
            </w:r>
          </w:p>
        </w:tc>
        <w:tc>
          <w:tcPr>
            <w:tcW w:w="974" w:type="dxa"/>
          </w:tcPr>
          <w:p w14:paraId="0F0B537A" w14:textId="3259143D" w:rsidR="00591C07" w:rsidRPr="000C0B6C" w:rsidRDefault="00591C07" w:rsidP="00591C07">
            <w:r>
              <w:t>C</w:t>
            </w:r>
          </w:p>
        </w:tc>
        <w:tc>
          <w:tcPr>
            <w:tcW w:w="1215" w:type="dxa"/>
            <w:gridSpan w:val="2"/>
          </w:tcPr>
          <w:p w14:paraId="408E27AB" w14:textId="55E22DAD" w:rsidR="00591C07" w:rsidRPr="000C0B6C" w:rsidRDefault="00591C07" w:rsidP="00591C07">
            <w:r>
              <w:t>146</w:t>
            </w:r>
          </w:p>
        </w:tc>
        <w:tc>
          <w:tcPr>
            <w:tcW w:w="5785" w:type="dxa"/>
          </w:tcPr>
          <w:p w14:paraId="28949560" w14:textId="624D4FC8" w:rsidR="00591C07" w:rsidRPr="000C0B6C" w:rsidRDefault="00591C07" w:rsidP="00591C07">
            <w:r>
              <w:t>Target 12.2 We suggest adding the following indicators f</w:t>
            </w:r>
            <w:r w:rsidRPr="001D1777">
              <w:t xml:space="preserve">or </w:t>
            </w:r>
            <w:r w:rsidRPr="005E1B8A">
              <w:t>non-monetary benefit sharing:</w:t>
            </w:r>
            <w:r>
              <w:t xml:space="preserve"> m</w:t>
            </w:r>
            <w:r w:rsidRPr="005E1B8A">
              <w:t>etrics to be agreed by CBD/COP in the future.</w:t>
            </w:r>
            <w:r>
              <w:t xml:space="preserve"> </w:t>
            </w:r>
            <w:r w:rsidRPr="0069691F">
              <w:t xml:space="preserve">In the resolution adopting the Post 2020 </w:t>
            </w:r>
            <w:r>
              <w:t>F</w:t>
            </w:r>
            <w:r w:rsidRPr="0069691F">
              <w:t>ramework, the CBD/COP could initiate activity to develop metrics for measuring/monitoring relevant non-monetary benefits, in consultation with other relevant MEAs, including the Plant Treaty</w:t>
            </w:r>
            <w:r>
              <w:t>.</w:t>
            </w:r>
          </w:p>
        </w:tc>
      </w:tr>
      <w:tr w:rsidR="00591C07" w:rsidRPr="000C0B6C" w14:paraId="714D1F94" w14:textId="77777777" w:rsidTr="4832EE42">
        <w:trPr>
          <w:trHeight w:val="224"/>
        </w:trPr>
        <w:tc>
          <w:tcPr>
            <w:tcW w:w="817" w:type="dxa"/>
          </w:tcPr>
          <w:p w14:paraId="38A7A6C4" w14:textId="69BA5BB0" w:rsidR="00591C07" w:rsidRPr="000C0B6C" w:rsidRDefault="00591C07" w:rsidP="00591C07">
            <w:r>
              <w:lastRenderedPageBreak/>
              <w:t>2</w:t>
            </w:r>
          </w:p>
        </w:tc>
        <w:tc>
          <w:tcPr>
            <w:tcW w:w="815" w:type="dxa"/>
          </w:tcPr>
          <w:p w14:paraId="12B57A3C" w14:textId="4DE14C98" w:rsidR="00591C07" w:rsidRPr="000C0B6C" w:rsidRDefault="00591C07" w:rsidP="00591C07">
            <w:r>
              <w:t>24</w:t>
            </w:r>
          </w:p>
        </w:tc>
        <w:tc>
          <w:tcPr>
            <w:tcW w:w="974" w:type="dxa"/>
          </w:tcPr>
          <w:p w14:paraId="571EF8C8" w14:textId="57444A8B" w:rsidR="00591C07" w:rsidRPr="000C0B6C" w:rsidRDefault="00591C07" w:rsidP="00591C07">
            <w:r>
              <w:t>C</w:t>
            </w:r>
          </w:p>
        </w:tc>
        <w:tc>
          <w:tcPr>
            <w:tcW w:w="1215" w:type="dxa"/>
            <w:gridSpan w:val="2"/>
          </w:tcPr>
          <w:p w14:paraId="5A3AF835" w14:textId="333B8978" w:rsidR="00591C07" w:rsidRPr="000C0B6C" w:rsidRDefault="00591C07" w:rsidP="00591C07">
            <w:r>
              <w:t>147</w:t>
            </w:r>
          </w:p>
        </w:tc>
        <w:tc>
          <w:tcPr>
            <w:tcW w:w="5785" w:type="dxa"/>
          </w:tcPr>
          <w:p w14:paraId="2350E425" w14:textId="5DD5E7CC" w:rsidR="00591C07" w:rsidRPr="000C0B6C" w:rsidRDefault="00591C07" w:rsidP="00591C07">
            <w:r>
              <w:t xml:space="preserve">Target 12.2 </w:t>
            </w:r>
            <w:r w:rsidRPr="00FC3668">
              <w:t>It is important to have information about national measures implementing the Plant Treaty as well. But countries are not required to share that information through the ABS Clearing House Mechanism</w:t>
            </w:r>
            <w:r>
              <w:t xml:space="preserve"> (CHM)</w:t>
            </w:r>
            <w:r w:rsidRPr="00FC3668">
              <w:t>.  Two possible solutions: one is to encourage countries to voluntarily share that info through the ABS CHM.  The other is to simply add the phrase "and to the Plant Treaty's Governing Body" to the end of the indicator after "reported to the ABS Clearing-House"</w:t>
            </w:r>
            <w:r>
              <w:t>.</w:t>
            </w:r>
          </w:p>
        </w:tc>
      </w:tr>
      <w:tr w:rsidR="00591C07" w:rsidRPr="000C0B6C" w14:paraId="3B2382AB" w14:textId="77777777" w:rsidTr="4832EE42">
        <w:trPr>
          <w:trHeight w:val="224"/>
        </w:trPr>
        <w:tc>
          <w:tcPr>
            <w:tcW w:w="817" w:type="dxa"/>
          </w:tcPr>
          <w:p w14:paraId="36C15D30" w14:textId="6EF58D85" w:rsidR="00591C07" w:rsidRPr="000C0B6C" w:rsidRDefault="00591C07" w:rsidP="00591C07">
            <w:r>
              <w:t>2</w:t>
            </w:r>
          </w:p>
        </w:tc>
        <w:tc>
          <w:tcPr>
            <w:tcW w:w="815" w:type="dxa"/>
          </w:tcPr>
          <w:p w14:paraId="3320CDFC" w14:textId="74C8A5A1" w:rsidR="00591C07" w:rsidRPr="000C0B6C" w:rsidRDefault="00591C07" w:rsidP="00591C07">
            <w:r>
              <w:t>24</w:t>
            </w:r>
          </w:p>
        </w:tc>
        <w:tc>
          <w:tcPr>
            <w:tcW w:w="974" w:type="dxa"/>
          </w:tcPr>
          <w:p w14:paraId="0C8B0455" w14:textId="50870494" w:rsidR="00591C07" w:rsidRPr="000C0B6C" w:rsidRDefault="00591C07" w:rsidP="00591C07">
            <w:r>
              <w:t>C</w:t>
            </w:r>
          </w:p>
        </w:tc>
        <w:tc>
          <w:tcPr>
            <w:tcW w:w="1215" w:type="dxa"/>
            <w:gridSpan w:val="2"/>
          </w:tcPr>
          <w:p w14:paraId="4C31E4CE" w14:textId="712336AD" w:rsidR="00591C07" w:rsidRPr="000C0B6C" w:rsidRDefault="00591C07" w:rsidP="00591C07">
            <w:r>
              <w:t>After 148</w:t>
            </w:r>
          </w:p>
        </w:tc>
        <w:tc>
          <w:tcPr>
            <w:tcW w:w="5785" w:type="dxa"/>
          </w:tcPr>
          <w:p w14:paraId="312387F5" w14:textId="51CE00EC" w:rsidR="00591C07" w:rsidRPr="000C0B6C" w:rsidRDefault="00591C07" w:rsidP="00591C07">
            <w:r>
              <w:t>Target 12.2 We suggest adding the following indicators: 1. “</w:t>
            </w:r>
            <w:r w:rsidRPr="00EF3040">
              <w:t>Number of countries that have ratified the Plant Treaty and the Nagoya Protocol</w:t>
            </w:r>
            <w:r>
              <w:t>”; 2. “</w:t>
            </w:r>
            <w:r w:rsidRPr="00531283">
              <w:t>Number of IPLCs that have developed biodiversity community protocols or other tools for engaging in ABS regimes as either providers or recipients and/or the number of national level implementation mechanisms that formally recognize IPLC protocols</w:t>
            </w:r>
            <w:r>
              <w:t xml:space="preserve">” and 3. </w:t>
            </w:r>
            <w:r w:rsidRPr="00A34A2E">
              <w:t xml:space="preserve">Number of countries that have integrated ABS within national development strategies and plans including NBSAPs, NAPAs, NAPs, national poverty alleviation plans, national agriculture development plans, etc. </w:t>
            </w:r>
            <w:r w:rsidRPr="00DE6059">
              <w:t>From Alliance ABS paper</w:t>
            </w:r>
            <w:r>
              <w:t xml:space="preserve"> </w:t>
            </w:r>
            <w:hyperlink r:id="rId22" w:tgtFrame="_blank" w:history="1">
              <w:r>
                <w:rPr>
                  <w:rStyle w:val="normaltextrun"/>
                  <w:rFonts w:ascii="Calibri" w:hAnsi="Calibri" w:cs="Calibri"/>
                  <w:color w:val="0563C1"/>
                  <w:sz w:val="22"/>
                  <w:szCs w:val="22"/>
                  <w:u w:val="single"/>
                  <w:shd w:val="clear" w:color="auto" w:fill="FFFFFF"/>
                  <w:lang w:val="es-CO"/>
                </w:rPr>
                <w:t>https://www.cbd.int/api/v2013/documents/2009F679-F104-6CD7-961E-AF2C44CE5618/attachments/CGIAR.pdf</w:t>
              </w:r>
            </w:hyperlink>
            <w:r>
              <w:rPr>
                <w:rStyle w:val="normaltextrun"/>
                <w:rFonts w:ascii="Calibri" w:hAnsi="Calibri" w:cs="Calibri"/>
                <w:sz w:val="22"/>
                <w:szCs w:val="22"/>
                <w:shd w:val="clear" w:color="auto" w:fill="FFFFFF"/>
                <w:lang w:val="es-CO"/>
              </w:rPr>
              <w:t>  </w:t>
            </w:r>
            <w:r>
              <w:rPr>
                <w:rStyle w:val="eop"/>
                <w:rFonts w:ascii="Calibri" w:hAnsi="Calibri" w:cs="Calibri"/>
                <w:sz w:val="22"/>
                <w:szCs w:val="22"/>
                <w:shd w:val="clear" w:color="auto" w:fill="FFFFFF"/>
              </w:rPr>
              <w:t> </w:t>
            </w:r>
          </w:p>
        </w:tc>
      </w:tr>
      <w:tr w:rsidR="00591C07" w:rsidRPr="000C0B6C" w14:paraId="6CE88C70" w14:textId="77777777" w:rsidTr="4832EE42">
        <w:trPr>
          <w:trHeight w:val="224"/>
        </w:trPr>
        <w:tc>
          <w:tcPr>
            <w:tcW w:w="817" w:type="dxa"/>
          </w:tcPr>
          <w:p w14:paraId="5C58AA98" w14:textId="665E6BCB" w:rsidR="00591C07" w:rsidRPr="000C0B6C" w:rsidRDefault="00591C07" w:rsidP="00591C07">
            <w:r>
              <w:t>2</w:t>
            </w:r>
          </w:p>
        </w:tc>
        <w:tc>
          <w:tcPr>
            <w:tcW w:w="815" w:type="dxa"/>
          </w:tcPr>
          <w:p w14:paraId="50956634" w14:textId="537EDA88" w:rsidR="00591C07" w:rsidRPr="000C0B6C" w:rsidRDefault="00591C07" w:rsidP="00591C07">
            <w:r>
              <w:t>24</w:t>
            </w:r>
          </w:p>
        </w:tc>
        <w:tc>
          <w:tcPr>
            <w:tcW w:w="974" w:type="dxa"/>
          </w:tcPr>
          <w:p w14:paraId="0E7EC2B1" w14:textId="449262D5" w:rsidR="00591C07" w:rsidRPr="000C0B6C" w:rsidRDefault="00591C07" w:rsidP="00591C07">
            <w:r>
              <w:t>C</w:t>
            </w:r>
          </w:p>
        </w:tc>
        <w:tc>
          <w:tcPr>
            <w:tcW w:w="1215" w:type="dxa"/>
            <w:gridSpan w:val="2"/>
          </w:tcPr>
          <w:p w14:paraId="2FFFC60F" w14:textId="46E009A5" w:rsidR="00591C07" w:rsidRPr="000C0B6C" w:rsidRDefault="00591C07" w:rsidP="00591C07">
            <w:r>
              <w:t>150</w:t>
            </w:r>
          </w:p>
        </w:tc>
        <w:tc>
          <w:tcPr>
            <w:tcW w:w="5785" w:type="dxa"/>
          </w:tcPr>
          <w:p w14:paraId="025E0B6A" w14:textId="1FDC8F8F" w:rsidR="00591C07" w:rsidRPr="000C0B6C" w:rsidRDefault="00591C07" w:rsidP="00591C07">
            <w:r>
              <w:t xml:space="preserve">Target 12.3 </w:t>
            </w:r>
            <w:r w:rsidRPr="005F6610">
              <w:t>Here again, as above, it might be useful to monitor the numbers of communities that have adopted biocultural community protocols that address access to their TK, and to monitor the number of countries that include recognition of those protocols in their national ABS laws</w:t>
            </w:r>
            <w:r>
              <w:t>.</w:t>
            </w:r>
          </w:p>
        </w:tc>
      </w:tr>
      <w:tr w:rsidR="00591C07" w:rsidRPr="000C0B6C" w14:paraId="78784B57" w14:textId="77777777" w:rsidTr="4832EE42">
        <w:trPr>
          <w:trHeight w:val="224"/>
        </w:trPr>
        <w:tc>
          <w:tcPr>
            <w:tcW w:w="817" w:type="dxa"/>
          </w:tcPr>
          <w:p w14:paraId="5C586C43" w14:textId="21F2A1C7" w:rsidR="00591C07" w:rsidRPr="000C0B6C" w:rsidRDefault="00591C07" w:rsidP="00591C07">
            <w:r>
              <w:t>2</w:t>
            </w:r>
          </w:p>
        </w:tc>
        <w:tc>
          <w:tcPr>
            <w:tcW w:w="815" w:type="dxa"/>
          </w:tcPr>
          <w:p w14:paraId="473E2546" w14:textId="32D1990E" w:rsidR="00591C07" w:rsidRPr="000C0B6C" w:rsidRDefault="00591C07" w:rsidP="00591C07">
            <w:r>
              <w:t>25</w:t>
            </w:r>
          </w:p>
        </w:tc>
        <w:tc>
          <w:tcPr>
            <w:tcW w:w="974" w:type="dxa"/>
          </w:tcPr>
          <w:p w14:paraId="3628CD97" w14:textId="051317C6" w:rsidR="00591C07" w:rsidRPr="000C0B6C" w:rsidRDefault="00591C07" w:rsidP="00591C07">
            <w:r>
              <w:t>C</w:t>
            </w:r>
          </w:p>
        </w:tc>
        <w:tc>
          <w:tcPr>
            <w:tcW w:w="1215" w:type="dxa"/>
            <w:gridSpan w:val="2"/>
          </w:tcPr>
          <w:p w14:paraId="5663E78E" w14:textId="2A2936C5" w:rsidR="00591C07" w:rsidRPr="000C0B6C" w:rsidRDefault="00591C07" w:rsidP="00591C07">
            <w:r>
              <w:t>After 152-153</w:t>
            </w:r>
          </w:p>
        </w:tc>
        <w:tc>
          <w:tcPr>
            <w:tcW w:w="5785" w:type="dxa"/>
          </w:tcPr>
          <w:p w14:paraId="3CE9E496" w14:textId="7653D522" w:rsidR="00591C07" w:rsidRPr="006B5679" w:rsidRDefault="00591C07" w:rsidP="00591C07">
            <w:pPr>
              <w:autoSpaceDE w:val="0"/>
              <w:autoSpaceDN w:val="0"/>
              <w:adjustRightInd w:val="0"/>
            </w:pPr>
            <w:r>
              <w:t xml:space="preserve">Target 13.1. </w:t>
            </w:r>
            <w:r w:rsidRPr="006B5679">
              <w:t>We propose to apply the commitment</w:t>
            </w:r>
            <w:r>
              <w:t xml:space="preserve"> </w:t>
            </w:r>
            <w:r w:rsidRPr="006B5679">
              <w:t xml:space="preserve">analysis of the ABD Index to create indicators that facilitate monitoring progress towards T13.1. </w:t>
            </w:r>
          </w:p>
          <w:p w14:paraId="5028E708" w14:textId="092469BF" w:rsidR="00591C07" w:rsidRPr="006B5679" w:rsidRDefault="00591C07" w:rsidP="00591C07">
            <w:pPr>
              <w:autoSpaceDE w:val="0"/>
              <w:autoSpaceDN w:val="0"/>
              <w:adjustRightInd w:val="0"/>
            </w:pPr>
            <w:r w:rsidRPr="006B5679">
              <w:t xml:space="preserve">The commitment analysis consists in text-mining national legal documentation (e.g. legislation, policies and strategies) to identify what key words related to agrobiodiversity are mentioned. The list of key words has been compiled based on an extensive expert review for the Agrobiodiversity Index case but it can be easily adapted and adjusted for monitoring progress towards T13.1. The text mined sentences containing the selected keywords list is then classified to reflect the level of commitment such as just mentioning or up to tangible and time-abounded efforts. More information on the method available at: </w:t>
            </w:r>
            <w:hyperlink r:id="rId23" w:history="1">
              <w:r w:rsidRPr="006B5679">
                <w:t>https://www.mdpi.com/2071-1050/12/2/715</w:t>
              </w:r>
            </w:hyperlink>
            <w:r w:rsidRPr="006B5679">
              <w:t>.</w:t>
            </w:r>
          </w:p>
          <w:p w14:paraId="51B71A49" w14:textId="04F07E40" w:rsidR="00591C07" w:rsidRPr="000C0B6C" w:rsidRDefault="00591C07" w:rsidP="00591C07">
            <w:pPr>
              <w:autoSpaceDE w:val="0"/>
              <w:autoSpaceDN w:val="0"/>
              <w:adjustRightInd w:val="0"/>
            </w:pPr>
            <w:r w:rsidRPr="006B5679">
              <w:t>The commitment methodology of the ABD Index can be applied to different sectors or goals. Responsible: Alliance of Bioversity International and CIAT.</w:t>
            </w:r>
          </w:p>
        </w:tc>
      </w:tr>
      <w:tr w:rsidR="00591C07" w:rsidRPr="000C0B6C" w14:paraId="00F9BAE0" w14:textId="77777777" w:rsidTr="4832EE42">
        <w:trPr>
          <w:trHeight w:val="224"/>
        </w:trPr>
        <w:tc>
          <w:tcPr>
            <w:tcW w:w="817" w:type="dxa"/>
          </w:tcPr>
          <w:p w14:paraId="0DC1D425" w14:textId="5167DBD3" w:rsidR="00591C07" w:rsidRPr="000C0B6C" w:rsidRDefault="00591C07" w:rsidP="00591C07">
            <w:r>
              <w:lastRenderedPageBreak/>
              <w:t>2</w:t>
            </w:r>
          </w:p>
        </w:tc>
        <w:tc>
          <w:tcPr>
            <w:tcW w:w="815" w:type="dxa"/>
          </w:tcPr>
          <w:p w14:paraId="5FF449E2" w14:textId="0F03CD73" w:rsidR="00591C07" w:rsidRPr="000C0B6C" w:rsidRDefault="00591C07" w:rsidP="00591C07">
            <w:r>
              <w:t>26</w:t>
            </w:r>
          </w:p>
        </w:tc>
        <w:tc>
          <w:tcPr>
            <w:tcW w:w="974" w:type="dxa"/>
          </w:tcPr>
          <w:p w14:paraId="39C35704" w14:textId="1155BE39" w:rsidR="00591C07" w:rsidRPr="000C0B6C" w:rsidRDefault="00591C07" w:rsidP="00591C07">
            <w:r>
              <w:t>C</w:t>
            </w:r>
          </w:p>
        </w:tc>
        <w:tc>
          <w:tcPr>
            <w:tcW w:w="1215" w:type="dxa"/>
            <w:gridSpan w:val="2"/>
          </w:tcPr>
          <w:p w14:paraId="15EE0E38" w14:textId="504AC70F" w:rsidR="00591C07" w:rsidRPr="000C0B6C" w:rsidRDefault="00591C07" w:rsidP="00591C07">
            <w:r>
              <w:t>157</w:t>
            </w:r>
          </w:p>
        </w:tc>
        <w:tc>
          <w:tcPr>
            <w:tcW w:w="5785" w:type="dxa"/>
          </w:tcPr>
          <w:p w14:paraId="68A4450C" w14:textId="207B4642" w:rsidR="00591C07" w:rsidRPr="007E2DE7" w:rsidRDefault="00591C07" w:rsidP="00591C07">
            <w:pPr>
              <w:rPr>
                <w:b/>
                <w:bCs/>
              </w:rPr>
            </w:pPr>
            <w:r>
              <w:t xml:space="preserve">Target 13.2. We suggest adding the indicator: “Number of countries implementing the </w:t>
            </w:r>
            <w:r w:rsidRPr="00D12B66">
              <w:rPr>
                <w:i/>
                <w:iCs/>
              </w:rPr>
              <w:t>Voluntary Guidelines on Mainstreaming Biodiversity into Policies, Programmes and National and Regional Plans of Action on Nutrition</w:t>
            </w:r>
            <w:r>
              <w:t xml:space="preserve"> and </w:t>
            </w:r>
            <w:r w:rsidRPr="00D12B66">
              <w:rPr>
                <w:i/>
                <w:iCs/>
              </w:rPr>
              <w:t>Voluntary Guidelines on Food Systems and Nutrition</w:t>
            </w:r>
            <w:r>
              <w:t xml:space="preserve"> (to be endorsed by CFS in 2020), as well as other relevant instruments, tools and voluntary guidelines for transforming food systems”</w:t>
            </w:r>
          </w:p>
        </w:tc>
      </w:tr>
      <w:tr w:rsidR="00591C07" w:rsidRPr="000C0B6C" w14:paraId="7AEC6FF0" w14:textId="77777777" w:rsidTr="4832EE42">
        <w:trPr>
          <w:trHeight w:val="224"/>
        </w:trPr>
        <w:tc>
          <w:tcPr>
            <w:tcW w:w="817" w:type="dxa"/>
          </w:tcPr>
          <w:p w14:paraId="0782CADE" w14:textId="2F66F93B" w:rsidR="00591C07" w:rsidRPr="000C0B6C" w:rsidRDefault="00591C07" w:rsidP="00591C07">
            <w:r>
              <w:t>2</w:t>
            </w:r>
          </w:p>
        </w:tc>
        <w:tc>
          <w:tcPr>
            <w:tcW w:w="815" w:type="dxa"/>
          </w:tcPr>
          <w:p w14:paraId="3FAD4F90" w14:textId="421203A3" w:rsidR="00591C07" w:rsidRPr="000C0B6C" w:rsidRDefault="00591C07" w:rsidP="00591C07">
            <w:r>
              <w:t>26</w:t>
            </w:r>
          </w:p>
        </w:tc>
        <w:tc>
          <w:tcPr>
            <w:tcW w:w="974" w:type="dxa"/>
          </w:tcPr>
          <w:p w14:paraId="76D20D08" w14:textId="234AC4FC" w:rsidR="00591C07" w:rsidRPr="000C0B6C" w:rsidRDefault="00591C07" w:rsidP="00591C07">
            <w:r>
              <w:t>C</w:t>
            </w:r>
          </w:p>
        </w:tc>
        <w:tc>
          <w:tcPr>
            <w:tcW w:w="1215" w:type="dxa"/>
            <w:gridSpan w:val="2"/>
          </w:tcPr>
          <w:p w14:paraId="734AD999" w14:textId="3A76E8FA" w:rsidR="00591C07" w:rsidRPr="000C0B6C" w:rsidRDefault="00591C07" w:rsidP="00591C07">
            <w:r>
              <w:t>157</w:t>
            </w:r>
          </w:p>
        </w:tc>
        <w:tc>
          <w:tcPr>
            <w:tcW w:w="5785" w:type="dxa"/>
          </w:tcPr>
          <w:p w14:paraId="198ABFCA" w14:textId="42499BCE" w:rsidR="00591C07" w:rsidRPr="000C0B6C" w:rsidRDefault="00591C07" w:rsidP="00591C07">
            <w:r>
              <w:t>Target 13.2. We suggest adding the indicator: “Number of countries that have mainstreamed biodiversity for food and nutrition into relevant national development strategies and plans including National Biodiversity Strategy and Action Plans (NBSAPs), Multi-sectoral Nutrition Plans, National Agricultural Plans, National Climate Change Adaptation Programmes of Action (NAPAs) and National Climate Change Adaptation Plans (NAPs) and other relevant national development strategies and plans”</w:t>
            </w:r>
          </w:p>
        </w:tc>
      </w:tr>
      <w:tr w:rsidR="00591C07" w:rsidRPr="000C0B6C" w14:paraId="27D198DD" w14:textId="77777777" w:rsidTr="4832EE42">
        <w:trPr>
          <w:trHeight w:val="224"/>
        </w:trPr>
        <w:tc>
          <w:tcPr>
            <w:tcW w:w="817" w:type="dxa"/>
          </w:tcPr>
          <w:p w14:paraId="5B8F35EF" w14:textId="29CB44DB" w:rsidR="00591C07" w:rsidRPr="000C0B6C" w:rsidRDefault="00591C07" w:rsidP="00591C07">
            <w:r>
              <w:t>2</w:t>
            </w:r>
          </w:p>
        </w:tc>
        <w:tc>
          <w:tcPr>
            <w:tcW w:w="815" w:type="dxa"/>
          </w:tcPr>
          <w:p w14:paraId="2014F375" w14:textId="761D5E32" w:rsidR="00591C07" w:rsidRPr="000C0B6C" w:rsidRDefault="00591C07" w:rsidP="00591C07">
            <w:r>
              <w:t>27</w:t>
            </w:r>
          </w:p>
        </w:tc>
        <w:tc>
          <w:tcPr>
            <w:tcW w:w="974" w:type="dxa"/>
          </w:tcPr>
          <w:p w14:paraId="5ECC9CFA" w14:textId="5FB39FCB" w:rsidR="00591C07" w:rsidRPr="000C0B6C" w:rsidRDefault="00591C07" w:rsidP="00591C07">
            <w:r>
              <w:t>C</w:t>
            </w:r>
          </w:p>
        </w:tc>
        <w:tc>
          <w:tcPr>
            <w:tcW w:w="1215" w:type="dxa"/>
            <w:gridSpan w:val="2"/>
          </w:tcPr>
          <w:p w14:paraId="6AAF1BFA" w14:textId="090623DD" w:rsidR="00591C07" w:rsidRPr="000C0B6C" w:rsidRDefault="00591C07" w:rsidP="00591C07">
            <w:r>
              <w:t>159</w:t>
            </w:r>
          </w:p>
        </w:tc>
        <w:tc>
          <w:tcPr>
            <w:tcW w:w="5785" w:type="dxa"/>
          </w:tcPr>
          <w:p w14:paraId="4B9A8517" w14:textId="77777777" w:rsidR="00591C07" w:rsidRPr="006B5679" w:rsidRDefault="00591C07" w:rsidP="00591C07">
            <w:pPr>
              <w:autoSpaceDE w:val="0"/>
              <w:autoSpaceDN w:val="0"/>
              <w:adjustRightInd w:val="0"/>
            </w:pPr>
            <w:r>
              <w:t xml:space="preserve">Target 13.3. </w:t>
            </w:r>
            <w:r w:rsidRPr="006B5679">
              <w:t>We propose to apply the commitment</w:t>
            </w:r>
            <w:r>
              <w:t xml:space="preserve"> </w:t>
            </w:r>
            <w:r w:rsidRPr="006B5679">
              <w:t xml:space="preserve">analysis of the ABD Index to create indicators that facilitate monitoring progress towards T13.3. </w:t>
            </w:r>
          </w:p>
          <w:p w14:paraId="01F098DA" w14:textId="641A4D1C" w:rsidR="00591C07" w:rsidRPr="006B5679" w:rsidRDefault="00591C07" w:rsidP="00591C07">
            <w:pPr>
              <w:autoSpaceDE w:val="0"/>
              <w:autoSpaceDN w:val="0"/>
              <w:adjustRightInd w:val="0"/>
            </w:pPr>
            <w:r w:rsidRPr="006B5679">
              <w:t xml:space="preserve">The commitment analysis consists in text-mining national legal documentation (e.g. legislation, policies and strategies) to identify what key words related to agrobiodiversity are mentioned. The list of key words has been compiled based on an extensive expert review for the Agrobiodiversity Index case, but it can be easily adapted and adjusted for monitoring progress towards T13.3. The text mined sentences containing the selected keywords list is then classified to reflect the level of commitment such as just mentioning or up to tangible and time-abounded efforts. More information on the method available at: </w:t>
            </w:r>
            <w:hyperlink r:id="rId24" w:history="1">
              <w:r w:rsidRPr="006B5679">
                <w:t>https://www.mdpi.com/2071-1050/12/2/715</w:t>
              </w:r>
            </w:hyperlink>
            <w:r w:rsidRPr="006B5679">
              <w:t>.</w:t>
            </w:r>
          </w:p>
          <w:p w14:paraId="0624A057" w14:textId="77777777" w:rsidR="00591C07" w:rsidRPr="000C0B6C" w:rsidRDefault="00591C07" w:rsidP="00591C07">
            <w:r w:rsidRPr="006B5679">
              <w:t>The commitment methodology of the ABD Index can be applied to different sectors or goals. Responsible: Alliance of Bioversity International and CIAT.</w:t>
            </w:r>
          </w:p>
          <w:p w14:paraId="5AD13B02" w14:textId="77777777" w:rsidR="00591C07" w:rsidRPr="000C0B6C" w:rsidRDefault="00591C07" w:rsidP="00591C07"/>
        </w:tc>
      </w:tr>
      <w:tr w:rsidR="00591C07" w:rsidRPr="000C0B6C" w14:paraId="703EB00B" w14:textId="77777777" w:rsidTr="4832EE42">
        <w:trPr>
          <w:trHeight w:val="224"/>
        </w:trPr>
        <w:tc>
          <w:tcPr>
            <w:tcW w:w="817" w:type="dxa"/>
          </w:tcPr>
          <w:p w14:paraId="21C153CF" w14:textId="542723DA" w:rsidR="00591C07" w:rsidRPr="000C0B6C" w:rsidRDefault="00591C07" w:rsidP="00591C07">
            <w:r>
              <w:t>2</w:t>
            </w:r>
          </w:p>
        </w:tc>
        <w:tc>
          <w:tcPr>
            <w:tcW w:w="815" w:type="dxa"/>
          </w:tcPr>
          <w:p w14:paraId="10B8FBED" w14:textId="54175236" w:rsidR="00591C07" w:rsidRPr="000C0B6C" w:rsidRDefault="00591C07" w:rsidP="00591C07">
            <w:r>
              <w:t>31</w:t>
            </w:r>
          </w:p>
        </w:tc>
        <w:tc>
          <w:tcPr>
            <w:tcW w:w="974" w:type="dxa"/>
          </w:tcPr>
          <w:p w14:paraId="23A570C4" w14:textId="32785204" w:rsidR="00591C07" w:rsidRPr="000C0B6C" w:rsidRDefault="00591C07" w:rsidP="00591C07">
            <w:r>
              <w:t>C</w:t>
            </w:r>
          </w:p>
        </w:tc>
        <w:tc>
          <w:tcPr>
            <w:tcW w:w="1215" w:type="dxa"/>
            <w:gridSpan w:val="2"/>
          </w:tcPr>
          <w:p w14:paraId="1CE3D57D" w14:textId="539FBF3C" w:rsidR="00591C07" w:rsidRPr="000C0B6C" w:rsidRDefault="00591C07" w:rsidP="00591C07">
            <w:r>
              <w:t>187</w:t>
            </w:r>
          </w:p>
        </w:tc>
        <w:tc>
          <w:tcPr>
            <w:tcW w:w="5785" w:type="dxa"/>
          </w:tcPr>
          <w:p w14:paraId="6B81DE6B" w14:textId="273AEC4B" w:rsidR="00591C07" w:rsidRPr="000C0B6C" w:rsidRDefault="00591C07" w:rsidP="00591C07">
            <w:r>
              <w:t>Target 15.1. We suggest adding the indicator: “</w:t>
            </w:r>
            <w:r w:rsidRPr="00FB4FA8">
              <w:t>N</w:t>
            </w:r>
            <w:r>
              <w:t>umber</w:t>
            </w:r>
            <w:r w:rsidRPr="00FB4FA8">
              <w:t xml:space="preserve"> of new markets developed for food biodiverse products with high nutritional value, including more nutritious convenience foods based on biodiverse products</w:t>
            </w:r>
            <w:r>
              <w:t>”</w:t>
            </w:r>
          </w:p>
        </w:tc>
      </w:tr>
      <w:tr w:rsidR="00591C07" w:rsidRPr="000C0B6C" w14:paraId="6FBF2A7A" w14:textId="77777777" w:rsidTr="4832EE42">
        <w:trPr>
          <w:trHeight w:val="224"/>
        </w:trPr>
        <w:tc>
          <w:tcPr>
            <w:tcW w:w="817" w:type="dxa"/>
          </w:tcPr>
          <w:p w14:paraId="2FF49BE5" w14:textId="0675415D" w:rsidR="00591C07" w:rsidRPr="000C0B6C" w:rsidRDefault="00591C07" w:rsidP="00591C07">
            <w:r>
              <w:t>2</w:t>
            </w:r>
          </w:p>
        </w:tc>
        <w:tc>
          <w:tcPr>
            <w:tcW w:w="815" w:type="dxa"/>
          </w:tcPr>
          <w:p w14:paraId="560D6A72" w14:textId="09AA0006" w:rsidR="00591C07" w:rsidRPr="000C0B6C" w:rsidRDefault="00591C07" w:rsidP="00591C07">
            <w:r>
              <w:t>31</w:t>
            </w:r>
          </w:p>
        </w:tc>
        <w:tc>
          <w:tcPr>
            <w:tcW w:w="974" w:type="dxa"/>
          </w:tcPr>
          <w:p w14:paraId="5BB9717A" w14:textId="59CFA5DE" w:rsidR="00591C07" w:rsidRPr="000C0B6C" w:rsidRDefault="00591C07" w:rsidP="00591C07">
            <w:r>
              <w:t>C</w:t>
            </w:r>
          </w:p>
        </w:tc>
        <w:tc>
          <w:tcPr>
            <w:tcW w:w="1215" w:type="dxa"/>
            <w:gridSpan w:val="2"/>
          </w:tcPr>
          <w:p w14:paraId="74433BE5" w14:textId="66558CEE" w:rsidR="00591C07" w:rsidRPr="000C0B6C" w:rsidRDefault="00591C07" w:rsidP="00591C07">
            <w:r>
              <w:t>187</w:t>
            </w:r>
          </w:p>
        </w:tc>
        <w:tc>
          <w:tcPr>
            <w:tcW w:w="5785" w:type="dxa"/>
          </w:tcPr>
          <w:p w14:paraId="525DB395" w14:textId="63B4C3C2" w:rsidR="00591C07" w:rsidRPr="000C0B6C" w:rsidRDefault="00591C07" w:rsidP="00591C07">
            <w:r>
              <w:t>Target 15.1. We suggest adding the indicator: “</w:t>
            </w:r>
            <w:r w:rsidRPr="007476E6">
              <w:t>N</w:t>
            </w:r>
            <w:r>
              <w:t>umber</w:t>
            </w:r>
            <w:r w:rsidRPr="007476E6">
              <w:t xml:space="preserve"> of people trained to deploy and benefit from nutritionally rich biodiversity</w:t>
            </w:r>
            <w:r>
              <w:t>”</w:t>
            </w:r>
          </w:p>
        </w:tc>
      </w:tr>
      <w:tr w:rsidR="00591C07" w:rsidRPr="000C0B6C" w14:paraId="07FCCFF3" w14:textId="77777777" w:rsidTr="4832EE42">
        <w:trPr>
          <w:trHeight w:val="224"/>
        </w:trPr>
        <w:tc>
          <w:tcPr>
            <w:tcW w:w="817" w:type="dxa"/>
          </w:tcPr>
          <w:p w14:paraId="19CEFB3A" w14:textId="14576244" w:rsidR="00591C07" w:rsidRDefault="00591C07" w:rsidP="00591C07">
            <w:r>
              <w:t>2</w:t>
            </w:r>
          </w:p>
        </w:tc>
        <w:tc>
          <w:tcPr>
            <w:tcW w:w="815" w:type="dxa"/>
          </w:tcPr>
          <w:p w14:paraId="3488A874" w14:textId="742F457D" w:rsidR="00591C07" w:rsidRDefault="00591C07" w:rsidP="00591C07">
            <w:r>
              <w:t>31</w:t>
            </w:r>
          </w:p>
        </w:tc>
        <w:tc>
          <w:tcPr>
            <w:tcW w:w="974" w:type="dxa"/>
          </w:tcPr>
          <w:p w14:paraId="79B32F72" w14:textId="5489CBB6" w:rsidR="00591C07" w:rsidRDefault="00591C07" w:rsidP="00591C07">
            <w:r>
              <w:t>C</w:t>
            </w:r>
          </w:p>
        </w:tc>
        <w:tc>
          <w:tcPr>
            <w:tcW w:w="1215" w:type="dxa"/>
            <w:gridSpan w:val="2"/>
          </w:tcPr>
          <w:p w14:paraId="6A30294A" w14:textId="6CD28A1F" w:rsidR="00591C07" w:rsidRDefault="00591C07" w:rsidP="00591C07">
            <w:r>
              <w:t>187</w:t>
            </w:r>
          </w:p>
        </w:tc>
        <w:tc>
          <w:tcPr>
            <w:tcW w:w="5785" w:type="dxa"/>
          </w:tcPr>
          <w:p w14:paraId="54ACE5E8" w14:textId="568BB04C" w:rsidR="00591C07" w:rsidRDefault="00591C07" w:rsidP="00591C07">
            <w:r>
              <w:t xml:space="preserve">Target 15.1. We suggest adding the indicator: “Number of countries that have in place national food-based dietary guidelines which highlight the importance of food </w:t>
            </w:r>
            <w:r>
              <w:lastRenderedPageBreak/>
              <w:t>biodiversity not only for healthy diets and nutrition outcomes but also the many other multiple benefits including environmental sustainability and social equity”</w:t>
            </w:r>
          </w:p>
        </w:tc>
      </w:tr>
      <w:tr w:rsidR="00591C07" w:rsidRPr="000C0B6C" w14:paraId="3C7301D1" w14:textId="77777777" w:rsidTr="4832EE42">
        <w:trPr>
          <w:trHeight w:val="224"/>
        </w:trPr>
        <w:tc>
          <w:tcPr>
            <w:tcW w:w="817" w:type="dxa"/>
          </w:tcPr>
          <w:p w14:paraId="7C63F433" w14:textId="23198565" w:rsidR="00591C07" w:rsidRDefault="00591C07" w:rsidP="00591C07">
            <w:r>
              <w:lastRenderedPageBreak/>
              <w:t>2</w:t>
            </w:r>
          </w:p>
        </w:tc>
        <w:tc>
          <w:tcPr>
            <w:tcW w:w="815" w:type="dxa"/>
          </w:tcPr>
          <w:p w14:paraId="219C3F71" w14:textId="3AB505AF" w:rsidR="00591C07" w:rsidRDefault="00591C07" w:rsidP="00591C07">
            <w:r>
              <w:t>31</w:t>
            </w:r>
          </w:p>
        </w:tc>
        <w:tc>
          <w:tcPr>
            <w:tcW w:w="974" w:type="dxa"/>
          </w:tcPr>
          <w:p w14:paraId="023A8FB9" w14:textId="4DA7EE4E" w:rsidR="00591C07" w:rsidRDefault="00591C07" w:rsidP="00591C07">
            <w:r>
              <w:t>C</w:t>
            </w:r>
          </w:p>
        </w:tc>
        <w:tc>
          <w:tcPr>
            <w:tcW w:w="1215" w:type="dxa"/>
            <w:gridSpan w:val="2"/>
          </w:tcPr>
          <w:p w14:paraId="1BA84C21" w14:textId="42B0531D" w:rsidR="00591C07" w:rsidRDefault="00591C07" w:rsidP="00591C07">
            <w:r>
              <w:t>After 192</w:t>
            </w:r>
          </w:p>
        </w:tc>
        <w:tc>
          <w:tcPr>
            <w:tcW w:w="5785" w:type="dxa"/>
          </w:tcPr>
          <w:p w14:paraId="227D5001" w14:textId="0A0E5AC7" w:rsidR="00591C07" w:rsidRDefault="00591C07" w:rsidP="00591C07">
            <w:r>
              <w:t>Target 15.2. We suggest adding the indicator: “</w:t>
            </w:r>
            <w:r w:rsidRPr="007476E6">
              <w:t>N</w:t>
            </w:r>
            <w:r>
              <w:t>umber</w:t>
            </w:r>
            <w:r w:rsidRPr="007476E6">
              <w:t xml:space="preserve"> of people trained to deploy and benefit from nutritionally rich biodiversity</w:t>
            </w:r>
            <w:r>
              <w:t>”</w:t>
            </w:r>
          </w:p>
        </w:tc>
      </w:tr>
      <w:tr w:rsidR="00591C07" w:rsidRPr="000C0B6C" w14:paraId="53494D94" w14:textId="77777777" w:rsidTr="4832EE42">
        <w:trPr>
          <w:trHeight w:val="224"/>
        </w:trPr>
        <w:tc>
          <w:tcPr>
            <w:tcW w:w="817" w:type="dxa"/>
          </w:tcPr>
          <w:p w14:paraId="13CD71E0" w14:textId="09498122" w:rsidR="00591C07" w:rsidRPr="000C0B6C" w:rsidRDefault="00591C07" w:rsidP="00591C07">
            <w:r>
              <w:t>2</w:t>
            </w:r>
          </w:p>
        </w:tc>
        <w:tc>
          <w:tcPr>
            <w:tcW w:w="815" w:type="dxa"/>
          </w:tcPr>
          <w:p w14:paraId="4B96530D" w14:textId="644B0C94" w:rsidR="00591C07" w:rsidRPr="000C0B6C" w:rsidRDefault="00591C07" w:rsidP="00591C07">
            <w:r>
              <w:t>31</w:t>
            </w:r>
          </w:p>
        </w:tc>
        <w:tc>
          <w:tcPr>
            <w:tcW w:w="974" w:type="dxa"/>
          </w:tcPr>
          <w:p w14:paraId="60FCE7CC" w14:textId="2E2E8805" w:rsidR="00591C07" w:rsidRPr="000C0B6C" w:rsidRDefault="00591C07" w:rsidP="00591C07">
            <w:r>
              <w:t>C</w:t>
            </w:r>
          </w:p>
        </w:tc>
        <w:tc>
          <w:tcPr>
            <w:tcW w:w="1215" w:type="dxa"/>
            <w:gridSpan w:val="2"/>
          </w:tcPr>
          <w:p w14:paraId="61556149" w14:textId="26CFEF17" w:rsidR="00591C07" w:rsidRPr="000C0B6C" w:rsidRDefault="00591C07" w:rsidP="00591C07">
            <w:r>
              <w:t>193</w:t>
            </w:r>
          </w:p>
        </w:tc>
        <w:tc>
          <w:tcPr>
            <w:tcW w:w="5785" w:type="dxa"/>
          </w:tcPr>
          <w:p w14:paraId="2382281B" w14:textId="41C585BF" w:rsidR="00591C07" w:rsidRPr="000C0B6C" w:rsidRDefault="00591C07" w:rsidP="00591C07">
            <w:r>
              <w:t>Target 15.3. We suggest adding the indicator: “</w:t>
            </w:r>
            <w:r w:rsidRPr="00FB4FA8">
              <w:t>N</w:t>
            </w:r>
            <w:r>
              <w:t>umber</w:t>
            </w:r>
            <w:r w:rsidRPr="00FB4FA8">
              <w:t xml:space="preserve"> of new markets developed for food biodiverse products with high nutritional value, including more nutritious convenience foods based on biodiverse products</w:t>
            </w:r>
            <w:r>
              <w:t>”</w:t>
            </w:r>
          </w:p>
        </w:tc>
      </w:tr>
      <w:tr w:rsidR="00591C07" w:rsidRPr="000C0B6C" w14:paraId="2132139F" w14:textId="77777777" w:rsidTr="4832EE42">
        <w:trPr>
          <w:trHeight w:val="224"/>
        </w:trPr>
        <w:tc>
          <w:tcPr>
            <w:tcW w:w="817" w:type="dxa"/>
          </w:tcPr>
          <w:p w14:paraId="4679DD00" w14:textId="192777C2" w:rsidR="00591C07" w:rsidRDefault="00591C07" w:rsidP="00591C07">
            <w:r>
              <w:t>2</w:t>
            </w:r>
          </w:p>
        </w:tc>
        <w:tc>
          <w:tcPr>
            <w:tcW w:w="815" w:type="dxa"/>
          </w:tcPr>
          <w:p w14:paraId="4C201175" w14:textId="579EABE2" w:rsidR="00591C07" w:rsidRDefault="00591C07" w:rsidP="00591C07">
            <w:r>
              <w:t>33</w:t>
            </w:r>
          </w:p>
        </w:tc>
        <w:tc>
          <w:tcPr>
            <w:tcW w:w="974" w:type="dxa"/>
          </w:tcPr>
          <w:p w14:paraId="054A81C9" w14:textId="7D34D48A" w:rsidR="00591C07" w:rsidRDefault="00591C07" w:rsidP="00591C07">
            <w:r>
              <w:t>C</w:t>
            </w:r>
          </w:p>
        </w:tc>
        <w:tc>
          <w:tcPr>
            <w:tcW w:w="1215" w:type="dxa"/>
            <w:gridSpan w:val="2"/>
          </w:tcPr>
          <w:p w14:paraId="1661AC0D" w14:textId="721E545C" w:rsidR="00591C07" w:rsidRDefault="00591C07" w:rsidP="00591C07">
            <w:r>
              <w:t>After 206</w:t>
            </w:r>
          </w:p>
        </w:tc>
        <w:tc>
          <w:tcPr>
            <w:tcW w:w="5785" w:type="dxa"/>
          </w:tcPr>
          <w:p w14:paraId="3C1232C2" w14:textId="4414B32A" w:rsidR="00591C07" w:rsidRDefault="00591C07" w:rsidP="00591C07">
            <w:r>
              <w:t>Target 17.1. We suggest adding the indicator: “Number of countries with policies in place which provide subsidies/incentives for the sustainable production of healthy biodiverse foods”.</w:t>
            </w:r>
          </w:p>
        </w:tc>
      </w:tr>
      <w:tr w:rsidR="00591C07" w:rsidRPr="000C0B6C" w14:paraId="6FA53B38" w14:textId="77777777" w:rsidTr="4832EE42">
        <w:trPr>
          <w:trHeight w:val="224"/>
        </w:trPr>
        <w:tc>
          <w:tcPr>
            <w:tcW w:w="817" w:type="dxa"/>
          </w:tcPr>
          <w:p w14:paraId="3E320254" w14:textId="63BC11E3" w:rsidR="00591C07" w:rsidRPr="000C0B6C" w:rsidRDefault="00591C07" w:rsidP="00591C07">
            <w:r>
              <w:t>2</w:t>
            </w:r>
          </w:p>
        </w:tc>
        <w:tc>
          <w:tcPr>
            <w:tcW w:w="815" w:type="dxa"/>
          </w:tcPr>
          <w:p w14:paraId="1F902902" w14:textId="4712B7F4" w:rsidR="00591C07" w:rsidRPr="000C0B6C" w:rsidRDefault="00591C07" w:rsidP="00591C07">
            <w:r>
              <w:t>33</w:t>
            </w:r>
          </w:p>
        </w:tc>
        <w:tc>
          <w:tcPr>
            <w:tcW w:w="974" w:type="dxa"/>
          </w:tcPr>
          <w:p w14:paraId="7881F90E" w14:textId="6FE27716" w:rsidR="00591C07" w:rsidRPr="000C0B6C" w:rsidRDefault="00591C07" w:rsidP="00591C07">
            <w:r>
              <w:t>C</w:t>
            </w:r>
          </w:p>
        </w:tc>
        <w:tc>
          <w:tcPr>
            <w:tcW w:w="1215" w:type="dxa"/>
            <w:gridSpan w:val="2"/>
          </w:tcPr>
          <w:p w14:paraId="2D3C8B4B" w14:textId="4DCDEBF8" w:rsidR="00591C07" w:rsidRPr="000C0B6C" w:rsidRDefault="00591C07" w:rsidP="00591C07">
            <w:r>
              <w:t>After 206</w:t>
            </w:r>
          </w:p>
        </w:tc>
        <w:tc>
          <w:tcPr>
            <w:tcW w:w="5785" w:type="dxa"/>
          </w:tcPr>
          <w:p w14:paraId="06B883CE" w14:textId="334A8603" w:rsidR="00591C07" w:rsidRPr="000C0B6C" w:rsidRDefault="00591C07" w:rsidP="00591C07">
            <w:r>
              <w:t>Target 17.1. We suggest adding the indicator: “</w:t>
            </w:r>
            <w:r w:rsidRPr="00DE4964">
              <w:t>Number of countries that use payments for ecosystem services or that have put in place agricultural policies that reward farms whom use biodiversity to secure habitat and the nature-based solutions they provide</w:t>
            </w:r>
            <w:r>
              <w:t>”.</w:t>
            </w:r>
          </w:p>
        </w:tc>
      </w:tr>
      <w:tr w:rsidR="00E62177" w:rsidRPr="000C0B6C" w14:paraId="6A182D36" w14:textId="77777777" w:rsidTr="4832EE42">
        <w:trPr>
          <w:trHeight w:val="224"/>
        </w:trPr>
        <w:tc>
          <w:tcPr>
            <w:tcW w:w="817" w:type="dxa"/>
          </w:tcPr>
          <w:p w14:paraId="30DDB4D4" w14:textId="71AF2501" w:rsidR="00E62177" w:rsidRPr="000C0B6C" w:rsidRDefault="00E62177" w:rsidP="00E62177">
            <w:r>
              <w:t>2</w:t>
            </w:r>
          </w:p>
        </w:tc>
        <w:tc>
          <w:tcPr>
            <w:tcW w:w="815" w:type="dxa"/>
          </w:tcPr>
          <w:p w14:paraId="446EE8A1" w14:textId="672B9EAF" w:rsidR="00E62177" w:rsidRPr="000C0B6C" w:rsidRDefault="00E62177" w:rsidP="00E62177">
            <w:r>
              <w:t>34</w:t>
            </w:r>
          </w:p>
        </w:tc>
        <w:tc>
          <w:tcPr>
            <w:tcW w:w="974" w:type="dxa"/>
          </w:tcPr>
          <w:p w14:paraId="6DDF4A7E" w14:textId="0F737B37" w:rsidR="00E62177" w:rsidRPr="000C0B6C" w:rsidRDefault="00E62177" w:rsidP="00E62177">
            <w:r>
              <w:t>B</w:t>
            </w:r>
          </w:p>
        </w:tc>
        <w:tc>
          <w:tcPr>
            <w:tcW w:w="1215" w:type="dxa"/>
            <w:gridSpan w:val="2"/>
          </w:tcPr>
          <w:p w14:paraId="2A39B418" w14:textId="5C4AA613" w:rsidR="00E62177" w:rsidRPr="000C0B6C" w:rsidRDefault="00E62177" w:rsidP="00E62177">
            <w:r>
              <w:t>211-221</w:t>
            </w:r>
          </w:p>
        </w:tc>
        <w:tc>
          <w:tcPr>
            <w:tcW w:w="5785" w:type="dxa"/>
          </w:tcPr>
          <w:p w14:paraId="02BEBAFD" w14:textId="61553662" w:rsidR="00E62177" w:rsidRPr="000C0B6C" w:rsidRDefault="00E62177" w:rsidP="00E62177">
            <w:r w:rsidRPr="00E62177">
              <w:t>Funding needs and allocation for gender-responsive implementation of the post-2020 framework should be established, indicator needed to guide and track funding allocations</w:t>
            </w:r>
          </w:p>
        </w:tc>
      </w:tr>
      <w:tr w:rsidR="00E62177" w:rsidRPr="000C0B6C" w14:paraId="2EFC727F" w14:textId="77777777" w:rsidTr="4832EE42">
        <w:trPr>
          <w:trHeight w:val="224"/>
        </w:trPr>
        <w:tc>
          <w:tcPr>
            <w:tcW w:w="817" w:type="dxa"/>
          </w:tcPr>
          <w:p w14:paraId="0C5F5788" w14:textId="78864CC1" w:rsidR="00E62177" w:rsidRPr="000C0B6C" w:rsidRDefault="00E62177" w:rsidP="00E62177">
            <w:r>
              <w:t>2</w:t>
            </w:r>
          </w:p>
        </w:tc>
        <w:tc>
          <w:tcPr>
            <w:tcW w:w="815" w:type="dxa"/>
          </w:tcPr>
          <w:p w14:paraId="40ADAC49" w14:textId="533B8757" w:rsidR="00E62177" w:rsidRPr="000C0B6C" w:rsidRDefault="00E62177" w:rsidP="00E62177">
            <w:r>
              <w:t>36</w:t>
            </w:r>
          </w:p>
        </w:tc>
        <w:tc>
          <w:tcPr>
            <w:tcW w:w="974" w:type="dxa"/>
          </w:tcPr>
          <w:p w14:paraId="61B748FB" w14:textId="2DC3FEEE" w:rsidR="00E62177" w:rsidRPr="000C0B6C" w:rsidRDefault="00E62177" w:rsidP="00E62177">
            <w:r>
              <w:t>B</w:t>
            </w:r>
          </w:p>
        </w:tc>
        <w:tc>
          <w:tcPr>
            <w:tcW w:w="1215" w:type="dxa"/>
            <w:gridSpan w:val="2"/>
          </w:tcPr>
          <w:p w14:paraId="4F77A491" w14:textId="5317C0A2" w:rsidR="00E62177" w:rsidRPr="000C0B6C" w:rsidRDefault="00E62177" w:rsidP="00E62177">
            <w:r>
              <w:t>226</w:t>
            </w:r>
          </w:p>
        </w:tc>
        <w:tc>
          <w:tcPr>
            <w:tcW w:w="5785" w:type="dxa"/>
          </w:tcPr>
          <w:p w14:paraId="3BF13148" w14:textId="6F102CF8" w:rsidR="00E62177" w:rsidRPr="000C0B6C" w:rsidRDefault="00E62177" w:rsidP="00E62177">
            <w:r w:rsidRPr="00E62177">
              <w:t>This list of indicators must include sex-disaggregated information on women and men’s participation in biodiversity management (trends in participation) as well as access to and control over benefits</w:t>
            </w:r>
          </w:p>
        </w:tc>
      </w:tr>
      <w:tr w:rsidR="00E62177" w:rsidRPr="000C0B6C" w14:paraId="668B2B68" w14:textId="77777777" w:rsidTr="4832EE42">
        <w:trPr>
          <w:trHeight w:val="224"/>
        </w:trPr>
        <w:tc>
          <w:tcPr>
            <w:tcW w:w="817" w:type="dxa"/>
          </w:tcPr>
          <w:p w14:paraId="25C135B9" w14:textId="053EF132" w:rsidR="00E62177" w:rsidRPr="000C0B6C" w:rsidRDefault="00E62177" w:rsidP="00E62177">
            <w:r>
              <w:t>2</w:t>
            </w:r>
          </w:p>
        </w:tc>
        <w:tc>
          <w:tcPr>
            <w:tcW w:w="815" w:type="dxa"/>
          </w:tcPr>
          <w:p w14:paraId="0036CDE8" w14:textId="5AB7B859" w:rsidR="00E62177" w:rsidRPr="000C0B6C" w:rsidRDefault="00E62177" w:rsidP="00E62177">
            <w:r>
              <w:t>39-40</w:t>
            </w:r>
          </w:p>
        </w:tc>
        <w:tc>
          <w:tcPr>
            <w:tcW w:w="974" w:type="dxa"/>
          </w:tcPr>
          <w:p w14:paraId="5185ECA3" w14:textId="55280D1B" w:rsidR="00E62177" w:rsidRPr="000C0B6C" w:rsidRDefault="00E62177" w:rsidP="00E62177">
            <w:r>
              <w:t>C</w:t>
            </w:r>
          </w:p>
        </w:tc>
        <w:tc>
          <w:tcPr>
            <w:tcW w:w="1215" w:type="dxa"/>
            <w:gridSpan w:val="2"/>
          </w:tcPr>
          <w:p w14:paraId="19D3FB44" w14:textId="7C8BAD1B" w:rsidR="00E62177" w:rsidRPr="000C0B6C" w:rsidRDefault="00E62177" w:rsidP="00E62177">
            <w:r>
              <w:t>244-248</w:t>
            </w:r>
          </w:p>
        </w:tc>
        <w:tc>
          <w:tcPr>
            <w:tcW w:w="5785" w:type="dxa"/>
          </w:tcPr>
          <w:p w14:paraId="0445716D" w14:textId="77777777" w:rsidR="00E62177" w:rsidRDefault="00E62177" w:rsidP="00E62177">
            <w:r>
              <w:t xml:space="preserve">Monitoring element: trends in women and girls’ participation in biodiversity conservation and management. </w:t>
            </w:r>
          </w:p>
          <w:p w14:paraId="771D1146" w14:textId="77777777" w:rsidR="00E62177" w:rsidRDefault="00E62177" w:rsidP="00E62177"/>
          <w:p w14:paraId="312CB0DA" w14:textId="77777777" w:rsidR="00E62177" w:rsidRDefault="00E62177" w:rsidP="00E62177">
            <w:r>
              <w:t>Consider proportion of women and youth in resource user groups, or share of countries with mandatory 1/3 gender quota in resource use groups; participation of women and girls at all levels of decision-making.</w:t>
            </w:r>
          </w:p>
          <w:p w14:paraId="1A896FF1" w14:textId="77777777" w:rsidR="00E62177" w:rsidRDefault="00E62177" w:rsidP="00E62177"/>
          <w:p w14:paraId="745B1D97" w14:textId="259834BD" w:rsidR="00E62177" w:rsidRPr="000C0B6C" w:rsidRDefault="00E62177" w:rsidP="00E62177">
            <w:r>
              <w:t>Consider SDG indicators on equal land rights (1.4.2.; 5.a.1.; 5.a.2.)</w:t>
            </w:r>
          </w:p>
        </w:tc>
      </w:tr>
      <w:tr w:rsidR="00E62177" w:rsidRPr="000C0B6C" w14:paraId="7F3D1965" w14:textId="77777777" w:rsidTr="4832EE42">
        <w:trPr>
          <w:trHeight w:val="224"/>
        </w:trPr>
        <w:tc>
          <w:tcPr>
            <w:tcW w:w="817" w:type="dxa"/>
          </w:tcPr>
          <w:p w14:paraId="040D10DF" w14:textId="57569967" w:rsidR="00E62177" w:rsidRPr="000C0B6C" w:rsidRDefault="00E62177" w:rsidP="00E62177">
            <w:r>
              <w:t>2</w:t>
            </w:r>
          </w:p>
        </w:tc>
        <w:tc>
          <w:tcPr>
            <w:tcW w:w="815" w:type="dxa"/>
          </w:tcPr>
          <w:p w14:paraId="044CF78F" w14:textId="3047D68A" w:rsidR="00E62177" w:rsidRPr="000C0B6C" w:rsidRDefault="00E62177" w:rsidP="00E62177">
            <w:r>
              <w:t>39-40</w:t>
            </w:r>
          </w:p>
        </w:tc>
        <w:tc>
          <w:tcPr>
            <w:tcW w:w="974" w:type="dxa"/>
          </w:tcPr>
          <w:p w14:paraId="17C1D370" w14:textId="4EFE48F8" w:rsidR="00E62177" w:rsidRPr="000C0B6C" w:rsidRDefault="00E62177" w:rsidP="00E62177">
            <w:r>
              <w:t>C</w:t>
            </w:r>
          </w:p>
        </w:tc>
        <w:tc>
          <w:tcPr>
            <w:tcW w:w="1215" w:type="dxa"/>
            <w:gridSpan w:val="2"/>
          </w:tcPr>
          <w:p w14:paraId="01D922CB" w14:textId="0C422DF6" w:rsidR="00E62177" w:rsidRPr="000C0B6C" w:rsidRDefault="00E62177" w:rsidP="00E62177">
            <w:r>
              <w:t>247</w:t>
            </w:r>
          </w:p>
        </w:tc>
        <w:tc>
          <w:tcPr>
            <w:tcW w:w="5785" w:type="dxa"/>
          </w:tcPr>
          <w:p w14:paraId="538A44F4" w14:textId="77777777" w:rsidR="00E62177" w:rsidRDefault="00E62177" w:rsidP="00E62177">
            <w:pPr>
              <w:rPr>
                <w:sz w:val="22"/>
                <w:szCs w:val="22"/>
              </w:rPr>
            </w:pPr>
          </w:p>
          <w:p w14:paraId="3A80BB9F" w14:textId="525E0CC8" w:rsidR="00E62177" w:rsidRDefault="00E62177" w:rsidP="00E62177">
            <w:pPr>
              <w:rPr>
                <w:sz w:val="22"/>
                <w:szCs w:val="22"/>
              </w:rPr>
            </w:pPr>
            <w:r>
              <w:t>All monitoring elements and indicators related to youth should be gender-disaggregated.</w:t>
            </w:r>
          </w:p>
          <w:p w14:paraId="02187495" w14:textId="7A8424B2" w:rsidR="00E62177" w:rsidRPr="000C0B6C" w:rsidRDefault="00E62177" w:rsidP="00E62177"/>
        </w:tc>
      </w:tr>
    </w:tbl>
    <w:p w14:paraId="66044167" w14:textId="77777777" w:rsidR="00AA726F" w:rsidRPr="00532BBA" w:rsidRDefault="00AA726F" w:rsidP="00DB71FC">
      <w:pPr>
        <w:pStyle w:val="Default"/>
        <w:jc w:val="center"/>
        <w:rPr>
          <w:b/>
          <w:sz w:val="22"/>
          <w:szCs w:val="22"/>
          <w:u w:val="single"/>
        </w:rPr>
      </w:pPr>
    </w:p>
    <w:p w14:paraId="4C4DFF95" w14:textId="0EFEC208" w:rsidR="00AA726F" w:rsidRPr="00624FAA" w:rsidRDefault="00624FAA" w:rsidP="00DB71FC">
      <w:pPr>
        <w:jc w:val="both"/>
        <w:rPr>
          <w:i/>
          <w:szCs w:val="22"/>
        </w:rPr>
      </w:pPr>
      <w:r w:rsidRPr="00624FAA">
        <w:rPr>
          <w:i/>
          <w:sz w:val="22"/>
          <w:szCs w:val="22"/>
        </w:rPr>
        <w:t xml:space="preserve">Comments should be sent by e-mail to </w:t>
      </w:r>
      <w:hyperlink r:id="rId25"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E0F22">
        <w:rPr>
          <w:b/>
          <w:i/>
          <w:sz w:val="22"/>
          <w:szCs w:val="22"/>
        </w:rPr>
        <w:t>1</w:t>
      </w:r>
      <w:r w:rsidR="002337AC" w:rsidRPr="002337AC">
        <w:rPr>
          <w:b/>
          <w:i/>
          <w:sz w:val="22"/>
          <w:szCs w:val="22"/>
        </w:rPr>
        <w:t xml:space="preserve">5 </w:t>
      </w:r>
      <w:r w:rsidR="002E0F22">
        <w:rPr>
          <w:b/>
          <w:i/>
          <w:sz w:val="22"/>
          <w:szCs w:val="22"/>
        </w:rPr>
        <w:t>August</w:t>
      </w:r>
      <w:bookmarkStart w:id="2" w:name="_GoBack"/>
      <w:bookmarkEnd w:id="2"/>
      <w:r w:rsidR="002337AC" w:rsidRPr="002337AC">
        <w:rPr>
          <w:b/>
          <w:i/>
          <w:sz w:val="22"/>
          <w:szCs w:val="22"/>
        </w:rPr>
        <w:t xml:space="preserve"> 2020</w:t>
      </w:r>
      <w:r w:rsidRPr="00153018">
        <w:rPr>
          <w:i/>
          <w:sz w:val="22"/>
          <w:szCs w:val="22"/>
        </w:rPr>
        <w:t>.</w:t>
      </w:r>
    </w:p>
    <w:sectPr w:rsidR="00AA726F" w:rsidRPr="00624FAA" w:rsidSect="00A312D8">
      <w:headerReference w:type="first" r:id="rId26"/>
      <w:pgSz w:w="12240" w:h="15840" w:code="1"/>
      <w:pgMar w:top="1134" w:right="1418" w:bottom="1134" w:left="1418" w:header="340" w:footer="11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14E834" w16cid:durableId="22C3FF46"/>
  <w16cid:commentId w16cid:paraId="6BFD2EFE" w16cid:durableId="22C54ACF"/>
  <w16cid:commentId w16cid:paraId="3D4344D4" w16cid:durableId="61397DD6"/>
  <w16cid:commentId w16cid:paraId="75678605" w16cid:durableId="22C42157"/>
  <w16cid:commentId w16cid:paraId="797CEB48" w16cid:durableId="22C58D4F"/>
  <w16cid:commentId w16cid:paraId="3CBCC68D" w16cid:durableId="22C58D47"/>
  <w16cid:commentId w16cid:paraId="279AC383" w16cid:durableId="22C58D3E"/>
  <w16cid:commentId w16cid:paraId="2F3D0A5F" w16cid:durableId="22C58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927D" w14:textId="77777777" w:rsidR="00BE5E92" w:rsidRDefault="00BE5E92">
      <w:r>
        <w:separator/>
      </w:r>
    </w:p>
  </w:endnote>
  <w:endnote w:type="continuationSeparator" w:id="0">
    <w:p w14:paraId="2E4D97C0" w14:textId="77777777" w:rsidR="00BE5E92" w:rsidRDefault="00BE5E92">
      <w:r>
        <w:continuationSeparator/>
      </w:r>
    </w:p>
  </w:endnote>
  <w:endnote w:type="continuationNotice" w:id="1">
    <w:p w14:paraId="6ED6377B" w14:textId="77777777" w:rsidR="00BE5E92" w:rsidRDefault="00BE5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MS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7D87" w14:textId="77777777" w:rsidR="00BE5E92" w:rsidRDefault="00BE5E92">
      <w:r>
        <w:separator/>
      </w:r>
    </w:p>
  </w:footnote>
  <w:footnote w:type="continuationSeparator" w:id="0">
    <w:p w14:paraId="7C841AD7" w14:textId="77777777" w:rsidR="00BE5E92" w:rsidRDefault="00BE5E92">
      <w:r>
        <w:continuationSeparator/>
      </w:r>
    </w:p>
  </w:footnote>
  <w:footnote w:type="continuationNotice" w:id="1">
    <w:p w14:paraId="60113DD8" w14:textId="77777777" w:rsidR="00BE5E92" w:rsidRDefault="00BE5E92"/>
  </w:footnote>
  <w:footnote w:id="2">
    <w:p w14:paraId="6FC214B9" w14:textId="77777777" w:rsidR="00D83C13" w:rsidRDefault="00D83C13" w:rsidP="00750EDF">
      <w:pPr>
        <w:pStyle w:val="FootnoteText"/>
      </w:pPr>
      <w:r>
        <w:rPr>
          <w:rStyle w:val="FootnoteReference"/>
        </w:rPr>
        <w:footnoteRef/>
      </w:r>
      <w:r>
        <w:t xml:space="preserve"> </w:t>
      </w:r>
      <w:hyperlink r:id="rId1" w:history="1">
        <w:r w:rsidRPr="006C519C">
          <w:rPr>
            <w:rStyle w:val="Hyperlink"/>
          </w:rPr>
          <w:t>CBD/WG2020/REC/2/1</w:t>
        </w:r>
      </w:hyperlink>
    </w:p>
  </w:footnote>
  <w:footnote w:id="3">
    <w:p w14:paraId="03A1EC7B" w14:textId="77777777" w:rsidR="00D83C13" w:rsidRDefault="00D83C13">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7D04" w14:textId="77777777" w:rsidR="00D83C13" w:rsidRDefault="00D83C13"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B01BE7"/>
    <w:multiLevelType w:val="hybridMultilevel"/>
    <w:tmpl w:val="69101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AE"/>
    <w:rsid w:val="0000434A"/>
    <w:rsid w:val="000061B1"/>
    <w:rsid w:val="0001655B"/>
    <w:rsid w:val="00020CB7"/>
    <w:rsid w:val="0002384F"/>
    <w:rsid w:val="00025155"/>
    <w:rsid w:val="0002598F"/>
    <w:rsid w:val="000430F9"/>
    <w:rsid w:val="00044A69"/>
    <w:rsid w:val="00053583"/>
    <w:rsid w:val="00060F26"/>
    <w:rsid w:val="0006671C"/>
    <w:rsid w:val="00071848"/>
    <w:rsid w:val="000735A0"/>
    <w:rsid w:val="000747BD"/>
    <w:rsid w:val="00082816"/>
    <w:rsid w:val="00090581"/>
    <w:rsid w:val="00096345"/>
    <w:rsid w:val="000968B8"/>
    <w:rsid w:val="000973A0"/>
    <w:rsid w:val="000A1EAF"/>
    <w:rsid w:val="000B6228"/>
    <w:rsid w:val="000C0334"/>
    <w:rsid w:val="000C0B6C"/>
    <w:rsid w:val="000C3BF1"/>
    <w:rsid w:val="000E0E6D"/>
    <w:rsid w:val="000E1370"/>
    <w:rsid w:val="000E4730"/>
    <w:rsid w:val="000E79DE"/>
    <w:rsid w:val="000F55DB"/>
    <w:rsid w:val="000F68B0"/>
    <w:rsid w:val="000F72F5"/>
    <w:rsid w:val="00102AC3"/>
    <w:rsid w:val="00106727"/>
    <w:rsid w:val="0011369D"/>
    <w:rsid w:val="001169CD"/>
    <w:rsid w:val="001208DE"/>
    <w:rsid w:val="00126F01"/>
    <w:rsid w:val="00131A78"/>
    <w:rsid w:val="0014607D"/>
    <w:rsid w:val="001471E6"/>
    <w:rsid w:val="00147B60"/>
    <w:rsid w:val="00153018"/>
    <w:rsid w:val="00164AA0"/>
    <w:rsid w:val="0016542D"/>
    <w:rsid w:val="00167351"/>
    <w:rsid w:val="00170A3F"/>
    <w:rsid w:val="001771FC"/>
    <w:rsid w:val="00191201"/>
    <w:rsid w:val="00196B39"/>
    <w:rsid w:val="001A0A01"/>
    <w:rsid w:val="001A7B51"/>
    <w:rsid w:val="001B1787"/>
    <w:rsid w:val="001B4B2F"/>
    <w:rsid w:val="001B51C0"/>
    <w:rsid w:val="001B7642"/>
    <w:rsid w:val="001C3B2B"/>
    <w:rsid w:val="001D0914"/>
    <w:rsid w:val="001D1777"/>
    <w:rsid w:val="001D3754"/>
    <w:rsid w:val="001D4D6C"/>
    <w:rsid w:val="001E3E11"/>
    <w:rsid w:val="001E4473"/>
    <w:rsid w:val="001E4676"/>
    <w:rsid w:val="001E4DA2"/>
    <w:rsid w:val="001E56FD"/>
    <w:rsid w:val="001F1D12"/>
    <w:rsid w:val="001F34E8"/>
    <w:rsid w:val="001F68A9"/>
    <w:rsid w:val="00202E67"/>
    <w:rsid w:val="00203867"/>
    <w:rsid w:val="002053FC"/>
    <w:rsid w:val="00205CB2"/>
    <w:rsid w:val="00211568"/>
    <w:rsid w:val="002209F8"/>
    <w:rsid w:val="00222815"/>
    <w:rsid w:val="002229D0"/>
    <w:rsid w:val="002324A3"/>
    <w:rsid w:val="00232A7C"/>
    <w:rsid w:val="002337AC"/>
    <w:rsid w:val="0024072E"/>
    <w:rsid w:val="00244FE0"/>
    <w:rsid w:val="00247402"/>
    <w:rsid w:val="00253C35"/>
    <w:rsid w:val="00256434"/>
    <w:rsid w:val="00260313"/>
    <w:rsid w:val="002653BC"/>
    <w:rsid w:val="0026640D"/>
    <w:rsid w:val="002779F1"/>
    <w:rsid w:val="0028546B"/>
    <w:rsid w:val="00290379"/>
    <w:rsid w:val="002907F1"/>
    <w:rsid w:val="00290B18"/>
    <w:rsid w:val="00290B46"/>
    <w:rsid w:val="00292CC4"/>
    <w:rsid w:val="00293BDC"/>
    <w:rsid w:val="00293F53"/>
    <w:rsid w:val="00297A07"/>
    <w:rsid w:val="002A0150"/>
    <w:rsid w:val="002A3497"/>
    <w:rsid w:val="002A5D51"/>
    <w:rsid w:val="002A6DA8"/>
    <w:rsid w:val="002B57CC"/>
    <w:rsid w:val="002C1CB3"/>
    <w:rsid w:val="002C3553"/>
    <w:rsid w:val="002D065D"/>
    <w:rsid w:val="002D4D87"/>
    <w:rsid w:val="002E01E3"/>
    <w:rsid w:val="002E0F22"/>
    <w:rsid w:val="002F2639"/>
    <w:rsid w:val="002F2D4F"/>
    <w:rsid w:val="00305B1F"/>
    <w:rsid w:val="00305BC7"/>
    <w:rsid w:val="00306EBD"/>
    <w:rsid w:val="00312698"/>
    <w:rsid w:val="00316099"/>
    <w:rsid w:val="00317516"/>
    <w:rsid w:val="003234E9"/>
    <w:rsid w:val="00323670"/>
    <w:rsid w:val="003249B9"/>
    <w:rsid w:val="00332A6E"/>
    <w:rsid w:val="00333F18"/>
    <w:rsid w:val="00335407"/>
    <w:rsid w:val="00335BE1"/>
    <w:rsid w:val="003379E5"/>
    <w:rsid w:val="00356813"/>
    <w:rsid w:val="003619CB"/>
    <w:rsid w:val="00382F23"/>
    <w:rsid w:val="00384EB6"/>
    <w:rsid w:val="00387FD3"/>
    <w:rsid w:val="00392D05"/>
    <w:rsid w:val="00395700"/>
    <w:rsid w:val="00396616"/>
    <w:rsid w:val="003A723F"/>
    <w:rsid w:val="003A72C8"/>
    <w:rsid w:val="003B500A"/>
    <w:rsid w:val="003C21E3"/>
    <w:rsid w:val="003C43A9"/>
    <w:rsid w:val="003D1C63"/>
    <w:rsid w:val="003D6BBF"/>
    <w:rsid w:val="003E0BA2"/>
    <w:rsid w:val="003E63A9"/>
    <w:rsid w:val="003F1714"/>
    <w:rsid w:val="003F5EC1"/>
    <w:rsid w:val="00404BD3"/>
    <w:rsid w:val="00410CA8"/>
    <w:rsid w:val="00413575"/>
    <w:rsid w:val="004152A1"/>
    <w:rsid w:val="004200BA"/>
    <w:rsid w:val="00420F6D"/>
    <w:rsid w:val="00421081"/>
    <w:rsid w:val="0043164D"/>
    <w:rsid w:val="004421FC"/>
    <w:rsid w:val="00451BD3"/>
    <w:rsid w:val="00454CE8"/>
    <w:rsid w:val="0047046E"/>
    <w:rsid w:val="004710AE"/>
    <w:rsid w:val="00471A36"/>
    <w:rsid w:val="00487C28"/>
    <w:rsid w:val="00494090"/>
    <w:rsid w:val="00494E91"/>
    <w:rsid w:val="00495268"/>
    <w:rsid w:val="00497657"/>
    <w:rsid w:val="00497AC7"/>
    <w:rsid w:val="004A2656"/>
    <w:rsid w:val="004B09D6"/>
    <w:rsid w:val="004B1B79"/>
    <w:rsid w:val="004B2441"/>
    <w:rsid w:val="004C2065"/>
    <w:rsid w:val="004C24AA"/>
    <w:rsid w:val="004C7E83"/>
    <w:rsid w:val="004D7B1C"/>
    <w:rsid w:val="004E0928"/>
    <w:rsid w:val="004E39B5"/>
    <w:rsid w:val="004E4BCF"/>
    <w:rsid w:val="004E6FD6"/>
    <w:rsid w:val="004F1EB4"/>
    <w:rsid w:val="004F67F1"/>
    <w:rsid w:val="004F68C3"/>
    <w:rsid w:val="005005AE"/>
    <w:rsid w:val="005008A0"/>
    <w:rsid w:val="00506FCD"/>
    <w:rsid w:val="00511149"/>
    <w:rsid w:val="00531283"/>
    <w:rsid w:val="00532BBA"/>
    <w:rsid w:val="00533AF9"/>
    <w:rsid w:val="005469ED"/>
    <w:rsid w:val="0055233D"/>
    <w:rsid w:val="005548DC"/>
    <w:rsid w:val="0055668B"/>
    <w:rsid w:val="005577F3"/>
    <w:rsid w:val="0056095F"/>
    <w:rsid w:val="005626CE"/>
    <w:rsid w:val="00564DF8"/>
    <w:rsid w:val="005824FC"/>
    <w:rsid w:val="00583ED8"/>
    <w:rsid w:val="00585692"/>
    <w:rsid w:val="00590627"/>
    <w:rsid w:val="00591C07"/>
    <w:rsid w:val="00591CA5"/>
    <w:rsid w:val="005932D5"/>
    <w:rsid w:val="005B1F18"/>
    <w:rsid w:val="005C3F60"/>
    <w:rsid w:val="005D2E65"/>
    <w:rsid w:val="005D41E3"/>
    <w:rsid w:val="005D5557"/>
    <w:rsid w:val="005D7C8F"/>
    <w:rsid w:val="005E1B8A"/>
    <w:rsid w:val="005E2407"/>
    <w:rsid w:val="005E4046"/>
    <w:rsid w:val="005F0260"/>
    <w:rsid w:val="005F0EEC"/>
    <w:rsid w:val="005F118A"/>
    <w:rsid w:val="005F6610"/>
    <w:rsid w:val="00600804"/>
    <w:rsid w:val="006056FD"/>
    <w:rsid w:val="006100FC"/>
    <w:rsid w:val="00624C82"/>
    <w:rsid w:val="00624FAA"/>
    <w:rsid w:val="00626CE8"/>
    <w:rsid w:val="006347DD"/>
    <w:rsid w:val="00640953"/>
    <w:rsid w:val="00640EAF"/>
    <w:rsid w:val="00642AC0"/>
    <w:rsid w:val="0064490F"/>
    <w:rsid w:val="00646912"/>
    <w:rsid w:val="006545D8"/>
    <w:rsid w:val="00661157"/>
    <w:rsid w:val="006618C3"/>
    <w:rsid w:val="00665BC7"/>
    <w:rsid w:val="00672461"/>
    <w:rsid w:val="00680CBC"/>
    <w:rsid w:val="00682AF1"/>
    <w:rsid w:val="00690111"/>
    <w:rsid w:val="00690E79"/>
    <w:rsid w:val="00695BAE"/>
    <w:rsid w:val="0069691F"/>
    <w:rsid w:val="006A2BF8"/>
    <w:rsid w:val="006B1227"/>
    <w:rsid w:val="006B5679"/>
    <w:rsid w:val="006C5221"/>
    <w:rsid w:val="006D0627"/>
    <w:rsid w:val="006D5291"/>
    <w:rsid w:val="006D5612"/>
    <w:rsid w:val="006E04CE"/>
    <w:rsid w:val="006E4C61"/>
    <w:rsid w:val="006F0934"/>
    <w:rsid w:val="006F2465"/>
    <w:rsid w:val="006F40ED"/>
    <w:rsid w:val="006F4D56"/>
    <w:rsid w:val="006F5E63"/>
    <w:rsid w:val="006F6C95"/>
    <w:rsid w:val="00703149"/>
    <w:rsid w:val="007071DD"/>
    <w:rsid w:val="0071190F"/>
    <w:rsid w:val="007133E2"/>
    <w:rsid w:val="00715A44"/>
    <w:rsid w:val="00730316"/>
    <w:rsid w:val="00733081"/>
    <w:rsid w:val="00735177"/>
    <w:rsid w:val="007476E6"/>
    <w:rsid w:val="00750EDF"/>
    <w:rsid w:val="0075124E"/>
    <w:rsid w:val="00753C11"/>
    <w:rsid w:val="00757A3C"/>
    <w:rsid w:val="00763991"/>
    <w:rsid w:val="007650B7"/>
    <w:rsid w:val="007651FE"/>
    <w:rsid w:val="00766CC7"/>
    <w:rsid w:val="007860CC"/>
    <w:rsid w:val="00791E55"/>
    <w:rsid w:val="0079367D"/>
    <w:rsid w:val="007A24E9"/>
    <w:rsid w:val="007A5796"/>
    <w:rsid w:val="007B35B8"/>
    <w:rsid w:val="007B5187"/>
    <w:rsid w:val="007C0C1B"/>
    <w:rsid w:val="007C0D01"/>
    <w:rsid w:val="007C5ECF"/>
    <w:rsid w:val="007C76FC"/>
    <w:rsid w:val="007D13B8"/>
    <w:rsid w:val="007E2DE7"/>
    <w:rsid w:val="007F04C6"/>
    <w:rsid w:val="007F70E2"/>
    <w:rsid w:val="00801D1A"/>
    <w:rsid w:val="00804363"/>
    <w:rsid w:val="00812EB2"/>
    <w:rsid w:val="008135CB"/>
    <w:rsid w:val="008152DF"/>
    <w:rsid w:val="0082560E"/>
    <w:rsid w:val="00832E1E"/>
    <w:rsid w:val="00835454"/>
    <w:rsid w:val="00840313"/>
    <w:rsid w:val="0084253D"/>
    <w:rsid w:val="00842EC9"/>
    <w:rsid w:val="00846B41"/>
    <w:rsid w:val="008472BF"/>
    <w:rsid w:val="00852A28"/>
    <w:rsid w:val="00852F3C"/>
    <w:rsid w:val="00864313"/>
    <w:rsid w:val="00870861"/>
    <w:rsid w:val="008723CB"/>
    <w:rsid w:val="00877E86"/>
    <w:rsid w:val="008911E7"/>
    <w:rsid w:val="008A2175"/>
    <w:rsid w:val="008A6DE3"/>
    <w:rsid w:val="008B0624"/>
    <w:rsid w:val="008B3EA6"/>
    <w:rsid w:val="008B4A20"/>
    <w:rsid w:val="008B5E60"/>
    <w:rsid w:val="008C2864"/>
    <w:rsid w:val="008D0881"/>
    <w:rsid w:val="008D246D"/>
    <w:rsid w:val="008D46F4"/>
    <w:rsid w:val="008D4E28"/>
    <w:rsid w:val="008D5785"/>
    <w:rsid w:val="008E3510"/>
    <w:rsid w:val="008E5267"/>
    <w:rsid w:val="008E528B"/>
    <w:rsid w:val="008E5D35"/>
    <w:rsid w:val="008E5DA6"/>
    <w:rsid w:val="008E5F91"/>
    <w:rsid w:val="008E6D01"/>
    <w:rsid w:val="008F088C"/>
    <w:rsid w:val="008F27E5"/>
    <w:rsid w:val="008F5B5E"/>
    <w:rsid w:val="0090068B"/>
    <w:rsid w:val="009013A1"/>
    <w:rsid w:val="0091147E"/>
    <w:rsid w:val="0091539C"/>
    <w:rsid w:val="00932331"/>
    <w:rsid w:val="009370AA"/>
    <w:rsid w:val="00937BB8"/>
    <w:rsid w:val="00945444"/>
    <w:rsid w:val="0094596B"/>
    <w:rsid w:val="00947899"/>
    <w:rsid w:val="00947BAE"/>
    <w:rsid w:val="00947FFE"/>
    <w:rsid w:val="00961C32"/>
    <w:rsid w:val="00964E65"/>
    <w:rsid w:val="0096512C"/>
    <w:rsid w:val="00970A93"/>
    <w:rsid w:val="00974078"/>
    <w:rsid w:val="00977962"/>
    <w:rsid w:val="009804DE"/>
    <w:rsid w:val="00985B44"/>
    <w:rsid w:val="0098753D"/>
    <w:rsid w:val="00990C4C"/>
    <w:rsid w:val="00991B9B"/>
    <w:rsid w:val="00994F4C"/>
    <w:rsid w:val="00996F75"/>
    <w:rsid w:val="009A1ED4"/>
    <w:rsid w:val="009B53FD"/>
    <w:rsid w:val="009C0234"/>
    <w:rsid w:val="009D0254"/>
    <w:rsid w:val="009D02A0"/>
    <w:rsid w:val="009E5F12"/>
    <w:rsid w:val="009E7568"/>
    <w:rsid w:val="009E7C91"/>
    <w:rsid w:val="009E7EB7"/>
    <w:rsid w:val="009F28E0"/>
    <w:rsid w:val="00A001E0"/>
    <w:rsid w:val="00A10361"/>
    <w:rsid w:val="00A10FA4"/>
    <w:rsid w:val="00A146FA"/>
    <w:rsid w:val="00A16AAC"/>
    <w:rsid w:val="00A2000C"/>
    <w:rsid w:val="00A26C03"/>
    <w:rsid w:val="00A26F50"/>
    <w:rsid w:val="00A312D8"/>
    <w:rsid w:val="00A3343C"/>
    <w:rsid w:val="00A34A2E"/>
    <w:rsid w:val="00A35A86"/>
    <w:rsid w:val="00A42270"/>
    <w:rsid w:val="00A5653F"/>
    <w:rsid w:val="00A62047"/>
    <w:rsid w:val="00A62CFC"/>
    <w:rsid w:val="00A71E5A"/>
    <w:rsid w:val="00A72AB3"/>
    <w:rsid w:val="00A8309A"/>
    <w:rsid w:val="00A96995"/>
    <w:rsid w:val="00AA45C5"/>
    <w:rsid w:val="00AA726F"/>
    <w:rsid w:val="00AB202D"/>
    <w:rsid w:val="00AC4D17"/>
    <w:rsid w:val="00AC73F7"/>
    <w:rsid w:val="00AE24DF"/>
    <w:rsid w:val="00AE4677"/>
    <w:rsid w:val="00AE5E3B"/>
    <w:rsid w:val="00AE6FEC"/>
    <w:rsid w:val="00AF47D4"/>
    <w:rsid w:val="00AF6208"/>
    <w:rsid w:val="00B0290E"/>
    <w:rsid w:val="00B02B94"/>
    <w:rsid w:val="00B0489D"/>
    <w:rsid w:val="00B05324"/>
    <w:rsid w:val="00B06B2E"/>
    <w:rsid w:val="00B11D77"/>
    <w:rsid w:val="00B20863"/>
    <w:rsid w:val="00B211A8"/>
    <w:rsid w:val="00B253FA"/>
    <w:rsid w:val="00B31FB7"/>
    <w:rsid w:val="00B411D0"/>
    <w:rsid w:val="00B47AE7"/>
    <w:rsid w:val="00B52FE5"/>
    <w:rsid w:val="00B5397D"/>
    <w:rsid w:val="00B567AD"/>
    <w:rsid w:val="00B65A54"/>
    <w:rsid w:val="00B65D31"/>
    <w:rsid w:val="00B6743B"/>
    <w:rsid w:val="00B7500D"/>
    <w:rsid w:val="00B75103"/>
    <w:rsid w:val="00B76BE3"/>
    <w:rsid w:val="00B80BCA"/>
    <w:rsid w:val="00B81FF9"/>
    <w:rsid w:val="00B934DD"/>
    <w:rsid w:val="00B93D50"/>
    <w:rsid w:val="00BA3917"/>
    <w:rsid w:val="00BC01FB"/>
    <w:rsid w:val="00BC09B3"/>
    <w:rsid w:val="00BC2A0F"/>
    <w:rsid w:val="00BC3D9A"/>
    <w:rsid w:val="00BD051E"/>
    <w:rsid w:val="00BE5E92"/>
    <w:rsid w:val="00BF20FE"/>
    <w:rsid w:val="00BF3E4B"/>
    <w:rsid w:val="00BF5D49"/>
    <w:rsid w:val="00C0100A"/>
    <w:rsid w:val="00C115A2"/>
    <w:rsid w:val="00C11F19"/>
    <w:rsid w:val="00C15AE7"/>
    <w:rsid w:val="00C21F5C"/>
    <w:rsid w:val="00C21FC7"/>
    <w:rsid w:val="00C32E28"/>
    <w:rsid w:val="00C43892"/>
    <w:rsid w:val="00C5164C"/>
    <w:rsid w:val="00C51D17"/>
    <w:rsid w:val="00C544EC"/>
    <w:rsid w:val="00C60611"/>
    <w:rsid w:val="00C60A5F"/>
    <w:rsid w:val="00C65BF5"/>
    <w:rsid w:val="00C65EF1"/>
    <w:rsid w:val="00C73F78"/>
    <w:rsid w:val="00C75E82"/>
    <w:rsid w:val="00C76E4B"/>
    <w:rsid w:val="00C81304"/>
    <w:rsid w:val="00C813ED"/>
    <w:rsid w:val="00C9137F"/>
    <w:rsid w:val="00C9464F"/>
    <w:rsid w:val="00CA1CE3"/>
    <w:rsid w:val="00CA2DE3"/>
    <w:rsid w:val="00CA3CDA"/>
    <w:rsid w:val="00CB31A6"/>
    <w:rsid w:val="00CB6CB9"/>
    <w:rsid w:val="00CB70A4"/>
    <w:rsid w:val="00CC0E56"/>
    <w:rsid w:val="00CC28CD"/>
    <w:rsid w:val="00CC3B73"/>
    <w:rsid w:val="00CD1E06"/>
    <w:rsid w:val="00CE0C9F"/>
    <w:rsid w:val="00CF0CAE"/>
    <w:rsid w:val="00CF16C6"/>
    <w:rsid w:val="00CF3761"/>
    <w:rsid w:val="00CF5FF7"/>
    <w:rsid w:val="00D12B66"/>
    <w:rsid w:val="00D16189"/>
    <w:rsid w:val="00D17C13"/>
    <w:rsid w:val="00D20571"/>
    <w:rsid w:val="00D25156"/>
    <w:rsid w:val="00D43F50"/>
    <w:rsid w:val="00D50FA2"/>
    <w:rsid w:val="00D5253A"/>
    <w:rsid w:val="00D57CFB"/>
    <w:rsid w:val="00D660CA"/>
    <w:rsid w:val="00D72B8D"/>
    <w:rsid w:val="00D77B3B"/>
    <w:rsid w:val="00D8033C"/>
    <w:rsid w:val="00D83C13"/>
    <w:rsid w:val="00D84B36"/>
    <w:rsid w:val="00D85521"/>
    <w:rsid w:val="00D9146A"/>
    <w:rsid w:val="00D9467E"/>
    <w:rsid w:val="00DA3362"/>
    <w:rsid w:val="00DA6372"/>
    <w:rsid w:val="00DA6B8E"/>
    <w:rsid w:val="00DA7CD0"/>
    <w:rsid w:val="00DB71FC"/>
    <w:rsid w:val="00DB765C"/>
    <w:rsid w:val="00DC1868"/>
    <w:rsid w:val="00DC1FCD"/>
    <w:rsid w:val="00DC466F"/>
    <w:rsid w:val="00DC7317"/>
    <w:rsid w:val="00DC7910"/>
    <w:rsid w:val="00DD0E10"/>
    <w:rsid w:val="00DD3897"/>
    <w:rsid w:val="00DD43F4"/>
    <w:rsid w:val="00DE4964"/>
    <w:rsid w:val="00DE6059"/>
    <w:rsid w:val="00DF5848"/>
    <w:rsid w:val="00DF6E34"/>
    <w:rsid w:val="00E034BA"/>
    <w:rsid w:val="00E060EC"/>
    <w:rsid w:val="00E147C8"/>
    <w:rsid w:val="00E14C4F"/>
    <w:rsid w:val="00E17CBA"/>
    <w:rsid w:val="00E2644E"/>
    <w:rsid w:val="00E46185"/>
    <w:rsid w:val="00E46628"/>
    <w:rsid w:val="00E47EE6"/>
    <w:rsid w:val="00E530DB"/>
    <w:rsid w:val="00E542DB"/>
    <w:rsid w:val="00E5548B"/>
    <w:rsid w:val="00E62177"/>
    <w:rsid w:val="00E6426D"/>
    <w:rsid w:val="00E74140"/>
    <w:rsid w:val="00E77899"/>
    <w:rsid w:val="00E80F46"/>
    <w:rsid w:val="00E82C92"/>
    <w:rsid w:val="00E86701"/>
    <w:rsid w:val="00E86A51"/>
    <w:rsid w:val="00E94D35"/>
    <w:rsid w:val="00E95B92"/>
    <w:rsid w:val="00EA03AB"/>
    <w:rsid w:val="00EA18E2"/>
    <w:rsid w:val="00EC787C"/>
    <w:rsid w:val="00ED131A"/>
    <w:rsid w:val="00ED3160"/>
    <w:rsid w:val="00EF3040"/>
    <w:rsid w:val="00EF4E47"/>
    <w:rsid w:val="00F04776"/>
    <w:rsid w:val="00F07FF3"/>
    <w:rsid w:val="00F159E7"/>
    <w:rsid w:val="00F16439"/>
    <w:rsid w:val="00F24B7C"/>
    <w:rsid w:val="00F33BCB"/>
    <w:rsid w:val="00F35F42"/>
    <w:rsid w:val="00F37672"/>
    <w:rsid w:val="00F45847"/>
    <w:rsid w:val="00F46633"/>
    <w:rsid w:val="00F54888"/>
    <w:rsid w:val="00F55E0E"/>
    <w:rsid w:val="00F60126"/>
    <w:rsid w:val="00F61250"/>
    <w:rsid w:val="00F64F4A"/>
    <w:rsid w:val="00F7259F"/>
    <w:rsid w:val="00F76783"/>
    <w:rsid w:val="00F81C02"/>
    <w:rsid w:val="00F81C4F"/>
    <w:rsid w:val="00F91F01"/>
    <w:rsid w:val="00F94525"/>
    <w:rsid w:val="00FA35DF"/>
    <w:rsid w:val="00FA78E9"/>
    <w:rsid w:val="00FB4FA8"/>
    <w:rsid w:val="00FB69DE"/>
    <w:rsid w:val="00FC2AF2"/>
    <w:rsid w:val="00FC3668"/>
    <w:rsid w:val="00FC40BC"/>
    <w:rsid w:val="00FC4A05"/>
    <w:rsid w:val="00FC56BD"/>
    <w:rsid w:val="00FD4A99"/>
    <w:rsid w:val="00FD7120"/>
    <w:rsid w:val="00FE0B76"/>
    <w:rsid w:val="00FE2E96"/>
    <w:rsid w:val="4832EE42"/>
    <w:rsid w:val="5AE1E6AB"/>
    <w:rsid w:val="60DC99E3"/>
    <w:rsid w:val="72E5D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3D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apple-converted-space">
    <w:name w:val="apple-converted-space"/>
    <w:basedOn w:val="DefaultParagraphFont"/>
    <w:rsid w:val="0047046E"/>
  </w:style>
  <w:style w:type="character" w:customStyle="1" w:styleId="normaltextrun">
    <w:name w:val="normaltextrun"/>
    <w:basedOn w:val="DefaultParagraphFont"/>
    <w:rsid w:val="002C1CB3"/>
  </w:style>
  <w:style w:type="character" w:customStyle="1" w:styleId="eop">
    <w:name w:val="eop"/>
    <w:basedOn w:val="DefaultParagraphFont"/>
    <w:rsid w:val="002C1CB3"/>
  </w:style>
  <w:style w:type="paragraph" w:customStyle="1" w:styleId="xmsonormal">
    <w:name w:val="x_msonormal"/>
    <w:basedOn w:val="Normal"/>
    <w:uiPriority w:val="99"/>
    <w:rsid w:val="00A26C0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15068">
      <w:bodyDiv w:val="1"/>
      <w:marLeft w:val="0"/>
      <w:marRight w:val="0"/>
      <w:marTop w:val="0"/>
      <w:marBottom w:val="0"/>
      <w:divBdr>
        <w:top w:val="none" w:sz="0" w:space="0" w:color="auto"/>
        <w:left w:val="none" w:sz="0" w:space="0" w:color="auto"/>
        <w:bottom w:val="none" w:sz="0" w:space="0" w:color="auto"/>
        <w:right w:val="none" w:sz="0" w:space="0" w:color="auto"/>
      </w:divBdr>
    </w:div>
    <w:div w:id="998921028">
      <w:bodyDiv w:val="1"/>
      <w:marLeft w:val="0"/>
      <w:marRight w:val="0"/>
      <w:marTop w:val="0"/>
      <w:marBottom w:val="0"/>
      <w:divBdr>
        <w:top w:val="none" w:sz="0" w:space="0" w:color="auto"/>
        <w:left w:val="none" w:sz="0" w:space="0" w:color="auto"/>
        <w:bottom w:val="none" w:sz="0" w:space="0" w:color="auto"/>
        <w:right w:val="none" w:sz="0" w:space="0" w:color="auto"/>
      </w:divBdr>
    </w:div>
    <w:div w:id="1131705672">
      <w:bodyDiv w:val="1"/>
      <w:marLeft w:val="0"/>
      <w:marRight w:val="0"/>
      <w:marTop w:val="0"/>
      <w:marBottom w:val="0"/>
      <w:divBdr>
        <w:top w:val="none" w:sz="0" w:space="0" w:color="auto"/>
        <w:left w:val="none" w:sz="0" w:space="0" w:color="auto"/>
        <w:bottom w:val="none" w:sz="0" w:space="0" w:color="auto"/>
        <w:right w:val="none" w:sz="0" w:space="0" w:color="auto"/>
      </w:divBdr>
    </w:div>
    <w:div w:id="1218122863">
      <w:bodyDiv w:val="1"/>
      <w:marLeft w:val="0"/>
      <w:marRight w:val="0"/>
      <w:marTop w:val="0"/>
      <w:marBottom w:val="0"/>
      <w:divBdr>
        <w:top w:val="none" w:sz="0" w:space="0" w:color="auto"/>
        <w:left w:val="none" w:sz="0" w:space="0" w:color="auto"/>
        <w:bottom w:val="none" w:sz="0" w:space="0" w:color="auto"/>
        <w:right w:val="none" w:sz="0" w:space="0" w:color="auto"/>
      </w:divBdr>
    </w:div>
    <w:div w:id="1343168536">
      <w:bodyDiv w:val="1"/>
      <w:marLeft w:val="0"/>
      <w:marRight w:val="0"/>
      <w:marTop w:val="0"/>
      <w:marBottom w:val="0"/>
      <w:divBdr>
        <w:top w:val="none" w:sz="0" w:space="0" w:color="auto"/>
        <w:left w:val="none" w:sz="0" w:space="0" w:color="auto"/>
        <w:bottom w:val="none" w:sz="0" w:space="0" w:color="auto"/>
        <w:right w:val="none" w:sz="0" w:space="0" w:color="auto"/>
      </w:divBdr>
    </w:div>
    <w:div w:id="1599825049">
      <w:bodyDiv w:val="1"/>
      <w:marLeft w:val="0"/>
      <w:marRight w:val="0"/>
      <w:marTop w:val="0"/>
      <w:marBottom w:val="0"/>
      <w:divBdr>
        <w:top w:val="none" w:sz="0" w:space="0" w:color="auto"/>
        <w:left w:val="none" w:sz="0" w:space="0" w:color="auto"/>
        <w:bottom w:val="none" w:sz="0" w:space="0" w:color="auto"/>
        <w:right w:val="none" w:sz="0" w:space="0" w:color="auto"/>
      </w:divBdr>
    </w:div>
    <w:div w:id="1760903773">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demers@cgiar.org" TargetMode="External"/><Relationship Id="rId18" Type="http://schemas.openxmlformats.org/officeDocument/2006/relationships/hyperlink" Target="https://www.sciencedirect.com/science/article/pii/S1470160X18308781?via%3Dihu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ciencedirect.com/science/article/pii/S1470160X18308781?via%3Dihub" TargetMode="Externa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hyperlink" Target="https://cgspace.cgiar.org/handle/10568/106478" TargetMode="External"/><Relationship Id="rId25" Type="http://schemas.openxmlformats.org/officeDocument/2006/relationships/hyperlink" Target="mailto:secretariat@cbd.int" TargetMode="External"/><Relationship Id="rId2" Type="http://schemas.openxmlformats.org/officeDocument/2006/relationships/customXml" Target="../customXml/item2.xml"/><Relationship Id="rId16" Type="http://schemas.openxmlformats.org/officeDocument/2006/relationships/hyperlink" Target="https://www.sciencedirect.com/science/article/pii/S1470160X18308781?via%3Dihub" TargetMode="External"/><Relationship Id="rId20" Type="http://schemas.openxmlformats.org/officeDocument/2006/relationships/hyperlink" Target="https://epi.yale.ed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24" Type="http://schemas.openxmlformats.org/officeDocument/2006/relationships/hyperlink" Target="https://www.mdpi.com/2071-1050/12/2/715" TargetMode="External"/><Relationship Id="rId5" Type="http://schemas.openxmlformats.org/officeDocument/2006/relationships/numbering" Target="numbering.xml"/><Relationship Id="rId15" Type="http://schemas.openxmlformats.org/officeDocument/2006/relationships/hyperlink" Target="https://cgspace.cgiar.org/handle/10568/106478" TargetMode="External"/><Relationship Id="rId23" Type="http://schemas.openxmlformats.org/officeDocument/2006/relationships/hyperlink" Target="https://www.mdpi.com/2071-1050/12/2/71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iencedirect.com/science/article/pii/S1470160X18308781?via%3Dihu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avarrete@cgiar.org" TargetMode="External"/><Relationship Id="rId22" Type="http://schemas.openxmlformats.org/officeDocument/2006/relationships/hyperlink" Target="https://www.cbd.int/api/v2013/documents/2009F679-F104-6CD7-961E-AF2C44CE5618/attachments/CGIAR.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100E051D5F5448B413B972EBDBB81" ma:contentTypeVersion="13" ma:contentTypeDescription="Create a new document." ma:contentTypeScope="" ma:versionID="d139c8477d89154bdeb1340a24ac1d1d">
  <xsd:schema xmlns:xsd="http://www.w3.org/2001/XMLSchema" xmlns:xs="http://www.w3.org/2001/XMLSchema" xmlns:p="http://schemas.microsoft.com/office/2006/metadata/properties" xmlns:ns3="0283e688-d2f2-4fe8-88b1-ff0d421993b4" xmlns:ns4="66aafe5f-624a-4ac2-9f5a-05544efd3e73" targetNamespace="http://schemas.microsoft.com/office/2006/metadata/properties" ma:root="true" ma:fieldsID="c26d81ee059793e00118fdf10f6bb345" ns3:_="" ns4:_="">
    <xsd:import namespace="0283e688-d2f2-4fe8-88b1-ff0d421993b4"/>
    <xsd:import namespace="66aafe5f-624a-4ac2-9f5a-05544efd3e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3e688-d2f2-4fe8-88b1-ff0d421993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afe5f-624a-4ac2-9f5a-05544efd3e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FC3E-FDAB-441E-AB4D-9B526EA45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3e688-d2f2-4fe8-88b1-ff0d421993b4"/>
    <ds:schemaRef ds:uri="66aafe5f-624a-4ac2-9f5a-05544efd3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3C356-385A-486B-8566-AC017C20DF3A}">
  <ds:schemaRefs>
    <ds:schemaRef ds:uri="http://schemas.microsoft.com/sharepoint/v3/contenttype/forms"/>
  </ds:schemaRefs>
</ds:datastoreItem>
</file>

<file path=customXml/itemProps3.xml><?xml version="1.0" encoding="utf-8"?>
<ds:datastoreItem xmlns:ds="http://schemas.openxmlformats.org/officeDocument/2006/customXml" ds:itemID="{A0F12ECF-FC1F-4A03-B076-A55B0C1594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9B6AB-6968-4992-ABB0-85FAAA35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14</Pages>
  <Words>5298</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Guidelines for the review of the technical background documents</vt:lpstr>
    </vt:vector>
  </TitlesOfParts>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2020-08-14T17:26:00Z</dcterms:created>
  <dcterms:modified xsi:type="dcterms:W3CDTF">2020-08-16T00:50:00Z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0x010100400100E051D5F5448B413B972EBDBB81</vt:lpwstr>
  </property>
</Properties>
</file>