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1231"/>
        <w:gridCol w:w="1711"/>
        <w:gridCol w:w="6804"/>
      </w:tblGrid>
      <w:tr w:rsidR="00236608" w:rsidRPr="000C0B6C" w14:paraId="6598FBAB" w14:textId="77777777" w:rsidTr="00B0013B">
        <w:trPr>
          <w:trHeight w:val="233"/>
        </w:trPr>
        <w:tc>
          <w:tcPr>
            <w:tcW w:w="10415"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B0013B">
        <w:trPr>
          <w:trHeight w:val="270"/>
        </w:trPr>
        <w:tc>
          <w:tcPr>
            <w:tcW w:w="3611"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tcPr>
          <w:p w14:paraId="08B4F522" w14:textId="65D3D5E7" w:rsidR="00236608" w:rsidRPr="000C0B6C" w:rsidRDefault="002E1618" w:rsidP="009251C2">
            <w:r>
              <w:t>Karayannis</w:t>
            </w:r>
          </w:p>
        </w:tc>
      </w:tr>
      <w:tr w:rsidR="00236608" w:rsidRPr="000C0B6C" w14:paraId="70478EC8" w14:textId="77777777" w:rsidTr="00B0013B">
        <w:trPr>
          <w:trHeight w:val="270"/>
        </w:trPr>
        <w:tc>
          <w:tcPr>
            <w:tcW w:w="3611"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tcPr>
          <w:p w14:paraId="618617AF" w14:textId="527B9E01" w:rsidR="00236608" w:rsidRPr="000C0B6C" w:rsidRDefault="002E1618" w:rsidP="009251C2">
            <w:r>
              <w:t>Theofanis</w:t>
            </w:r>
          </w:p>
        </w:tc>
      </w:tr>
      <w:tr w:rsidR="00236608" w:rsidRPr="000C0B6C" w14:paraId="60004B01" w14:textId="77777777" w:rsidTr="00B0013B">
        <w:trPr>
          <w:trHeight w:val="280"/>
        </w:trPr>
        <w:tc>
          <w:tcPr>
            <w:tcW w:w="3611"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tcPr>
          <w:p w14:paraId="44573104" w14:textId="5BF31D2C" w:rsidR="00236608" w:rsidRPr="000C0B6C" w:rsidRDefault="002E1618" w:rsidP="009251C2">
            <w:r>
              <w:t>N/A</w:t>
            </w:r>
          </w:p>
        </w:tc>
      </w:tr>
      <w:tr w:rsidR="00236608" w:rsidRPr="000C0B6C" w14:paraId="41DAE210" w14:textId="77777777" w:rsidTr="00B0013B">
        <w:trPr>
          <w:trHeight w:val="270"/>
        </w:trPr>
        <w:tc>
          <w:tcPr>
            <w:tcW w:w="3611"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tcPr>
          <w:p w14:paraId="6DC88D1F" w14:textId="15CE94AC" w:rsidR="00236608" w:rsidRPr="000C0B6C" w:rsidRDefault="009C3917" w:rsidP="009251C2">
            <w:r>
              <w:t>International Maritime Organization</w:t>
            </w:r>
          </w:p>
        </w:tc>
      </w:tr>
      <w:tr w:rsidR="00236608" w:rsidRPr="000C0B6C" w14:paraId="19EAFF8D" w14:textId="77777777" w:rsidTr="00B0013B">
        <w:trPr>
          <w:trHeight w:val="280"/>
        </w:trPr>
        <w:tc>
          <w:tcPr>
            <w:tcW w:w="3611"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tcPr>
          <w:p w14:paraId="1BEACDEF" w14:textId="3645B8CB" w:rsidR="00236608" w:rsidRPr="000C0B6C" w:rsidRDefault="009C3917" w:rsidP="009251C2">
            <w:r>
              <w:t>4 Albert Embankment</w:t>
            </w:r>
          </w:p>
        </w:tc>
      </w:tr>
      <w:tr w:rsidR="00236608" w:rsidRPr="000C0B6C" w14:paraId="3310BC30" w14:textId="77777777" w:rsidTr="00B0013B">
        <w:trPr>
          <w:trHeight w:val="270"/>
        </w:trPr>
        <w:tc>
          <w:tcPr>
            <w:tcW w:w="3611"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tcPr>
          <w:p w14:paraId="160AB00E" w14:textId="7BE2D8B8" w:rsidR="00236608" w:rsidRPr="000C0B6C" w:rsidRDefault="009C3917" w:rsidP="009251C2">
            <w:r>
              <w:t>London</w:t>
            </w:r>
          </w:p>
        </w:tc>
      </w:tr>
      <w:tr w:rsidR="00236608" w:rsidRPr="000C0B6C" w14:paraId="0303D967" w14:textId="77777777" w:rsidTr="00B0013B">
        <w:trPr>
          <w:trHeight w:val="280"/>
        </w:trPr>
        <w:tc>
          <w:tcPr>
            <w:tcW w:w="3611"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tcPr>
          <w:p w14:paraId="213ED87C" w14:textId="20E9CB1C" w:rsidR="00236608" w:rsidRPr="000C0B6C" w:rsidRDefault="009C3917" w:rsidP="009251C2">
            <w:r>
              <w:t>United Kingdom</w:t>
            </w:r>
          </w:p>
        </w:tc>
      </w:tr>
      <w:tr w:rsidR="00236608" w:rsidRPr="000C0B6C" w14:paraId="7C74835B" w14:textId="77777777" w:rsidTr="00B0013B">
        <w:trPr>
          <w:trHeight w:val="233"/>
        </w:trPr>
        <w:tc>
          <w:tcPr>
            <w:tcW w:w="3611"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804" w:type="dxa"/>
          </w:tcPr>
          <w:p w14:paraId="118A29DB" w14:textId="4274CD77" w:rsidR="00236608" w:rsidRPr="000C0B6C" w:rsidRDefault="002E1618" w:rsidP="009251C2">
            <w:r>
              <w:t>tkarayan@imo.org</w:t>
            </w:r>
          </w:p>
        </w:tc>
      </w:tr>
      <w:tr w:rsidR="00236608" w:rsidRPr="000C0B6C" w14:paraId="623341FC" w14:textId="77777777" w:rsidTr="00B0013B">
        <w:trPr>
          <w:trHeight w:val="224"/>
        </w:trPr>
        <w:tc>
          <w:tcPr>
            <w:tcW w:w="10415"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B0013B">
        <w:trPr>
          <w:trHeight w:val="224"/>
        </w:trPr>
        <w:tc>
          <w:tcPr>
            <w:tcW w:w="10415" w:type="dxa"/>
            <w:gridSpan w:val="4"/>
          </w:tcPr>
          <w:p w14:paraId="7429EBD8" w14:textId="47BFA9A3" w:rsidR="008C7855" w:rsidRPr="000C0B6C" w:rsidRDefault="000D7F73" w:rsidP="009251C2">
            <w:pPr>
              <w:rPr>
                <w:b/>
                <w:sz w:val="22"/>
                <w:szCs w:val="22"/>
              </w:rPr>
            </w:pPr>
            <w:r>
              <w:rPr>
                <w:b/>
                <w:sz w:val="22"/>
                <w:szCs w:val="22"/>
              </w:rPr>
              <w:t xml:space="preserve">In general, we lack a reference to the importance of the established conventions and regulatory frameworks (such as the treaties under IMO’s remit), and how these contribute to the achievement of the targets. This could be added as a short section, or references to be added in several paragraphs, e.g. in paragraphs 46-50, 63-65, </w:t>
            </w:r>
            <w:r w:rsidR="003C736D">
              <w:rPr>
                <w:b/>
                <w:sz w:val="22"/>
                <w:szCs w:val="22"/>
              </w:rPr>
              <w:t xml:space="preserve">67-68, </w:t>
            </w:r>
            <w:r>
              <w:rPr>
                <w:b/>
                <w:sz w:val="22"/>
                <w:szCs w:val="22"/>
              </w:rPr>
              <w:t xml:space="preserve">71-72 </w:t>
            </w:r>
            <w:r w:rsidR="0068261A">
              <w:rPr>
                <w:b/>
                <w:sz w:val="22"/>
                <w:szCs w:val="22"/>
              </w:rPr>
              <w:t xml:space="preserve">and 73-75. </w:t>
            </w:r>
            <w:r w:rsidR="003C736D">
              <w:rPr>
                <w:b/>
                <w:sz w:val="22"/>
                <w:szCs w:val="22"/>
              </w:rPr>
              <w:t>A few</w:t>
            </w:r>
            <w:r w:rsidR="0068261A">
              <w:rPr>
                <w:b/>
                <w:sz w:val="22"/>
                <w:szCs w:val="22"/>
              </w:rPr>
              <w:t xml:space="preserve"> such example</w:t>
            </w:r>
            <w:r w:rsidR="003C736D">
              <w:rPr>
                <w:b/>
                <w:sz w:val="22"/>
                <w:szCs w:val="22"/>
              </w:rPr>
              <w:t>s</w:t>
            </w:r>
            <w:r w:rsidR="0068261A">
              <w:rPr>
                <w:b/>
                <w:sz w:val="22"/>
                <w:szCs w:val="22"/>
              </w:rPr>
              <w:t xml:space="preserve"> </w:t>
            </w:r>
            <w:r w:rsidR="003C736D">
              <w:rPr>
                <w:b/>
                <w:sz w:val="22"/>
                <w:szCs w:val="22"/>
              </w:rPr>
              <w:t>are</w:t>
            </w:r>
            <w:r w:rsidR="0068261A">
              <w:rPr>
                <w:b/>
                <w:sz w:val="22"/>
                <w:szCs w:val="22"/>
              </w:rPr>
              <w:t xml:space="preserve"> made below for paragraph</w:t>
            </w:r>
            <w:r w:rsidR="003C736D">
              <w:rPr>
                <w:b/>
                <w:sz w:val="22"/>
                <w:szCs w:val="22"/>
              </w:rPr>
              <w:t>s 67, 68 and</w:t>
            </w:r>
            <w:r w:rsidR="0068261A">
              <w:rPr>
                <w:b/>
                <w:sz w:val="22"/>
                <w:szCs w:val="22"/>
              </w:rPr>
              <w:t xml:space="preserve"> 72</w:t>
            </w:r>
            <w:r w:rsidR="003C736D">
              <w:rPr>
                <w:b/>
                <w:sz w:val="22"/>
                <w:szCs w:val="22"/>
              </w:rPr>
              <w:t>.</w:t>
            </w:r>
          </w:p>
        </w:tc>
      </w:tr>
      <w:tr w:rsidR="008C7855" w:rsidRPr="000C0B6C" w14:paraId="50F9BB95" w14:textId="77777777" w:rsidTr="00B0013B">
        <w:trPr>
          <w:trHeight w:val="224"/>
        </w:trPr>
        <w:tc>
          <w:tcPr>
            <w:tcW w:w="10415"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B0013B">
        <w:trPr>
          <w:trHeight w:val="224"/>
        </w:trPr>
        <w:tc>
          <w:tcPr>
            <w:tcW w:w="669"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515"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B0013B">
        <w:trPr>
          <w:trHeight w:val="224"/>
        </w:trPr>
        <w:tc>
          <w:tcPr>
            <w:tcW w:w="669" w:type="dxa"/>
          </w:tcPr>
          <w:p w14:paraId="46581EE4" w14:textId="75C10224" w:rsidR="00236608" w:rsidRPr="000C0B6C" w:rsidRDefault="00754EED" w:rsidP="009251C2">
            <w:r>
              <w:t>1</w:t>
            </w:r>
            <w:r w:rsidR="009E4C8A">
              <w:t>6</w:t>
            </w:r>
          </w:p>
        </w:tc>
        <w:tc>
          <w:tcPr>
            <w:tcW w:w="1231" w:type="dxa"/>
          </w:tcPr>
          <w:p w14:paraId="3DA5E0E9" w14:textId="522F5BF2" w:rsidR="00236608" w:rsidRPr="000C0B6C" w:rsidRDefault="00754EED" w:rsidP="009251C2">
            <w:r>
              <w:t>67</w:t>
            </w:r>
          </w:p>
        </w:tc>
        <w:tc>
          <w:tcPr>
            <w:tcW w:w="8515" w:type="dxa"/>
            <w:gridSpan w:val="2"/>
          </w:tcPr>
          <w:p w14:paraId="30D6C5F0" w14:textId="14583DC9" w:rsidR="00236608" w:rsidRDefault="00754EED" w:rsidP="009251C2">
            <w:r>
              <w:t>Some clarity regarding the caveats and conclusions of the study cited in reference 60 on a predicted increase in invasive species from shipping is necessary. The study does not take into account</w:t>
            </w:r>
            <w:r w:rsidR="008E2F14">
              <w:t xml:space="preserve"> the implementation of</w:t>
            </w:r>
            <w:r>
              <w:t xml:space="preserve"> instruments </w:t>
            </w:r>
            <w:r w:rsidR="008E2F14">
              <w:t xml:space="preserve">already </w:t>
            </w:r>
            <w:r>
              <w:t>developed to prevent IAS introductions by shipping, including the Ballast Water Management Convention and the Biofouling Guidelines</w:t>
            </w:r>
            <w:r w:rsidR="008E2F14">
              <w:t>.</w:t>
            </w:r>
            <w:r>
              <w:t xml:space="preserve"> </w:t>
            </w:r>
            <w:r w:rsidR="005852A6">
              <w:t xml:space="preserve">Further, the authors of this study developed their own forecasts of shipping traffic to 2050, using various economic scenarios and limited historical traffic data. These estimates differ by an order of magnitude from the IMO's </w:t>
            </w:r>
            <w:r w:rsidR="008E2F14">
              <w:t xml:space="preserve">own </w:t>
            </w:r>
            <w:r w:rsidR="005852A6">
              <w:t>estimates of shipping</w:t>
            </w:r>
            <w:r w:rsidR="006E22E0">
              <w:t xml:space="preserve"> traffic</w:t>
            </w:r>
            <w:r w:rsidR="005852A6">
              <w:t xml:space="preserve"> increases to 2050 (based </w:t>
            </w:r>
            <w:r w:rsidR="00AE7A76">
              <w:t>partly</w:t>
            </w:r>
            <w:r w:rsidR="005852A6">
              <w:t xml:space="preserve"> on</w:t>
            </w:r>
            <w:r w:rsidR="00AE7A76">
              <w:t xml:space="preserve"> the same</w:t>
            </w:r>
            <w:r w:rsidR="005852A6">
              <w:t xml:space="preserve"> economic scenarios)</w:t>
            </w:r>
            <w:r w:rsidR="008E2F14">
              <w:t>, which we believe should be the primary source for such information as IMO is the competent UN body on shipping</w:t>
            </w:r>
            <w:r w:rsidR="005852A6">
              <w:t>. Therefore, our suggestions for th</w:t>
            </w:r>
            <w:r w:rsidR="00D37AB3">
              <w:t xml:space="preserve">e second sentence of this paragraph </w:t>
            </w:r>
            <w:r w:rsidR="005852A6">
              <w:t xml:space="preserve">are as follows: </w:t>
            </w:r>
          </w:p>
          <w:p w14:paraId="1794FD68" w14:textId="276EAB32" w:rsidR="00DC1DD6" w:rsidRDefault="00DC1DD6" w:rsidP="005852A6">
            <w:pPr>
              <w:pStyle w:val="ListParagraph"/>
              <w:numPr>
                <w:ilvl w:val="0"/>
                <w:numId w:val="1"/>
              </w:numPr>
            </w:pPr>
            <w:r>
              <w:t>This sentence should be qualitative, rather than quantitative, in order to keep the main points while also reflecting the uncertainties as described above (more specific suggestions follow)</w:t>
            </w:r>
          </w:p>
          <w:p w14:paraId="4F915804" w14:textId="7CB5356C" w:rsidR="005852A6" w:rsidRDefault="005852A6" w:rsidP="005852A6">
            <w:pPr>
              <w:pStyle w:val="ListParagraph"/>
              <w:numPr>
                <w:ilvl w:val="0"/>
                <w:numId w:val="1"/>
              </w:numPr>
            </w:pPr>
            <w:r>
              <w:t xml:space="preserve">Replace "is likely to" in the second sentence with "could significantly" to reflect </w:t>
            </w:r>
            <w:r w:rsidR="00AE7A76">
              <w:t xml:space="preserve">the </w:t>
            </w:r>
            <w:r>
              <w:t xml:space="preserve">uncertainty </w:t>
            </w:r>
          </w:p>
          <w:p w14:paraId="507B619D" w14:textId="7A7BEFC2" w:rsidR="005852A6" w:rsidRDefault="005852A6" w:rsidP="005852A6">
            <w:pPr>
              <w:pStyle w:val="ListParagraph"/>
              <w:numPr>
                <w:ilvl w:val="0"/>
                <w:numId w:val="1"/>
              </w:numPr>
            </w:pPr>
            <w:r>
              <w:t>Add the word "aquatic" before invasions in the second sentence</w:t>
            </w:r>
            <w:r w:rsidR="00DC1DD6">
              <w:t xml:space="preserve"> for </w:t>
            </w:r>
            <w:r w:rsidR="008E2F14">
              <w:t>accuracy</w:t>
            </w:r>
          </w:p>
          <w:p w14:paraId="70C36DEF" w14:textId="15B1E9E1" w:rsidR="005852A6" w:rsidRDefault="005852A6" w:rsidP="005852A6">
            <w:pPr>
              <w:pStyle w:val="ListParagraph"/>
              <w:numPr>
                <w:ilvl w:val="0"/>
                <w:numId w:val="1"/>
              </w:numPr>
            </w:pPr>
            <w:r>
              <w:t xml:space="preserve">Remove the words "by between 3 and 20 times by 2050" as this conclusion should be qualitative as </w:t>
            </w:r>
            <w:r w:rsidR="00DC1DD6">
              <w:t>mentioned</w:t>
            </w:r>
            <w:r>
              <w:t xml:space="preserve"> in 1), given the uncertainties </w:t>
            </w:r>
            <w:r w:rsidR="008E2F14">
              <w:t xml:space="preserve">and discrepancies </w:t>
            </w:r>
            <w:r>
              <w:t>described</w:t>
            </w:r>
          </w:p>
          <w:p w14:paraId="3C90C428" w14:textId="30761D12" w:rsidR="005852A6" w:rsidRDefault="00D37AB3" w:rsidP="005852A6">
            <w:pPr>
              <w:pStyle w:val="ListParagraph"/>
              <w:numPr>
                <w:ilvl w:val="0"/>
                <w:numId w:val="1"/>
              </w:numPr>
            </w:pPr>
            <w:r>
              <w:t xml:space="preserve">The phrase "projected growth in shipping" should be followed by citations to </w:t>
            </w:r>
            <w:r w:rsidR="00A24237">
              <w:t>r</w:t>
            </w:r>
            <w:r w:rsidR="005852A6">
              <w:t xml:space="preserve">eference 59bis (the 4th IMO GHG study, which contains shipping traffic </w:t>
            </w:r>
            <w:r w:rsidR="005852A6">
              <w:lastRenderedPageBreak/>
              <w:t xml:space="preserve">projections to 2050 as approved by the competent UN body on shipping) </w:t>
            </w:r>
            <w:r w:rsidR="00A24237">
              <w:t>ahead of</w:t>
            </w:r>
            <w:r w:rsidR="005852A6">
              <w:t xml:space="preserve"> reference 60</w:t>
            </w:r>
          </w:p>
          <w:p w14:paraId="55116F34" w14:textId="3E4603B2" w:rsidR="005852A6" w:rsidRDefault="005852A6" w:rsidP="005852A6">
            <w:pPr>
              <w:pStyle w:val="ListParagraph"/>
              <w:numPr>
                <w:ilvl w:val="0"/>
                <w:numId w:val="1"/>
              </w:numPr>
            </w:pPr>
            <w:r>
              <w:t xml:space="preserve">Make clear that the predicted increase in invasive species from shipping </w:t>
            </w:r>
            <w:r w:rsidR="00A24237">
              <w:t xml:space="preserve">in reference 60 reflects a ‘no action’ scenario that </w:t>
            </w:r>
            <w:r>
              <w:t>does not take into account existing instruments: we suggest adding the text "</w:t>
            </w:r>
            <w:r w:rsidR="00D866A3">
              <w:t>without</w:t>
            </w:r>
            <w:r w:rsidR="00774013" w:rsidRPr="00774013">
              <w:t xml:space="preserve"> management of shipping-mediated vectors, </w:t>
            </w:r>
            <w:r w:rsidR="00D866A3">
              <w:t xml:space="preserve">thus underscoring the importance of </w:t>
            </w:r>
            <w:r w:rsidR="00A24237">
              <w:t xml:space="preserve">existing </w:t>
            </w:r>
            <w:r w:rsidR="00774013" w:rsidRPr="00774013">
              <w:t>instruments to prevent introductions via ballast water</w:t>
            </w:r>
            <w:r w:rsidR="00774013" w:rsidRPr="00774013">
              <w:rPr>
                <w:vertAlign w:val="superscript"/>
              </w:rPr>
              <w:t xml:space="preserve">60bis </w:t>
            </w:r>
            <w:r w:rsidR="00774013" w:rsidRPr="00774013">
              <w:t xml:space="preserve"> and biofouling</w:t>
            </w:r>
            <w:r w:rsidR="00774013" w:rsidRPr="00774013">
              <w:rPr>
                <w:vertAlign w:val="superscript"/>
              </w:rPr>
              <w:t>60ter</w:t>
            </w:r>
            <w:r>
              <w:t xml:space="preserve"> </w:t>
            </w:r>
            <w:r w:rsidR="00774013">
              <w:t>."</w:t>
            </w:r>
            <w:r w:rsidR="00DC1DD6">
              <w:t xml:space="preserve"> to the end of the sentence</w:t>
            </w:r>
          </w:p>
          <w:p w14:paraId="1741F3A2" w14:textId="77777777" w:rsidR="00AE7A76" w:rsidRDefault="00AE7A76" w:rsidP="00774013"/>
          <w:p w14:paraId="3825DEE8" w14:textId="11D2D2F1" w:rsidR="00AE7A76" w:rsidRDefault="00AE7A76" w:rsidP="00774013">
            <w:r>
              <w:t>Thus, the suggested second sentence is:</w:t>
            </w:r>
          </w:p>
          <w:p w14:paraId="5FF32238" w14:textId="0D74A0CE" w:rsidR="00AE7A76" w:rsidRPr="003C736D" w:rsidRDefault="00AE7A76" w:rsidP="00774013"/>
          <w:p w14:paraId="4E49A5DF" w14:textId="4324C4C9" w:rsidR="00AE7A76" w:rsidRPr="003C736D" w:rsidRDefault="00AE7A76" w:rsidP="00774013">
            <w:r w:rsidRPr="003C736D">
              <w:rPr>
                <w:color w:val="000000"/>
              </w:rPr>
              <w:t>"Indeed, the projected growth in shipping</w:t>
            </w:r>
            <w:r w:rsidR="00DC1DD6" w:rsidRPr="00894367">
              <w:rPr>
                <w:color w:val="000000"/>
                <w:u w:val="single"/>
                <w:vertAlign w:val="superscript"/>
              </w:rPr>
              <w:t>59bis,60</w:t>
            </w:r>
            <w:r w:rsidRPr="003C736D">
              <w:rPr>
                <w:color w:val="000000"/>
              </w:rPr>
              <w:t xml:space="preserve"> </w:t>
            </w:r>
            <w:r w:rsidR="00A5175E" w:rsidRPr="00A5175E">
              <w:rPr>
                <w:strike/>
                <w:color w:val="000000"/>
              </w:rPr>
              <w:t>is likely to</w:t>
            </w:r>
            <w:r w:rsidR="00A5175E" w:rsidRPr="00A5175E">
              <w:rPr>
                <w:color w:val="000000"/>
              </w:rPr>
              <w:t xml:space="preserve"> </w:t>
            </w:r>
            <w:r w:rsidRPr="00894367">
              <w:rPr>
                <w:color w:val="000000"/>
                <w:u w:val="single"/>
              </w:rPr>
              <w:t>could significantly</w:t>
            </w:r>
            <w:r w:rsidRPr="003C736D">
              <w:rPr>
                <w:color w:val="000000"/>
              </w:rPr>
              <w:t xml:space="preserve"> increase the risk of </w:t>
            </w:r>
            <w:r w:rsidRPr="00894367">
              <w:rPr>
                <w:color w:val="000000"/>
                <w:u w:val="single"/>
              </w:rPr>
              <w:t>aquatic</w:t>
            </w:r>
            <w:r w:rsidRPr="003C736D">
              <w:rPr>
                <w:color w:val="000000"/>
              </w:rPr>
              <w:t xml:space="preserve"> invasions</w:t>
            </w:r>
            <w:r w:rsidR="00A5175E">
              <w:t xml:space="preserve"> </w:t>
            </w:r>
            <w:r w:rsidR="00A5175E" w:rsidRPr="00A5175E">
              <w:rPr>
                <w:strike/>
                <w:color w:val="000000"/>
              </w:rPr>
              <w:t>by between 3 and 20 times by 2050</w:t>
            </w:r>
            <w:r w:rsidRPr="003C736D">
              <w:rPr>
                <w:color w:val="000000"/>
                <w:vertAlign w:val="superscript"/>
              </w:rPr>
              <w:t>60</w:t>
            </w:r>
            <w:r w:rsidRPr="003C736D">
              <w:rPr>
                <w:color w:val="000000"/>
              </w:rPr>
              <w:t xml:space="preserve"> </w:t>
            </w:r>
            <w:r w:rsidR="00D866A3" w:rsidRPr="00894367">
              <w:rPr>
                <w:color w:val="000000"/>
                <w:u w:val="single"/>
              </w:rPr>
              <w:t xml:space="preserve">without </w:t>
            </w:r>
            <w:r w:rsidRPr="00894367">
              <w:rPr>
                <w:color w:val="000000"/>
                <w:u w:val="single"/>
              </w:rPr>
              <w:t xml:space="preserve">management of shipping-mediated vectors, </w:t>
            </w:r>
            <w:r w:rsidR="00D866A3" w:rsidRPr="00894367">
              <w:rPr>
                <w:color w:val="000000"/>
                <w:u w:val="single"/>
              </w:rPr>
              <w:t xml:space="preserve">thus </w:t>
            </w:r>
            <w:r w:rsidR="00DC1DD6" w:rsidRPr="00894367">
              <w:rPr>
                <w:color w:val="000000"/>
                <w:u w:val="single"/>
              </w:rPr>
              <w:t>underscoring the importance of</w:t>
            </w:r>
            <w:r w:rsidR="00A24237" w:rsidRPr="00894367">
              <w:rPr>
                <w:color w:val="000000"/>
                <w:u w:val="single"/>
              </w:rPr>
              <w:t xml:space="preserve"> existing</w:t>
            </w:r>
            <w:r w:rsidR="00DC1DD6" w:rsidRPr="00894367">
              <w:rPr>
                <w:color w:val="000000"/>
                <w:u w:val="single"/>
              </w:rPr>
              <w:t xml:space="preserve"> </w:t>
            </w:r>
            <w:r w:rsidRPr="00894367">
              <w:rPr>
                <w:color w:val="000000"/>
                <w:u w:val="single"/>
              </w:rPr>
              <w:t>instruments to prevent introductions via ballast water</w:t>
            </w:r>
            <w:r w:rsidRPr="00894367">
              <w:rPr>
                <w:color w:val="000000"/>
                <w:u w:val="single"/>
                <w:vertAlign w:val="superscript"/>
              </w:rPr>
              <w:t xml:space="preserve">60bis </w:t>
            </w:r>
            <w:r w:rsidRPr="00894367">
              <w:rPr>
                <w:color w:val="000000"/>
                <w:u w:val="single"/>
              </w:rPr>
              <w:t xml:space="preserve"> and biofouling</w:t>
            </w:r>
            <w:r w:rsidRPr="00894367">
              <w:rPr>
                <w:color w:val="000000"/>
                <w:u w:val="single"/>
                <w:vertAlign w:val="superscript"/>
              </w:rPr>
              <w:t>60ter</w:t>
            </w:r>
            <w:r w:rsidRPr="003C736D">
              <w:rPr>
                <w:color w:val="000000"/>
              </w:rPr>
              <w:t>."</w:t>
            </w:r>
          </w:p>
          <w:p w14:paraId="3A8CDE43" w14:textId="77777777" w:rsidR="00AE7A76" w:rsidRPr="003C736D" w:rsidRDefault="00AE7A76" w:rsidP="00774013"/>
          <w:p w14:paraId="59573BC8" w14:textId="1FE54B77" w:rsidR="00774013" w:rsidRDefault="00AE7A76" w:rsidP="00774013">
            <w:r>
              <w:t>Suggested additional r</w:t>
            </w:r>
            <w:r w:rsidR="00774013">
              <w:t>eferences:</w:t>
            </w:r>
          </w:p>
          <w:p w14:paraId="356BB486" w14:textId="77777777" w:rsidR="00AE7A76" w:rsidRDefault="00AE7A76" w:rsidP="00774013"/>
          <w:p w14:paraId="48866A69" w14:textId="73F21CAB" w:rsidR="00774013" w:rsidRDefault="00774013" w:rsidP="00774013">
            <w:r>
              <w:t>59bis: Faber, Kleijn et al (2020).</w:t>
            </w:r>
            <w:r w:rsidR="00A5175E">
              <w:t xml:space="preserve"> </w:t>
            </w:r>
            <w:r>
              <w:t xml:space="preserve">Fourth IMO Greenhouse Gas Study </w:t>
            </w:r>
            <w:hyperlink r:id="rId9" w:history="1">
              <w:r w:rsidRPr="00FB0C55">
                <w:rPr>
                  <w:rStyle w:val="Hyperlink"/>
                </w:rPr>
                <w:t>https://www.cedelft.eu/en/publications/2488/fourth-imo-greenhouse-gas-study</w:t>
              </w:r>
            </w:hyperlink>
          </w:p>
          <w:p w14:paraId="3F698B02" w14:textId="77777777" w:rsidR="00774013" w:rsidRDefault="00774013" w:rsidP="00774013"/>
          <w:p w14:paraId="51FCA744" w14:textId="11D6BAFB" w:rsidR="00AE7A76" w:rsidRDefault="00774013" w:rsidP="00AE7A76">
            <w:pPr>
              <w:rPr>
                <w:i/>
                <w:iCs/>
              </w:rPr>
            </w:pPr>
            <w:r>
              <w:t xml:space="preserve">60bis: </w:t>
            </w:r>
            <w:r w:rsidR="00AE7A76" w:rsidRPr="00AE7A76">
              <w:rPr>
                <w:i/>
                <w:iCs/>
              </w:rPr>
              <w:t>International Convention for the Control and Management of Ships’ Ballast Water and Sediments, 2004</w:t>
            </w:r>
            <w:r w:rsidR="00AA3ED3">
              <w:t xml:space="preserve"> </w:t>
            </w:r>
            <w:hyperlink r:id="rId10" w:history="1">
              <w:r w:rsidR="00AA3ED3" w:rsidRPr="00AA3ED3">
                <w:rPr>
                  <w:rStyle w:val="Hyperlink"/>
                </w:rPr>
                <w:t>https://www.imo.org/en/OurWork/Environment/Pages/BallastWaterManagement.aspx</w:t>
              </w:r>
            </w:hyperlink>
            <w:r w:rsidR="00AA3ED3" w:rsidRPr="00AA3ED3">
              <w:t xml:space="preserve"> </w:t>
            </w:r>
          </w:p>
          <w:p w14:paraId="2D9FD0CB" w14:textId="6719B836" w:rsidR="00AE7A76" w:rsidRDefault="00AE7A76" w:rsidP="00AE7A76">
            <w:pPr>
              <w:rPr>
                <w:i/>
                <w:iCs/>
              </w:rPr>
            </w:pPr>
          </w:p>
          <w:p w14:paraId="145BA087" w14:textId="281954D7" w:rsidR="00AE7A76" w:rsidRPr="00AE7A76" w:rsidRDefault="00AE7A76" w:rsidP="00AE7A76">
            <w:r>
              <w:t xml:space="preserve">60ter: </w:t>
            </w:r>
            <w:r w:rsidRPr="00AE7A76">
              <w:rPr>
                <w:i/>
                <w:iCs/>
              </w:rPr>
              <w:t>Guidelines for the control and management of ships' biofouling to minimize the transfer of invasive aquatic species</w:t>
            </w:r>
            <w:r w:rsidRPr="00AE7A76">
              <w:t> </w:t>
            </w:r>
            <w:hyperlink r:id="rId11" w:history="1">
              <w:r w:rsidRPr="00AE7A76">
                <w:rPr>
                  <w:rStyle w:val="Hyperlink"/>
                </w:rPr>
                <w:t>(resolutio</w:t>
              </w:r>
              <w:r w:rsidRPr="00AE7A76">
                <w:rPr>
                  <w:rStyle w:val="Hyperlink"/>
                </w:rPr>
                <w:t>n</w:t>
              </w:r>
              <w:r w:rsidRPr="00AE7A76">
                <w:rPr>
                  <w:rStyle w:val="Hyperlink"/>
                </w:rPr>
                <w:t xml:space="preserve"> MEPC.207(62))</w:t>
              </w:r>
            </w:hyperlink>
          </w:p>
          <w:p w14:paraId="1FB20CA9" w14:textId="64A9C7D3" w:rsidR="00774013" w:rsidRPr="000C0B6C" w:rsidRDefault="00774013" w:rsidP="00774013"/>
        </w:tc>
      </w:tr>
      <w:tr w:rsidR="00236608" w:rsidRPr="000C0B6C" w14:paraId="6153AF8D" w14:textId="77777777" w:rsidTr="00B0013B">
        <w:trPr>
          <w:trHeight w:val="2155"/>
        </w:trPr>
        <w:tc>
          <w:tcPr>
            <w:tcW w:w="669" w:type="dxa"/>
          </w:tcPr>
          <w:p w14:paraId="66AF3500" w14:textId="0462570F" w:rsidR="00236608" w:rsidRPr="000C0B6C" w:rsidRDefault="009E4C8A" w:rsidP="009251C2">
            <w:r>
              <w:lastRenderedPageBreak/>
              <w:t>16-</w:t>
            </w:r>
            <w:r w:rsidR="00AE7A76">
              <w:t>17</w:t>
            </w:r>
          </w:p>
        </w:tc>
        <w:tc>
          <w:tcPr>
            <w:tcW w:w="1231" w:type="dxa"/>
          </w:tcPr>
          <w:p w14:paraId="6A91318A" w14:textId="12DAF4FB" w:rsidR="00236608" w:rsidRPr="000C0B6C" w:rsidRDefault="00AE7A76" w:rsidP="009251C2">
            <w:r>
              <w:t>68</w:t>
            </w:r>
          </w:p>
        </w:tc>
        <w:tc>
          <w:tcPr>
            <w:tcW w:w="8515" w:type="dxa"/>
            <w:gridSpan w:val="2"/>
          </w:tcPr>
          <w:p w14:paraId="6C854069" w14:textId="5AA6C887" w:rsidR="00236608" w:rsidRPr="00DC1DD6" w:rsidRDefault="009E4C8A" w:rsidP="009251C2">
            <w:r>
              <w:t>As discussed</w:t>
            </w:r>
            <w:r w:rsidR="00DC1DD6">
              <w:t xml:space="preserve"> above, </w:t>
            </w:r>
            <w:r>
              <w:t xml:space="preserve">and reflected also in </w:t>
            </w:r>
            <w:r w:rsidR="00DC1DD6">
              <w:t>the study referenced by footnote 60</w:t>
            </w:r>
            <w:r>
              <w:t>,</w:t>
            </w:r>
            <w:r w:rsidR="00DC1DD6">
              <w:t xml:space="preserve"> the effective implement</w:t>
            </w:r>
            <w:r>
              <w:t>ation</w:t>
            </w:r>
            <w:r w:rsidR="00DC1DD6">
              <w:t xml:space="preserve"> </w:t>
            </w:r>
            <w:r>
              <w:t xml:space="preserve">of </w:t>
            </w:r>
            <w:r w:rsidR="00DC1DD6">
              <w:t>preventative instruments for IAS</w:t>
            </w:r>
            <w:r>
              <w:t xml:space="preserve"> is very important</w:t>
            </w:r>
            <w:r w:rsidR="00DC1DD6">
              <w:t xml:space="preserve">. In this regard, we suggest adding a sentence to paragraph 68 making clear that such instruments already exist for shipping, after </w:t>
            </w:r>
            <w:r w:rsidR="00DC1DD6" w:rsidRPr="00DC1DD6">
              <w:t xml:space="preserve">the </w:t>
            </w:r>
            <w:r>
              <w:t>thi</w:t>
            </w:r>
            <w:r w:rsidR="00DC1DD6" w:rsidRPr="00DC1DD6">
              <w:t>rd sentence:</w:t>
            </w:r>
          </w:p>
          <w:p w14:paraId="0891CAB6" w14:textId="77777777" w:rsidR="00DC1DD6" w:rsidRPr="00DC1DD6" w:rsidRDefault="00DC1DD6" w:rsidP="009251C2"/>
          <w:p w14:paraId="35A43309" w14:textId="77777777" w:rsidR="00DC1DD6" w:rsidRDefault="00DC1DD6" w:rsidP="009251C2">
            <w:r w:rsidRPr="00DC1DD6">
              <w:t>"</w:t>
            </w:r>
            <w:r w:rsidR="00A5175E" w:rsidRPr="00A5175E">
              <w:t xml:space="preserve">Preventing the introduction of invasive alien species in the first place is likely to be far more cost-effective than attempting to eradicate alien species once they become established. </w:t>
            </w:r>
            <w:r w:rsidRPr="00A5175E">
              <w:rPr>
                <w:u w:val="single"/>
              </w:rPr>
              <w:t>In this regard, effective implementation of existing instruments meant to prevent the spread of invasive species (e.g. those developed to combat the spread of IAS by shipping</w:t>
            </w:r>
            <w:r w:rsidRPr="00A5175E">
              <w:rPr>
                <w:u w:val="single"/>
                <w:vertAlign w:val="superscript"/>
              </w:rPr>
              <w:t>60bis,60ter</w:t>
            </w:r>
            <w:r w:rsidRPr="00A5175E">
              <w:rPr>
                <w:u w:val="single"/>
              </w:rPr>
              <w:t>), is critical</w:t>
            </w:r>
            <w:r w:rsidRPr="00DC1DD6">
              <w:t>."</w:t>
            </w:r>
          </w:p>
          <w:p w14:paraId="5F267497" w14:textId="5BAA7700" w:rsidR="0066462E" w:rsidRPr="000C0B6C" w:rsidRDefault="0066462E" w:rsidP="009251C2"/>
        </w:tc>
      </w:tr>
      <w:tr w:rsidR="00236608" w:rsidRPr="000C0B6C" w14:paraId="30930566" w14:textId="77777777" w:rsidTr="00B0013B">
        <w:trPr>
          <w:trHeight w:val="224"/>
        </w:trPr>
        <w:tc>
          <w:tcPr>
            <w:tcW w:w="669" w:type="dxa"/>
          </w:tcPr>
          <w:p w14:paraId="7E88CD75" w14:textId="4E2FFBEA" w:rsidR="00236608" w:rsidRPr="000C0B6C" w:rsidRDefault="003C736D" w:rsidP="009251C2">
            <w:r>
              <w:t>18</w:t>
            </w:r>
          </w:p>
        </w:tc>
        <w:tc>
          <w:tcPr>
            <w:tcW w:w="1231" w:type="dxa"/>
          </w:tcPr>
          <w:p w14:paraId="613F0F0B" w14:textId="63FE0A83" w:rsidR="00236608" w:rsidRPr="000C0B6C" w:rsidRDefault="003C736D" w:rsidP="009251C2">
            <w:r>
              <w:t>72</w:t>
            </w:r>
          </w:p>
        </w:tc>
        <w:tc>
          <w:tcPr>
            <w:tcW w:w="8515" w:type="dxa"/>
            <w:gridSpan w:val="2"/>
          </w:tcPr>
          <w:p w14:paraId="4EF9B352" w14:textId="4E6B51FA" w:rsidR="00236608" w:rsidRDefault="000D7F73" w:rsidP="009251C2">
            <w:r>
              <w:t>In this or the preceding paragraph we are missing a link to other conventions</w:t>
            </w:r>
            <w:r w:rsidR="003C736D">
              <w:t xml:space="preserve"> </w:t>
            </w:r>
            <w:r>
              <w:t>and regulatory frameworks that contribute to the reduction of marine pollution. For example, we suggest adding reference to other global treaties that regulate pollutants and waste management, most notably the London Convention and London Protocol, for example:</w:t>
            </w:r>
          </w:p>
          <w:p w14:paraId="18F4B9E9" w14:textId="77777777" w:rsidR="000D7F73" w:rsidRDefault="000D7F73" w:rsidP="009251C2"/>
          <w:p w14:paraId="21F9AB1F" w14:textId="24B33E69" w:rsidR="000D7F73" w:rsidRDefault="000D7F73" w:rsidP="000D7F73">
            <w:r>
              <w:t>“</w:t>
            </w:r>
            <w:r w:rsidRPr="000D7F73">
              <w:t xml:space="preserve">More generally, reduction in waste and pollution would be enabled by shifts to a more circular economy and many actions taken under the Basel, Rotterdam, Stockholm and Minamata Conventions could contribute to this target, </w:t>
            </w:r>
            <w:r w:rsidRPr="000D7F73">
              <w:rPr>
                <w:u w:val="single"/>
              </w:rPr>
              <w:t>as well as the regulatory framework to prevent pollution from dumping of wastes at sea, through the London Convention and London Protocol</w:t>
            </w:r>
            <w:r w:rsidR="0054071D" w:rsidRPr="0054071D">
              <w:rPr>
                <w:u w:val="single"/>
                <w:vertAlign w:val="superscript"/>
              </w:rPr>
              <w:t>73bis</w:t>
            </w:r>
            <w:r w:rsidRPr="000D7F73">
              <w:rPr>
                <w:u w:val="single"/>
              </w:rPr>
              <w:t>.</w:t>
            </w:r>
            <w:r w:rsidRPr="000D7F73">
              <w:t xml:space="preserve"> Actions to reach this target may also be linked to the proposed targets on production practices and supply chains (target 14) and unsustainable consumption patterns (target 15) as both of these issues can contribute to the generation of waste and pollution.</w:t>
            </w:r>
            <w:r>
              <w:t>”</w:t>
            </w:r>
          </w:p>
          <w:p w14:paraId="0B6DF686" w14:textId="149724E2" w:rsidR="0054071D" w:rsidRDefault="0054071D" w:rsidP="000D7F73"/>
          <w:p w14:paraId="04D80225" w14:textId="0B9EFEC7" w:rsidR="0054071D" w:rsidRDefault="0054071D" w:rsidP="0054071D">
            <w:r>
              <w:t>Suggested additional reference:</w:t>
            </w:r>
          </w:p>
          <w:p w14:paraId="6DD6E6EF" w14:textId="77777777" w:rsidR="0054071D" w:rsidRDefault="0054071D" w:rsidP="0054071D"/>
          <w:p w14:paraId="04033F45" w14:textId="2CE29B71" w:rsidR="0054071D" w:rsidRPr="0054071D" w:rsidRDefault="0054071D" w:rsidP="0054071D">
            <w:r>
              <w:t>73</w:t>
            </w:r>
            <w:r>
              <w:t xml:space="preserve">bis: </w:t>
            </w:r>
            <w:r w:rsidRPr="0054071D">
              <w:rPr>
                <w:i/>
                <w:iCs/>
              </w:rPr>
              <w:t>Convention on the Prevention of Marine Pollution by Dumping of Wastes and Other Matter 1972</w:t>
            </w:r>
            <w:r>
              <w:rPr>
                <w:i/>
                <w:iCs/>
              </w:rPr>
              <w:t xml:space="preserve"> (</w:t>
            </w:r>
            <w:r w:rsidRPr="0054071D">
              <w:rPr>
                <w:i/>
                <w:iCs/>
              </w:rPr>
              <w:t>London Convention</w:t>
            </w:r>
            <w:r>
              <w:rPr>
                <w:i/>
                <w:iCs/>
              </w:rPr>
              <w:t xml:space="preserve">) and its 1996 Protocol </w:t>
            </w:r>
            <w:hyperlink r:id="rId12" w:history="1">
              <w:r w:rsidR="00AA3ED3" w:rsidRPr="006678F4">
                <w:rPr>
                  <w:rStyle w:val="Hyperlink"/>
                </w:rPr>
                <w:t>https://www.imo.org/en/OurWork/Environment/Pages/London-Convention-Protocol.aspx</w:t>
              </w:r>
            </w:hyperlink>
            <w:r w:rsidRPr="0054071D">
              <w:t>)</w:t>
            </w:r>
          </w:p>
          <w:p w14:paraId="056EC068" w14:textId="77777777" w:rsidR="0054071D" w:rsidRPr="000D7F73" w:rsidRDefault="0054071D" w:rsidP="000D7F73"/>
          <w:p w14:paraId="4B30F77B" w14:textId="7F8CDA16" w:rsidR="000D7F73" w:rsidRPr="000C0B6C" w:rsidRDefault="000D7F73" w:rsidP="009251C2"/>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3"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7C21C8"/>
    <w:multiLevelType w:val="hybridMultilevel"/>
    <w:tmpl w:val="626428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5"/>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D7F73"/>
    <w:rsid w:val="001C2BDB"/>
    <w:rsid w:val="00236608"/>
    <w:rsid w:val="002E1618"/>
    <w:rsid w:val="00334544"/>
    <w:rsid w:val="003B08FB"/>
    <w:rsid w:val="003C736D"/>
    <w:rsid w:val="004056FD"/>
    <w:rsid w:val="00504926"/>
    <w:rsid w:val="0053118E"/>
    <w:rsid w:val="005324AB"/>
    <w:rsid w:val="00536763"/>
    <w:rsid w:val="0054071D"/>
    <w:rsid w:val="005424CF"/>
    <w:rsid w:val="005852A6"/>
    <w:rsid w:val="006060BF"/>
    <w:rsid w:val="006125AA"/>
    <w:rsid w:val="0066462E"/>
    <w:rsid w:val="0068261A"/>
    <w:rsid w:val="006D6F86"/>
    <w:rsid w:val="006E22E0"/>
    <w:rsid w:val="0073615B"/>
    <w:rsid w:val="00754EED"/>
    <w:rsid w:val="00774013"/>
    <w:rsid w:val="007761AE"/>
    <w:rsid w:val="00790F3D"/>
    <w:rsid w:val="007B362C"/>
    <w:rsid w:val="00894367"/>
    <w:rsid w:val="008C7855"/>
    <w:rsid w:val="008E2F14"/>
    <w:rsid w:val="008E7015"/>
    <w:rsid w:val="00976DCD"/>
    <w:rsid w:val="009C3917"/>
    <w:rsid w:val="009E4C8A"/>
    <w:rsid w:val="00A24237"/>
    <w:rsid w:val="00A5175E"/>
    <w:rsid w:val="00A51FA4"/>
    <w:rsid w:val="00AA3ED3"/>
    <w:rsid w:val="00AE7A76"/>
    <w:rsid w:val="00AF4AD0"/>
    <w:rsid w:val="00B0013B"/>
    <w:rsid w:val="00B51493"/>
    <w:rsid w:val="00BB5728"/>
    <w:rsid w:val="00BD481F"/>
    <w:rsid w:val="00D37AB3"/>
    <w:rsid w:val="00D866A3"/>
    <w:rsid w:val="00D93CCA"/>
    <w:rsid w:val="00DB20C0"/>
    <w:rsid w:val="00DC1DD6"/>
    <w:rsid w:val="00DF0D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7D18E3F4-E1E7-1040-AD01-601A099CE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5852A6"/>
    <w:pPr>
      <w:ind w:left="720"/>
      <w:contextualSpacing/>
    </w:pPr>
  </w:style>
  <w:style w:type="character" w:styleId="CommentReference">
    <w:name w:val="annotation reference"/>
    <w:basedOn w:val="DefaultParagraphFont"/>
    <w:uiPriority w:val="99"/>
    <w:semiHidden/>
    <w:unhideWhenUsed/>
    <w:rsid w:val="00774013"/>
    <w:rPr>
      <w:sz w:val="16"/>
      <w:szCs w:val="16"/>
    </w:rPr>
  </w:style>
  <w:style w:type="character" w:styleId="UnresolvedMention">
    <w:name w:val="Unresolved Mention"/>
    <w:basedOn w:val="DefaultParagraphFont"/>
    <w:uiPriority w:val="99"/>
    <w:semiHidden/>
    <w:unhideWhenUsed/>
    <w:rsid w:val="00774013"/>
    <w:rPr>
      <w:color w:val="605E5C"/>
      <w:shd w:val="clear" w:color="auto" w:fill="E1DFDD"/>
    </w:rPr>
  </w:style>
  <w:style w:type="character" w:styleId="FollowedHyperlink">
    <w:name w:val="FollowedHyperlink"/>
    <w:basedOn w:val="DefaultParagraphFont"/>
    <w:uiPriority w:val="99"/>
    <w:semiHidden/>
    <w:unhideWhenUsed/>
    <w:rsid w:val="00AE7A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387872">
      <w:bodyDiv w:val="1"/>
      <w:marLeft w:val="0"/>
      <w:marRight w:val="0"/>
      <w:marTop w:val="0"/>
      <w:marBottom w:val="0"/>
      <w:divBdr>
        <w:top w:val="none" w:sz="0" w:space="0" w:color="auto"/>
        <w:left w:val="none" w:sz="0" w:space="0" w:color="auto"/>
        <w:bottom w:val="none" w:sz="0" w:space="0" w:color="auto"/>
        <w:right w:val="none" w:sz="0" w:space="0" w:color="auto"/>
      </w:divBdr>
    </w:div>
    <w:div w:id="363752147">
      <w:bodyDiv w:val="1"/>
      <w:marLeft w:val="0"/>
      <w:marRight w:val="0"/>
      <w:marTop w:val="0"/>
      <w:marBottom w:val="0"/>
      <w:divBdr>
        <w:top w:val="none" w:sz="0" w:space="0" w:color="auto"/>
        <w:left w:val="none" w:sz="0" w:space="0" w:color="auto"/>
        <w:bottom w:val="none" w:sz="0" w:space="0" w:color="auto"/>
        <w:right w:val="none" w:sz="0" w:space="0" w:color="auto"/>
      </w:divBdr>
    </w:div>
    <w:div w:id="461967037">
      <w:bodyDiv w:val="1"/>
      <w:marLeft w:val="0"/>
      <w:marRight w:val="0"/>
      <w:marTop w:val="0"/>
      <w:marBottom w:val="0"/>
      <w:divBdr>
        <w:top w:val="none" w:sz="0" w:space="0" w:color="auto"/>
        <w:left w:val="none" w:sz="0" w:space="0" w:color="auto"/>
        <w:bottom w:val="none" w:sz="0" w:space="0" w:color="auto"/>
        <w:right w:val="none" w:sz="0" w:space="0" w:color="auto"/>
      </w:divBdr>
    </w:div>
    <w:div w:id="86051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mo.org/en/OurWork/Environment/Pages/London-Convention-Protocol.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n.imo.org/localresources/en/OurWork/Environment/Documents/RESOLUTION%20MEPC.207%5b62%5d.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imo.org/en/OurWork/Environment/Pages/BallastWaterManagement.aspx" TargetMode="External"/><Relationship Id="rId4" Type="http://schemas.openxmlformats.org/officeDocument/2006/relationships/customXml" Target="../customXml/item4.xml"/><Relationship Id="rId9" Type="http://schemas.openxmlformats.org/officeDocument/2006/relationships/hyperlink" Target="https://www.cedelft.eu/en/publications/2488/fourth-imo-greenhouse-gas-stud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A6BB473A-FB6A-9843-8316-259626A6CB25}">
  <ds:schemaRefs>
    <ds:schemaRef ds:uri="http://schemas.openxmlformats.org/officeDocument/2006/bibliography"/>
  </ds:schemaRefs>
</ds:datastoreItem>
</file>

<file path=customXml/itemProps4.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Theofanis Karayannis</cp:lastModifiedBy>
  <cp:revision>12</cp:revision>
  <dcterms:created xsi:type="dcterms:W3CDTF">2021-03-18T10:39:00Z</dcterms:created>
  <dcterms:modified xsi:type="dcterms:W3CDTF">2021-03-18T11:21:00Z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