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 xml:space="preserve">other than the CBD (e.g. </w:t>
      </w:r>
      <w:proofErr w:type="spellStart"/>
      <w:r w:rsidR="007B5ECC" w:rsidRPr="00AD6B56">
        <w:rPr>
          <w:rFonts w:ascii="Times New Roman" w:hAnsi="Times New Roman" w:cs="Times New Roman"/>
        </w:rPr>
        <w:t>Ramsar</w:t>
      </w:r>
      <w:proofErr w:type="spellEnd"/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989A52B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735538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976B59C" w14:textId="56ABA899" w:rsidR="00735538" w:rsidRPr="00735538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G</w:t>
            </w:r>
            <w:r w:rsidRPr="0073553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A6. Protection of critical</w:t>
            </w:r>
          </w:p>
          <w:p w14:paraId="6C9EF850" w14:textId="4A21EDA6" w:rsidR="00735538" w:rsidRPr="00735538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3553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ecosystems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3F22BFF" w14:textId="77777777" w:rsidR="00735538" w:rsidRPr="00735538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3553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areas of particular importance for</w:t>
            </w:r>
          </w:p>
          <w:p w14:paraId="29A8F62C" w14:textId="0C8EC236" w:rsidR="00735538" w:rsidRPr="00735538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3553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biodiversity conserved</w:t>
            </w:r>
          </w:p>
        </w:tc>
        <w:tc>
          <w:tcPr>
            <w:tcW w:w="1787" w:type="dxa"/>
            <w:shd w:val="clear" w:color="auto" w:fill="auto"/>
          </w:tcPr>
          <w:p w14:paraId="63831DD4" w14:textId="77777777" w:rsidR="00735538" w:rsidRPr="00440071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Average proportion of KBAs covered by protected areas.</w:t>
            </w:r>
          </w:p>
          <w:p w14:paraId="381C2D40" w14:textId="77777777" w:rsidR="00735538" w:rsidRPr="00440071" w:rsidRDefault="00735538" w:rsidP="00735538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51F8B90B" w14:textId="2C00C4EC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This indicator is also calculated for terrestrial, marine, freshwater and mountain ecosystems separately</w:t>
            </w:r>
          </w:p>
        </w:tc>
        <w:tc>
          <w:tcPr>
            <w:tcW w:w="1489" w:type="dxa"/>
            <w:shd w:val="clear" w:color="auto" w:fill="auto"/>
          </w:tcPr>
          <w:p w14:paraId="4DDFCAA4" w14:textId="348F4EF4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BirdLife International &amp; KBA Partnership. Data from the World Database of KBAs</w:t>
            </w:r>
          </w:p>
        </w:tc>
        <w:tc>
          <w:tcPr>
            <w:tcW w:w="1194" w:type="dxa"/>
            <w:shd w:val="clear" w:color="auto" w:fill="auto"/>
          </w:tcPr>
          <w:p w14:paraId="1D6DC1C8" w14:textId="78D4A979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6AFE515" w14:textId="77777777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11768810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4DDBC9" w14:textId="0B4E8018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1900-2020 updated Annually</w:t>
            </w:r>
          </w:p>
        </w:tc>
        <w:tc>
          <w:tcPr>
            <w:tcW w:w="1340" w:type="dxa"/>
            <w:shd w:val="clear" w:color="auto" w:fill="auto"/>
          </w:tcPr>
          <w:p w14:paraId="49F5950C" w14:textId="5D94C79F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63BDD4" w14:textId="2FBB13BA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676715E" w14:textId="36F08ECD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28E7E6A9" w14:textId="45A32C35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1FE3D003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  <w:p w14:paraId="6388AE1F" w14:textId="01AFC601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SDG Indicators 14.5.1; 15.1.2 &amp; 15.4.1</w:t>
            </w:r>
          </w:p>
        </w:tc>
        <w:tc>
          <w:tcPr>
            <w:tcW w:w="1794" w:type="dxa"/>
            <w:shd w:val="clear" w:color="auto" w:fill="auto"/>
          </w:tcPr>
          <w:p w14:paraId="0D8CB51B" w14:textId="4F4BCFB5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6A0C781D" w14:textId="2A6C2734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is an existing Aichi target 11 indicator and used to monitor four ecosystems under the SDGs 14 and 15</w:t>
            </w:r>
          </w:p>
        </w:tc>
      </w:tr>
      <w:tr w:rsidR="00735538" w:rsidRPr="004F7374" w14:paraId="5DBC39F3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9827831" w14:textId="77777777" w:rsidR="00735538" w:rsidRDefault="00735538" w:rsidP="0073553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0D49BAF5" w14:textId="77777777" w:rsidR="00735538" w:rsidRDefault="00735538" w:rsidP="0073553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0960399" w14:textId="77777777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614E011" w14:textId="77777777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9E4E410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D0E0543" w14:textId="77777777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DECD82C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222DDB24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43CAEAC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705D7F9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63B3CFA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99F34A3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BB327C2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090F73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DA27DAC" w14:textId="77777777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735538" w:rsidRPr="004F7374" w14:paraId="5EC22E21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90812E5" w14:textId="77777777" w:rsidR="00735538" w:rsidRDefault="00735538" w:rsidP="0073553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65C99915" w14:textId="77777777" w:rsidR="00735538" w:rsidRDefault="00735538" w:rsidP="0073553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20295D2" w14:textId="77777777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83A4EF0" w14:textId="77777777" w:rsidR="00735538" w:rsidRDefault="00735538" w:rsidP="007355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FF32921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E7D9C99" w14:textId="77777777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3ED699B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5F938D9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506B8FE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DF3D225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DD1C889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406E33F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748B98F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C037C57" w14:textId="77777777" w:rsidR="00735538" w:rsidRDefault="00735538" w:rsidP="007355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CC5E3D5" w14:textId="77777777" w:rsidR="00735538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69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1032"/>
        <w:gridCol w:w="1794"/>
        <w:gridCol w:w="1794"/>
      </w:tblGrid>
      <w:tr w:rsidR="00FC6E3F" w:rsidRPr="004F7374" w14:paraId="2BBC89DC" w14:textId="77777777" w:rsidTr="00440071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00440071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346BD" w:rsidRPr="004F7374" w14:paraId="5BF826B7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13DD6A3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F299BA3" w14:textId="77777777" w:rsidR="00AD072D" w:rsidRPr="00AD072D" w:rsidRDefault="00AD072D" w:rsidP="00AD07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T1.1. Increase in area of</w:t>
            </w:r>
          </w:p>
          <w:p w14:paraId="0A44A4BE" w14:textId="77777777" w:rsidR="00AD072D" w:rsidRPr="00AD072D" w:rsidRDefault="00AD072D" w:rsidP="00AD07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terrestrial, freshwater and</w:t>
            </w:r>
          </w:p>
          <w:p w14:paraId="0670CF6A" w14:textId="77777777" w:rsidR="00AD072D" w:rsidRPr="00AD072D" w:rsidRDefault="00AD072D" w:rsidP="00AD07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marine ecosystems under</w:t>
            </w:r>
          </w:p>
          <w:p w14:paraId="59F22660" w14:textId="30D1C670" w:rsidR="00B346BD" w:rsidRPr="00AD072D" w:rsidRDefault="00AD072D" w:rsidP="00AD072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spatial planning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1F6CFE82" w:rsidR="00B346BD" w:rsidRDefault="00AD072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area under spatial land-use plans</w:t>
            </w:r>
          </w:p>
        </w:tc>
        <w:tc>
          <w:tcPr>
            <w:tcW w:w="1787" w:type="dxa"/>
            <w:shd w:val="clear" w:color="auto" w:fill="auto"/>
          </w:tcPr>
          <w:p w14:paraId="415EBAE8" w14:textId="61140B4B" w:rsidR="00B346BD" w:rsidRDefault="00AD072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D072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Percentage of spatial plans utilising information on key biodiversity areas</w:t>
            </w:r>
          </w:p>
        </w:tc>
        <w:tc>
          <w:tcPr>
            <w:tcW w:w="1489" w:type="dxa"/>
            <w:shd w:val="clear" w:color="auto" w:fill="auto"/>
          </w:tcPr>
          <w:p w14:paraId="6A353211" w14:textId="36F1E958" w:rsidR="00B346BD" w:rsidRDefault="00AD072D" w:rsidP="009A16B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KBA </w:t>
            </w:r>
            <w:r w:rsidR="009A16B4">
              <w:rPr>
                <w:rFonts w:ascii="Arial" w:eastAsia="Arial" w:hAnsi="Arial" w:cs="Arial"/>
                <w:color w:val="000000"/>
                <w:sz w:val="18"/>
                <w:szCs w:val="18"/>
              </w:rPr>
              <w:t>Secretariat</w:t>
            </w:r>
          </w:p>
        </w:tc>
        <w:tc>
          <w:tcPr>
            <w:tcW w:w="1194" w:type="dxa"/>
            <w:shd w:val="clear" w:color="auto" w:fill="auto"/>
          </w:tcPr>
          <w:p w14:paraId="15CEA393" w14:textId="0ED87674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365F95F" w14:textId="2715D345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66A6E658" w:rsidR="00B346BD" w:rsidRDefault="00AD07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3D2F099" w14:textId="03F7C198" w:rsidR="00B346BD" w:rsidRDefault="00AD07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2019-2020 updated Annually</w:t>
            </w:r>
          </w:p>
        </w:tc>
        <w:tc>
          <w:tcPr>
            <w:tcW w:w="1340" w:type="dxa"/>
            <w:shd w:val="clear" w:color="auto" w:fill="auto"/>
          </w:tcPr>
          <w:p w14:paraId="2E651146" w14:textId="1448B429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76546F49" w14:textId="0F95DBEC" w:rsidR="00B346BD" w:rsidRDefault="00AD072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7C8188BD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F4E86D1" w14:textId="2C2BA7D5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5296BFEA" w14:textId="0CBBF5F7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7C4D527D" w14:textId="00157B86" w:rsidR="00B346BD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3D62877C" w14:textId="2CDADAAB" w:rsidR="00B346BD" w:rsidRPr="004F7374" w:rsidRDefault="00440071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indicator would provide a measure of the representativeness of spatial plans and is being tracked by the KBA Partnership for each country</w:t>
            </w:r>
          </w:p>
        </w:tc>
      </w:tr>
      <w:tr w:rsidR="000B5780" w:rsidRPr="004F7374" w14:paraId="4018EE15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7FAF8A5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T2.2. Areas of particular</w:t>
            </w:r>
          </w:p>
          <w:p w14:paraId="3221A869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importance for biodiversity</w:t>
            </w:r>
          </w:p>
          <w:p w14:paraId="50468F26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are protected and conserved</w:t>
            </w:r>
          </w:p>
          <w:p w14:paraId="14F438A7" w14:textId="3DEE77D3" w:rsidR="000B5780" w:rsidRDefault="00440071" w:rsidP="0044007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as priority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4EFE4DE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proportion of areas of particular</w:t>
            </w:r>
          </w:p>
          <w:p w14:paraId="622C0A9D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importance for biodiversity protected and</w:t>
            </w:r>
          </w:p>
          <w:p w14:paraId="782E1044" w14:textId="4EA00D70" w:rsidR="000B5780" w:rsidRDefault="00440071" w:rsidP="0044007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conserved</w:t>
            </w:r>
          </w:p>
        </w:tc>
        <w:tc>
          <w:tcPr>
            <w:tcW w:w="1787" w:type="dxa"/>
            <w:shd w:val="clear" w:color="auto" w:fill="auto"/>
          </w:tcPr>
          <w:p w14:paraId="5832530A" w14:textId="77777777" w:rsidR="000B5780" w:rsidRPr="00440071" w:rsidRDefault="00440071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Average proportion of KBAs covered by protected areas.</w:t>
            </w:r>
          </w:p>
          <w:p w14:paraId="3200DF60" w14:textId="77777777" w:rsidR="00440071" w:rsidRPr="00440071" w:rsidRDefault="00440071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A330A59" w14:textId="540C0F3D" w:rsidR="00440071" w:rsidRPr="00440071" w:rsidRDefault="00440071" w:rsidP="00B346BD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This indicator is also calculated for terrestrial, marine, freshwater and mountain ecosystems separately</w:t>
            </w:r>
            <w:r w:rsidR="009A16B4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for SDGs 14 and 15</w:t>
            </w:r>
          </w:p>
        </w:tc>
        <w:tc>
          <w:tcPr>
            <w:tcW w:w="1489" w:type="dxa"/>
            <w:shd w:val="clear" w:color="auto" w:fill="auto"/>
          </w:tcPr>
          <w:p w14:paraId="3320C5BC" w14:textId="0F5179CF" w:rsidR="000B5780" w:rsidRDefault="00440071" w:rsidP="0044007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BirdLife International &amp; KBA Partnership. Data from the World Database of KBAs</w:t>
            </w:r>
          </w:p>
        </w:tc>
        <w:tc>
          <w:tcPr>
            <w:tcW w:w="1194" w:type="dxa"/>
            <w:shd w:val="clear" w:color="auto" w:fill="auto"/>
          </w:tcPr>
          <w:p w14:paraId="0B4E8921" w14:textId="563F120B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5EEF6392" w14:textId="77777777" w:rsidR="000B5780" w:rsidRPr="004F7374" w:rsidRDefault="000B5780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042" w:type="dxa"/>
            <w:shd w:val="clear" w:color="auto" w:fill="auto"/>
          </w:tcPr>
          <w:p w14:paraId="20CBB4CD" w14:textId="68F7A82E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41E3F15E" w14:textId="6C63DBC5" w:rsidR="000B5780" w:rsidRDefault="00440071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1900-2020 updated Annually</w:t>
            </w:r>
          </w:p>
        </w:tc>
        <w:tc>
          <w:tcPr>
            <w:tcW w:w="1340" w:type="dxa"/>
            <w:shd w:val="clear" w:color="auto" w:fill="auto"/>
          </w:tcPr>
          <w:p w14:paraId="60AF7545" w14:textId="7B96F0F6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632B4E7" w14:textId="7905B57E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252DDC8" w14:textId="4A6A2A50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60130FA8" w14:textId="464F2462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54B2019F" w14:textId="77777777" w:rsidR="00440071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</w:p>
          <w:p w14:paraId="564C7D3E" w14:textId="113FB93D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SDG Indicators 14.5.1; 15.1.2 &amp; 15.4.1</w:t>
            </w:r>
          </w:p>
        </w:tc>
        <w:tc>
          <w:tcPr>
            <w:tcW w:w="1794" w:type="dxa"/>
            <w:shd w:val="clear" w:color="auto" w:fill="auto"/>
          </w:tcPr>
          <w:p w14:paraId="4F6D8BDD" w14:textId="6943A07D" w:rsidR="000B5780" w:rsidRDefault="00440071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389B7D0B" w14:textId="59FD4C59" w:rsidR="000B5780" w:rsidRPr="004F7374" w:rsidRDefault="00440071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is an existing Aichi target 11 indicator and used to monitor four ecosystems under the SDGs 14 and 15</w:t>
            </w:r>
          </w:p>
        </w:tc>
      </w:tr>
      <w:tr w:rsidR="00440071" w:rsidRPr="004F7374" w14:paraId="412D0153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AEBA8D1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T2.2. Areas of particular</w:t>
            </w:r>
          </w:p>
          <w:p w14:paraId="4DB832CA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importance for biodiversity</w:t>
            </w:r>
          </w:p>
          <w:p w14:paraId="2E81598F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are protected and conserved</w:t>
            </w:r>
          </w:p>
          <w:p w14:paraId="1772625D" w14:textId="33558530" w:rsidR="00440071" w:rsidRDefault="00440071" w:rsidP="0044007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as priority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2E34BCA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Trends in proportion of areas of particular</w:t>
            </w:r>
          </w:p>
          <w:p w14:paraId="14DF7DEB" w14:textId="77777777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importance for biodiversity protected and</w:t>
            </w:r>
          </w:p>
          <w:p w14:paraId="1A344F3F" w14:textId="5CEE6BD3" w:rsidR="00440071" w:rsidRDefault="00440071" w:rsidP="0044007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conserved</w:t>
            </w:r>
          </w:p>
        </w:tc>
        <w:tc>
          <w:tcPr>
            <w:tcW w:w="1787" w:type="dxa"/>
            <w:shd w:val="clear" w:color="auto" w:fill="auto"/>
          </w:tcPr>
          <w:p w14:paraId="63D0E5F9" w14:textId="312527D2" w:rsidR="00440071" w:rsidRPr="00440071" w:rsidRDefault="00440071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4007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Proportion of KBAs in favourable condition</w:t>
            </w:r>
          </w:p>
        </w:tc>
        <w:tc>
          <w:tcPr>
            <w:tcW w:w="1489" w:type="dxa"/>
            <w:shd w:val="clear" w:color="auto" w:fill="auto"/>
          </w:tcPr>
          <w:p w14:paraId="6013633D" w14:textId="76E7DCC1" w:rsidR="00440071" w:rsidRDefault="00440071" w:rsidP="0044007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BirdLife International &amp; KBA Partnership.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Data from the World Database of KBAs</w:t>
            </w:r>
          </w:p>
        </w:tc>
        <w:tc>
          <w:tcPr>
            <w:tcW w:w="1194" w:type="dxa"/>
            <w:shd w:val="clear" w:color="auto" w:fill="auto"/>
          </w:tcPr>
          <w:p w14:paraId="62D2F692" w14:textId="7694A152" w:rsidR="00440071" w:rsidRDefault="00440071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Y</w:t>
            </w:r>
          </w:p>
        </w:tc>
        <w:tc>
          <w:tcPr>
            <w:tcW w:w="1341" w:type="dxa"/>
            <w:shd w:val="clear" w:color="auto" w:fill="auto"/>
          </w:tcPr>
          <w:p w14:paraId="524A2FF5" w14:textId="59E0903A" w:rsidR="00440071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1990</w:t>
            </w:r>
          </w:p>
        </w:tc>
        <w:tc>
          <w:tcPr>
            <w:tcW w:w="1042" w:type="dxa"/>
            <w:shd w:val="clear" w:color="auto" w:fill="auto"/>
          </w:tcPr>
          <w:p w14:paraId="031E9995" w14:textId="1CD5F201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47F698DC" w14:textId="012FD3F5" w:rsidR="00440071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1990-2020 updated every 5 years</w:t>
            </w:r>
          </w:p>
        </w:tc>
        <w:tc>
          <w:tcPr>
            <w:tcW w:w="1340" w:type="dxa"/>
            <w:shd w:val="clear" w:color="auto" w:fill="auto"/>
          </w:tcPr>
          <w:p w14:paraId="5A52FE73" w14:textId="24BD0EE2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3CF85A0B" w14:textId="18EA86FB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EA330CA" w14:textId="0BF599D4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75937239" w14:textId="09FC16E0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3491E16E" w14:textId="0156ADA5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5B820204" w14:textId="45D62053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2594311E" w14:textId="6CC3C594" w:rsidR="00440071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 xml:space="preserve">This indicator is being developed by the KBA Partnership and will </w:t>
            </w:r>
            <w:r>
              <w:rPr>
                <w:rFonts w:ascii="Arial" w:hAnsi="Arial" w:cs="Arial"/>
                <w:kern w:val="22"/>
                <w:sz w:val="18"/>
                <w:szCs w:val="18"/>
              </w:rPr>
              <w:lastRenderedPageBreak/>
              <w:t xml:space="preserve">be able to be calculated retrospectively for many sites </w:t>
            </w:r>
          </w:p>
        </w:tc>
      </w:tr>
      <w:tr w:rsidR="00440071" w:rsidRPr="004F7374" w14:paraId="5BBA8AE1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B1232AA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T5.2. Effective detection,</w:t>
            </w:r>
          </w:p>
          <w:p w14:paraId="442E6F5C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identification, prioritisation</w:t>
            </w:r>
          </w:p>
          <w:p w14:paraId="447300D3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monitoring of invasive</w:t>
            </w:r>
          </w:p>
          <w:p w14:paraId="07571E18" w14:textId="0AF387C8" w:rsidR="00440071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alien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42A35F1" w14:textId="65E084B0" w:rsidR="00440071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monitoring of invasive alien species</w:t>
            </w:r>
          </w:p>
        </w:tc>
        <w:tc>
          <w:tcPr>
            <w:tcW w:w="1787" w:type="dxa"/>
            <w:shd w:val="clear" w:color="auto" w:fill="auto"/>
          </w:tcPr>
          <w:p w14:paraId="5264335E" w14:textId="693C543E" w:rsidR="00440071" w:rsidRPr="00440071" w:rsidRDefault="005E0F8E" w:rsidP="0044007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Proportion of key biodiversity areas threatened by invasive alien species</w:t>
            </w:r>
          </w:p>
        </w:tc>
        <w:tc>
          <w:tcPr>
            <w:tcW w:w="1489" w:type="dxa"/>
            <w:shd w:val="clear" w:color="auto" w:fill="auto"/>
          </w:tcPr>
          <w:p w14:paraId="69138EAA" w14:textId="33233F02" w:rsidR="00440071" w:rsidRDefault="005E0F8E" w:rsidP="0044007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BirdLife International &amp; KBA Partnership. Data from the World Database of KBAs</w:t>
            </w:r>
          </w:p>
        </w:tc>
        <w:tc>
          <w:tcPr>
            <w:tcW w:w="1194" w:type="dxa"/>
            <w:shd w:val="clear" w:color="auto" w:fill="auto"/>
          </w:tcPr>
          <w:p w14:paraId="2E54F0B7" w14:textId="140B6FC1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0BA377F9" w14:textId="5496379E" w:rsidR="00440071" w:rsidRPr="004F7374" w:rsidRDefault="005E0F8E" w:rsidP="0044007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1990</w:t>
            </w:r>
          </w:p>
        </w:tc>
        <w:tc>
          <w:tcPr>
            <w:tcW w:w="1042" w:type="dxa"/>
            <w:shd w:val="clear" w:color="auto" w:fill="auto"/>
          </w:tcPr>
          <w:p w14:paraId="193E369E" w14:textId="6622360E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2C216DB" w14:textId="54A7FA9D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1990-2020 updated every 5 years</w:t>
            </w:r>
          </w:p>
        </w:tc>
        <w:tc>
          <w:tcPr>
            <w:tcW w:w="1340" w:type="dxa"/>
            <w:shd w:val="clear" w:color="auto" w:fill="auto"/>
          </w:tcPr>
          <w:p w14:paraId="6AF37FA9" w14:textId="64A0474A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1A7567C4" w14:textId="773D9938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51A8DDE" w14:textId="428DB9C4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6C131F4" w14:textId="4FE8B961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3CA608E0" w14:textId="07911773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48AF4BCC" w14:textId="749ACE20" w:rsidR="00440071" w:rsidRDefault="005E0F8E" w:rsidP="004400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7FBA376" w14:textId="31FC9269" w:rsidR="00440071" w:rsidRPr="004F7374" w:rsidRDefault="005E0F8E" w:rsidP="00440071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indicator is being developed by the KBA Partnership and will be able to be calculated retrospectively for many sites</w:t>
            </w:r>
          </w:p>
        </w:tc>
      </w:tr>
      <w:tr w:rsidR="005E0F8E" w:rsidRPr="004F7374" w14:paraId="6E470B5E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B9A502F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T13.1. Biodiversity reflected</w:t>
            </w:r>
          </w:p>
          <w:p w14:paraId="0A02E961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 policies and planning at all</w:t>
            </w:r>
          </w:p>
          <w:p w14:paraId="1E6ECF9A" w14:textId="2CBFDA99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levels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E446131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integration of biodiversity and</w:t>
            </w:r>
          </w:p>
          <w:p w14:paraId="3051631A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ecosystem service values into planning</w:t>
            </w:r>
          </w:p>
          <w:p w14:paraId="1C1F1612" w14:textId="3D53AF2B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processes</w:t>
            </w:r>
          </w:p>
        </w:tc>
        <w:tc>
          <w:tcPr>
            <w:tcW w:w="1787" w:type="dxa"/>
            <w:shd w:val="clear" w:color="auto" w:fill="auto"/>
          </w:tcPr>
          <w:p w14:paraId="6F9E832F" w14:textId="3D8A5D0D" w:rsidR="005E0F8E" w:rsidRPr="00440071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The proportion of national biodiversity policies and plans that incorporate national spatial assessments of KBAs and other areas of importance for biodiversity</w:t>
            </w:r>
          </w:p>
        </w:tc>
        <w:tc>
          <w:tcPr>
            <w:tcW w:w="1489" w:type="dxa"/>
            <w:shd w:val="clear" w:color="auto" w:fill="auto"/>
          </w:tcPr>
          <w:p w14:paraId="2F1B8954" w14:textId="2AC0F3D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KBA Secretariat</w:t>
            </w:r>
          </w:p>
        </w:tc>
        <w:tc>
          <w:tcPr>
            <w:tcW w:w="1194" w:type="dxa"/>
            <w:shd w:val="clear" w:color="auto" w:fill="auto"/>
          </w:tcPr>
          <w:p w14:paraId="4E701AAE" w14:textId="47573FB2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DBC63C5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F4C5F3E" w14:textId="7933592A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FEED632" w14:textId="41F0A7BA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2019-2020 updated Annually</w:t>
            </w:r>
          </w:p>
        </w:tc>
        <w:tc>
          <w:tcPr>
            <w:tcW w:w="1340" w:type="dxa"/>
            <w:shd w:val="clear" w:color="auto" w:fill="auto"/>
          </w:tcPr>
          <w:p w14:paraId="789BFBA0" w14:textId="485F73FF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13112390" w14:textId="10F1C6EB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38DF74C" w14:textId="2668F193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4854E9FD" w14:textId="230863D4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7CA15E68" w14:textId="13EA842D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55AFB145" w14:textId="26DD62C1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503076B6" w14:textId="789153C6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indicator would provide a measure of the use of national KBA assessments in government policies and plans and is being tracked by the KBA Partnership for each country</w:t>
            </w:r>
          </w:p>
        </w:tc>
      </w:tr>
      <w:tr w:rsidR="005E0F8E" w:rsidRPr="004F7374" w14:paraId="5248F39D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2E5C9D3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T19.1. Availability of</w:t>
            </w:r>
          </w:p>
          <w:p w14:paraId="647C7420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reliable and up-to-date</w:t>
            </w:r>
          </w:p>
          <w:p w14:paraId="157FCC9D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biodiversity related</w:t>
            </w:r>
          </w:p>
          <w:p w14:paraId="368BFA87" w14:textId="62D96678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information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B96FB23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the availability of biodiversity related</w:t>
            </w:r>
          </w:p>
          <w:p w14:paraId="3316DDBE" w14:textId="6A2D6466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information</w:t>
            </w:r>
          </w:p>
        </w:tc>
        <w:tc>
          <w:tcPr>
            <w:tcW w:w="1787" w:type="dxa"/>
            <w:shd w:val="clear" w:color="auto" w:fill="auto"/>
          </w:tcPr>
          <w:p w14:paraId="0F458D8E" w14:textId="3FAE694B" w:rsidR="005E0F8E" w:rsidRPr="00440071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Number of countries in which comprehensive national key biodiversity area assessments have been updated using the KBA Global Standard</w:t>
            </w:r>
          </w:p>
        </w:tc>
        <w:tc>
          <w:tcPr>
            <w:tcW w:w="1489" w:type="dxa"/>
            <w:shd w:val="clear" w:color="auto" w:fill="auto"/>
          </w:tcPr>
          <w:p w14:paraId="7A5437A8" w14:textId="70E702AF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KBA Secretariat</w:t>
            </w:r>
          </w:p>
        </w:tc>
        <w:tc>
          <w:tcPr>
            <w:tcW w:w="1194" w:type="dxa"/>
            <w:shd w:val="clear" w:color="auto" w:fill="auto"/>
          </w:tcPr>
          <w:p w14:paraId="0BE81548" w14:textId="0A22B6EB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61851856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A038963" w14:textId="76683CE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4BA7542" w14:textId="17F55EF5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2019-2020 updated Annually</w:t>
            </w:r>
          </w:p>
        </w:tc>
        <w:tc>
          <w:tcPr>
            <w:tcW w:w="1340" w:type="dxa"/>
            <w:shd w:val="clear" w:color="auto" w:fill="auto"/>
          </w:tcPr>
          <w:p w14:paraId="003113BC" w14:textId="3B48AC5B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75CED3F5" w14:textId="6E08E03E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AA654D8" w14:textId="658FABC6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7A11A779" w14:textId="53BDB181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1252D854" w14:textId="2F4F9541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0F41BC4D" w14:textId="1B1DADF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67E188C6" w14:textId="38740815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indicator would provide a measure of the use of biodiversity-related information by individual countries and will be tracked by the KBA Partnership for each country</w:t>
            </w:r>
          </w:p>
        </w:tc>
      </w:tr>
      <w:tr w:rsidR="005E0F8E" w:rsidRPr="004F7374" w14:paraId="66C22191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A9EC0FF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T19.1. Availability of</w:t>
            </w:r>
          </w:p>
          <w:p w14:paraId="075EB4D5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reliable and up-to-date</w:t>
            </w:r>
          </w:p>
          <w:p w14:paraId="574BF9B6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biodiversity related</w:t>
            </w:r>
          </w:p>
          <w:p w14:paraId="53B6A626" w14:textId="18B7AD03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information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75BEAE8" w14:textId="77777777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the availability of biodiversity related</w:t>
            </w:r>
          </w:p>
          <w:p w14:paraId="2110F106" w14:textId="4C4FB6C0" w:rsidR="005E0F8E" w:rsidRPr="005E0F8E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information</w:t>
            </w:r>
          </w:p>
        </w:tc>
        <w:tc>
          <w:tcPr>
            <w:tcW w:w="1787" w:type="dxa"/>
            <w:shd w:val="clear" w:color="auto" w:fill="auto"/>
          </w:tcPr>
          <w:p w14:paraId="21FB3844" w14:textId="0A822D01" w:rsidR="005E0F8E" w:rsidRPr="00440071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E0F8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Percentage of taxonomic classes and ecosystem types for which comprehensive national key biodiversity area assessments have been made</w:t>
            </w:r>
          </w:p>
        </w:tc>
        <w:tc>
          <w:tcPr>
            <w:tcW w:w="1489" w:type="dxa"/>
            <w:shd w:val="clear" w:color="auto" w:fill="auto"/>
          </w:tcPr>
          <w:p w14:paraId="3DAA4E50" w14:textId="1F975A10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KBA Secretariat</w:t>
            </w:r>
          </w:p>
        </w:tc>
        <w:tc>
          <w:tcPr>
            <w:tcW w:w="1194" w:type="dxa"/>
            <w:shd w:val="clear" w:color="auto" w:fill="auto"/>
          </w:tcPr>
          <w:p w14:paraId="498B2316" w14:textId="45B4AB88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79CDDC87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9922991" w14:textId="6140A8A5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5189B3" w14:textId="0892A7D9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2019-2020 updated Annually</w:t>
            </w:r>
          </w:p>
        </w:tc>
        <w:tc>
          <w:tcPr>
            <w:tcW w:w="1340" w:type="dxa"/>
            <w:shd w:val="clear" w:color="auto" w:fill="auto"/>
          </w:tcPr>
          <w:p w14:paraId="7E1C72B0" w14:textId="7D3DE481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2468C1E6" w14:textId="4A741D4D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1E3670D" w14:textId="6394F74D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6BF53709" w14:textId="64E02720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14:paraId="394D41E4" w14:textId="0649F4E2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63E597C6" w14:textId="5E44380C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79FC7FDC" w14:textId="7E459AF4" w:rsidR="005E0F8E" w:rsidRPr="004F7374" w:rsidRDefault="00735538" w:rsidP="00735538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This indicator would provide a measure of the representativeness of biodiversity information used by individual countries and will be tracked by the KBA Partnership for each country</w:t>
            </w:r>
          </w:p>
        </w:tc>
      </w:tr>
      <w:tr w:rsidR="005E0F8E" w:rsidRPr="004F7374" w14:paraId="2351E952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2B6FB3D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0D103DE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3D8E11AC" w14:textId="77777777" w:rsidR="005E0F8E" w:rsidRPr="00440071" w:rsidRDefault="005E0F8E" w:rsidP="005E0F8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0E48CBE7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9C31D49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D472E1E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EC1225E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2505886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F60E77E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539DAC4E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2E81CE0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DA8B6D5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4C7AF414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3F26FEB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6BC5D3E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5E0F8E" w:rsidRPr="004F7374" w14:paraId="0E7B60B1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A0A2EF7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3B8B477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FF000EF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560CA82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5D45B677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5675D9E2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234871A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42F9550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7FDFA1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4B2EB7E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F012FF8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B9A05DA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4EDF3DFB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559B274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1FF80A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5E0F8E" w:rsidRPr="004F7374" w14:paraId="3B4503DA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E391D99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6031525E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F31CD8B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4A72ED5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CBC52FB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FC84A78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1DD84A2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A3606AD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5AB1429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F311F5F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A8D3502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6378217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5A868991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6585803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6357136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5E0F8E" w:rsidRPr="004F7374" w14:paraId="1C0B036A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1B196DD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74F57FDD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9372A7D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465B1C9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C624495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0EDFCCC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507CA8B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6F20552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DC2F7EC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BAE1078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FBAAFA0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F0537D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29BF8507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5F343C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663C1B4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5E0F8E" w:rsidRPr="004F7374" w14:paraId="1E7FA8F7" w14:textId="77777777" w:rsidTr="0044007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8EB7FF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7359E36" w14:textId="77777777" w:rsidR="005E0F8E" w:rsidRDefault="005E0F8E" w:rsidP="005E0F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F0338BB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9A46A33" w14:textId="77777777" w:rsidR="005E0F8E" w:rsidRDefault="005E0F8E" w:rsidP="005E0F8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38B0190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6C7E5C1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DC5DB15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A72706D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34FB720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43122F1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C1622A3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83B8BB3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14:paraId="5F6B2C9D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D9B7407" w14:textId="77777777" w:rsidR="005E0F8E" w:rsidRDefault="005E0F8E" w:rsidP="005E0F8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FBF0716" w14:textId="77777777" w:rsidR="005E0F8E" w:rsidRPr="004F7374" w:rsidRDefault="005E0F8E" w:rsidP="005E0F8E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BF40" w14:textId="77777777" w:rsidR="00FE523C" w:rsidRDefault="00FE523C" w:rsidP="00371075">
      <w:pPr>
        <w:spacing w:after="0" w:line="240" w:lineRule="auto"/>
      </w:pPr>
      <w:r>
        <w:separator/>
      </w:r>
    </w:p>
  </w:endnote>
  <w:endnote w:type="continuationSeparator" w:id="0">
    <w:p w14:paraId="444EA88C" w14:textId="77777777" w:rsidR="00FE523C" w:rsidRDefault="00FE523C" w:rsidP="00371075">
      <w:pPr>
        <w:spacing w:after="0" w:line="240" w:lineRule="auto"/>
      </w:pPr>
      <w:r>
        <w:continuationSeparator/>
      </w:r>
    </w:p>
  </w:endnote>
  <w:endnote w:type="continuationNotice" w:id="1">
    <w:p w14:paraId="0777336B" w14:textId="77777777" w:rsidR="00FE523C" w:rsidRDefault="00FE5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A415E9B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3765" w14:textId="77777777" w:rsidR="00FE523C" w:rsidRDefault="00FE523C" w:rsidP="00371075">
      <w:pPr>
        <w:spacing w:after="0" w:line="240" w:lineRule="auto"/>
      </w:pPr>
      <w:r>
        <w:separator/>
      </w:r>
    </w:p>
  </w:footnote>
  <w:footnote w:type="continuationSeparator" w:id="0">
    <w:p w14:paraId="20D16F85" w14:textId="77777777" w:rsidR="00FE523C" w:rsidRDefault="00FE523C" w:rsidP="00371075">
      <w:pPr>
        <w:spacing w:after="0" w:line="240" w:lineRule="auto"/>
      </w:pPr>
      <w:r>
        <w:continuationSeparator/>
      </w:r>
    </w:p>
  </w:footnote>
  <w:footnote w:type="continuationNotice" w:id="1">
    <w:p w14:paraId="0448CAA9" w14:textId="77777777" w:rsidR="00FE523C" w:rsidRDefault="00FE5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5780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08A3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774D5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36812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0071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0F8E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4D6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5538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E58B4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16B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4C40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072D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04D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E523C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4CC37-6ACC-4FC3-99DF-979DA9F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Andy</cp:lastModifiedBy>
  <cp:revision>3</cp:revision>
  <dcterms:created xsi:type="dcterms:W3CDTF">2020-07-09T10:40:00Z</dcterms:created>
  <dcterms:modified xsi:type="dcterms:W3CDTF">2020-07-16T09:54:00Z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