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AB21E" w14:textId="77777777" w:rsidR="00A93436" w:rsidRDefault="0051340A">
      <w:pPr>
        <w:pStyle w:val="Title"/>
        <w:spacing w:line="408" w:lineRule="auto"/>
      </w:pPr>
      <w:bookmarkStart w:id="0" w:name="_GoBack"/>
      <w:bookmarkEnd w:id="0"/>
      <w:r>
        <w:t>CONVENTION ON BIOLOGICAL DIVERSITY (CBD) NOTIFICATION 2020-055</w:t>
      </w:r>
    </w:p>
    <w:p w14:paraId="1EBFF780" w14:textId="77777777" w:rsidR="00A93436" w:rsidRDefault="00A93436">
      <w:pPr>
        <w:pStyle w:val="BodyText"/>
        <w:rPr>
          <w:rFonts w:ascii="Calibri"/>
          <w:b/>
          <w:sz w:val="32"/>
        </w:rPr>
      </w:pPr>
    </w:p>
    <w:p w14:paraId="4586B1BB" w14:textId="77777777" w:rsidR="00A93436" w:rsidRDefault="0051340A">
      <w:pPr>
        <w:pStyle w:val="Heading1"/>
        <w:spacing w:before="241" w:line="259" w:lineRule="auto"/>
      </w:pPr>
      <w:r>
        <w:t>Consultation and Information Briefing on a Draft Outline of a new Gender Plan of Action for the Post-2020 Period</w:t>
      </w:r>
    </w:p>
    <w:p w14:paraId="5B5D30AB" w14:textId="77777777" w:rsidR="00A93436" w:rsidRDefault="00A93436">
      <w:pPr>
        <w:pStyle w:val="BodyText"/>
        <w:rPr>
          <w:sz w:val="34"/>
        </w:rPr>
      </w:pPr>
    </w:p>
    <w:p w14:paraId="2120F2E1" w14:textId="77777777" w:rsidR="00A93436" w:rsidRDefault="00A93436">
      <w:pPr>
        <w:pStyle w:val="BodyText"/>
        <w:rPr>
          <w:sz w:val="34"/>
        </w:rPr>
      </w:pPr>
    </w:p>
    <w:p w14:paraId="081264A7" w14:textId="77777777" w:rsidR="00A93436" w:rsidRDefault="00A93436">
      <w:pPr>
        <w:pStyle w:val="BodyText"/>
        <w:rPr>
          <w:sz w:val="34"/>
        </w:rPr>
      </w:pPr>
    </w:p>
    <w:p w14:paraId="44AC1603" w14:textId="77777777" w:rsidR="00A93436" w:rsidRDefault="00A93436">
      <w:pPr>
        <w:pStyle w:val="BodyText"/>
        <w:spacing w:before="8"/>
        <w:rPr>
          <w:sz w:val="29"/>
        </w:rPr>
      </w:pPr>
    </w:p>
    <w:p w14:paraId="18D54589" w14:textId="77777777" w:rsidR="00A93436" w:rsidRDefault="0051340A">
      <w:pPr>
        <w:ind w:left="1530" w:right="2070"/>
        <w:jc w:val="center"/>
        <w:rPr>
          <w:sz w:val="32"/>
        </w:rPr>
      </w:pPr>
      <w:r>
        <w:rPr>
          <w:sz w:val="32"/>
        </w:rPr>
        <w:t>Submission by Australia</w:t>
      </w:r>
    </w:p>
    <w:p w14:paraId="48D96772" w14:textId="77777777" w:rsidR="00A93436" w:rsidRDefault="00A93436">
      <w:pPr>
        <w:pStyle w:val="BodyText"/>
        <w:rPr>
          <w:sz w:val="20"/>
        </w:rPr>
      </w:pPr>
    </w:p>
    <w:p w14:paraId="57624F9D" w14:textId="77777777" w:rsidR="00A93436" w:rsidRDefault="00A93436">
      <w:pPr>
        <w:pStyle w:val="BodyText"/>
        <w:rPr>
          <w:sz w:val="20"/>
        </w:rPr>
      </w:pPr>
    </w:p>
    <w:p w14:paraId="719513A6" w14:textId="77777777" w:rsidR="00A93436" w:rsidRDefault="00A93436">
      <w:pPr>
        <w:pStyle w:val="BodyText"/>
        <w:rPr>
          <w:sz w:val="20"/>
        </w:rPr>
      </w:pPr>
    </w:p>
    <w:p w14:paraId="7F1FAA6E" w14:textId="77777777" w:rsidR="00A93436" w:rsidRDefault="00A93436">
      <w:pPr>
        <w:pStyle w:val="BodyText"/>
        <w:rPr>
          <w:sz w:val="20"/>
        </w:rPr>
      </w:pPr>
    </w:p>
    <w:p w14:paraId="7CDA4A26" w14:textId="77777777" w:rsidR="00A93436" w:rsidRDefault="0051340A">
      <w:pPr>
        <w:pStyle w:val="BodyText"/>
        <w:spacing w:before="4"/>
        <w:rPr>
          <w:sz w:val="20"/>
        </w:rPr>
      </w:pPr>
      <w:r>
        <w:rPr>
          <w:noProof/>
        </w:rPr>
        <w:drawing>
          <wp:anchor distT="0" distB="0" distL="0" distR="0" simplePos="0" relativeHeight="251658240" behindDoc="0" locked="0" layoutInCell="1" allowOverlap="1" wp14:anchorId="007AFA23" wp14:editId="08DAB881">
            <wp:simplePos x="0" y="0"/>
            <wp:positionH relativeFrom="page">
              <wp:posOffset>2174694</wp:posOffset>
            </wp:positionH>
            <wp:positionV relativeFrom="paragraph">
              <wp:posOffset>173829</wp:posOffset>
            </wp:positionV>
            <wp:extent cx="3211454" cy="1642872"/>
            <wp:effectExtent l="0" t="0" r="0" b="0"/>
            <wp:wrapTopAndBottom/>
            <wp:docPr id="1" name="image1.jpeg" descr="C:\Users\A01233\AppData\Local\Microsoft\Windows\Temporary Internet Files\Content.Outlook\NF28V8ZF\austgov-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211454" cy="1642872"/>
                    </a:xfrm>
                    <a:prstGeom prst="rect">
                      <a:avLst/>
                    </a:prstGeom>
                  </pic:spPr>
                </pic:pic>
              </a:graphicData>
            </a:graphic>
          </wp:anchor>
        </w:drawing>
      </w:r>
    </w:p>
    <w:p w14:paraId="5D5B8E50" w14:textId="77777777" w:rsidR="00A93436" w:rsidRDefault="00A93436">
      <w:pPr>
        <w:pStyle w:val="BodyText"/>
        <w:rPr>
          <w:sz w:val="20"/>
        </w:rPr>
      </w:pPr>
    </w:p>
    <w:p w14:paraId="1C6F6C4E" w14:textId="77777777" w:rsidR="00A93436" w:rsidRDefault="00A93436">
      <w:pPr>
        <w:pStyle w:val="BodyText"/>
        <w:rPr>
          <w:sz w:val="20"/>
        </w:rPr>
      </w:pPr>
    </w:p>
    <w:p w14:paraId="799AAC9F" w14:textId="77777777" w:rsidR="00A93436" w:rsidRDefault="00A93436">
      <w:pPr>
        <w:pStyle w:val="BodyText"/>
        <w:rPr>
          <w:sz w:val="20"/>
        </w:rPr>
      </w:pPr>
    </w:p>
    <w:p w14:paraId="3DDD4A1F" w14:textId="77777777" w:rsidR="00A93436" w:rsidRDefault="00A93436">
      <w:pPr>
        <w:pStyle w:val="BodyText"/>
        <w:rPr>
          <w:sz w:val="20"/>
        </w:rPr>
      </w:pPr>
    </w:p>
    <w:p w14:paraId="6D715290" w14:textId="77777777" w:rsidR="00A93436" w:rsidRDefault="00A93436">
      <w:pPr>
        <w:pStyle w:val="BodyText"/>
        <w:rPr>
          <w:sz w:val="20"/>
        </w:rPr>
      </w:pPr>
    </w:p>
    <w:p w14:paraId="2F794D35" w14:textId="77777777" w:rsidR="00A93436" w:rsidRDefault="00A93436">
      <w:pPr>
        <w:pStyle w:val="BodyText"/>
        <w:rPr>
          <w:sz w:val="20"/>
        </w:rPr>
      </w:pPr>
    </w:p>
    <w:p w14:paraId="5B93BD7F" w14:textId="1A43FEC8" w:rsidR="00A93436" w:rsidRDefault="0051340A">
      <w:pPr>
        <w:pStyle w:val="BodyText"/>
        <w:spacing w:before="2"/>
        <w:rPr>
          <w:sz w:val="14"/>
        </w:rPr>
      </w:pPr>
      <w:r>
        <w:rPr>
          <w:noProof/>
        </w:rPr>
        <mc:AlternateContent>
          <mc:Choice Requires="wps">
            <w:drawing>
              <wp:anchor distT="0" distB="0" distL="0" distR="0" simplePos="0" relativeHeight="487588352" behindDoc="1" locked="0" layoutInCell="1" allowOverlap="1" wp14:anchorId="49E4F1A6" wp14:editId="22DD2E3F">
                <wp:simplePos x="0" y="0"/>
                <wp:positionH relativeFrom="page">
                  <wp:posOffset>896620</wp:posOffset>
                </wp:positionH>
                <wp:positionV relativeFrom="paragraph">
                  <wp:posOffset>128905</wp:posOffset>
                </wp:positionV>
                <wp:extent cx="5768975" cy="6350"/>
                <wp:effectExtent l="0" t="0" r="0" b="0"/>
                <wp:wrapTopAndBottom/>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8DF5E" id="Rectangle 6" o:spid="_x0000_s1026" style="position:absolute;margin-left:70.6pt;margin-top:10.15pt;width:454.2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" fillcolor="black" stroked="f">
                <w10:wrap type="topAndBottom" anchorx="page"/>
              </v:rect>
            </w:pict>
          </mc:Fallback>
        </mc:AlternateContent>
      </w:r>
      <w:r>
        <w:rPr>
          <w:noProof/>
        </w:rPr>
        <mc:AlternateContent>
          <mc:Choice Requires="wpg">
            <w:drawing>
              <wp:anchor distT="0" distB="0" distL="0" distR="0" simplePos="0" relativeHeight="487589376" behindDoc="1" locked="0" layoutInCell="1" allowOverlap="1" wp14:anchorId="6F1748E7" wp14:editId="098E067C">
                <wp:simplePos x="0" y="0"/>
                <wp:positionH relativeFrom="page">
                  <wp:posOffset>845820</wp:posOffset>
                </wp:positionH>
                <wp:positionV relativeFrom="paragraph">
                  <wp:posOffset>288925</wp:posOffset>
                </wp:positionV>
                <wp:extent cx="5876290" cy="498475"/>
                <wp:effectExtent l="0" t="0" r="0" b="0"/>
                <wp:wrapTopAndBottom/>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498475"/>
                          <a:chOff x="1332" y="455"/>
                          <a:chExt cx="9254" cy="785"/>
                        </a:xfrm>
                      </wpg:grpSpPr>
                      <wps:wsp>
                        <wps:cNvPr id="6" name="Freeform 5"/>
                        <wps:cNvSpPr>
                          <a:spLocks/>
                        </wps:cNvSpPr>
                        <wps:spPr bwMode="auto">
                          <a:xfrm>
                            <a:off x="1332" y="464"/>
                            <a:ext cx="9244" cy="766"/>
                          </a:xfrm>
                          <a:custGeom>
                            <a:avLst/>
                            <a:gdLst>
                              <a:gd name="T0" fmla="+- 0 10576 1332"/>
                              <a:gd name="T1" fmla="*/ T0 w 9244"/>
                              <a:gd name="T2" fmla="+- 0 464 464"/>
                              <a:gd name="T3" fmla="*/ 464 h 766"/>
                              <a:gd name="T4" fmla="+- 0 1332 1332"/>
                              <a:gd name="T5" fmla="*/ T4 w 9244"/>
                              <a:gd name="T6" fmla="+- 0 464 464"/>
                              <a:gd name="T7" fmla="*/ 464 h 766"/>
                              <a:gd name="T8" fmla="+- 0 1332 1332"/>
                              <a:gd name="T9" fmla="*/ T8 w 9244"/>
                              <a:gd name="T10" fmla="+- 0 757 464"/>
                              <a:gd name="T11" fmla="*/ 757 h 766"/>
                              <a:gd name="T12" fmla="+- 0 1332 1332"/>
                              <a:gd name="T13" fmla="*/ T12 w 9244"/>
                              <a:gd name="T14" fmla="+- 0 1230 464"/>
                              <a:gd name="T15" fmla="*/ 1230 h 766"/>
                              <a:gd name="T16" fmla="+- 0 10576 1332"/>
                              <a:gd name="T17" fmla="*/ T16 w 9244"/>
                              <a:gd name="T18" fmla="+- 0 1230 464"/>
                              <a:gd name="T19" fmla="*/ 1230 h 766"/>
                              <a:gd name="T20" fmla="+- 0 10576 1332"/>
                              <a:gd name="T21" fmla="*/ T20 w 9244"/>
                              <a:gd name="T22" fmla="+- 0 757 464"/>
                              <a:gd name="T23" fmla="*/ 757 h 766"/>
                              <a:gd name="T24" fmla="+- 0 10576 1332"/>
                              <a:gd name="T25" fmla="*/ T24 w 9244"/>
                              <a:gd name="T26" fmla="+- 0 464 464"/>
                              <a:gd name="T27" fmla="*/ 464 h 766"/>
                            </a:gdLst>
                            <a:ahLst/>
                            <a:cxnLst>
                              <a:cxn ang="0">
                                <a:pos x="T1" y="T3"/>
                              </a:cxn>
                              <a:cxn ang="0">
                                <a:pos x="T5" y="T7"/>
                              </a:cxn>
                              <a:cxn ang="0">
                                <a:pos x="T9" y="T11"/>
                              </a:cxn>
                              <a:cxn ang="0">
                                <a:pos x="T13" y="T15"/>
                              </a:cxn>
                              <a:cxn ang="0">
                                <a:pos x="T17" y="T19"/>
                              </a:cxn>
                              <a:cxn ang="0">
                                <a:pos x="T21" y="T23"/>
                              </a:cxn>
                              <a:cxn ang="0">
                                <a:pos x="T25" y="T27"/>
                              </a:cxn>
                            </a:cxnLst>
                            <a:rect l="0" t="0" r="r" b="b"/>
                            <a:pathLst>
                              <a:path w="9244" h="766">
                                <a:moveTo>
                                  <a:pt x="9244" y="0"/>
                                </a:moveTo>
                                <a:lnTo>
                                  <a:pt x="0" y="0"/>
                                </a:lnTo>
                                <a:lnTo>
                                  <a:pt x="0" y="293"/>
                                </a:lnTo>
                                <a:lnTo>
                                  <a:pt x="0" y="766"/>
                                </a:lnTo>
                                <a:lnTo>
                                  <a:pt x="9244" y="766"/>
                                </a:lnTo>
                                <a:lnTo>
                                  <a:pt x="9244" y="293"/>
                                </a:lnTo>
                                <a:lnTo>
                                  <a:pt x="9244"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Text Box 4"/>
                        <wps:cNvSpPr txBox="1">
                          <a:spLocks noChangeArrowheads="1"/>
                        </wps:cNvSpPr>
                        <wps:spPr bwMode="auto">
                          <a:xfrm>
                            <a:off x="1387" y="459"/>
                            <a:ext cx="9194" cy="776"/>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BF1F9D" w14:textId="77777777" w:rsidR="00A93436" w:rsidRDefault="0051340A">
                              <w:pPr>
                                <w:spacing w:before="20" w:line="259" w:lineRule="auto"/>
                                <w:ind w:left="3689" w:right="185" w:hanging="3553"/>
                                <w:rPr>
                                  <w:b/>
                                </w:rPr>
                              </w:pPr>
                              <w:r>
                                <w:rPr>
                                  <w:b/>
                                  <w:u w:val="thick"/>
                                </w:rPr>
                                <w:t>NOTE</w:t>
                              </w:r>
                              <w:r>
                                <w:rPr>
                                  <w:b/>
                                </w:rPr>
                                <w:t>: Information provided in this response has predominately been drawn from Australian Government input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1748E7" id="Group 3" o:spid="_x0000_s1026" style="position:absolute;margin-left:66.6pt;margin-top:22.75pt;width:462.7pt;height:39.25pt;z-index:-15727104;mso-wrap-distance-left:0;mso-wrap-distance-right:0;mso-position-horizontal-relative:page" coordorigin="1332,455" coordsize="925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">
                <v:shape id="Freeform 5" o:spid="_x0000_s1027" style="position:absolute;left:1332;top:464;width:9244;height:766;visibility:visible;mso-wrap-style:square;v-text-anchor:top" coordsize="924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" path="m9244,l,,,293,,766r9244,l9244,293,9244,xe" fillcolor="#f1f1f1" stroked="f">
                  <v:path arrowok="t" o:connecttype="custom" o:connectlocs="9244,464;0,464;0,757;0,1230;9244,1230;9244,757;9244,464" o:connectangles="0,0,0,0,0,0,0"/>
                </v:shape>
                <v:shapetype id="_x0000_t202" coordsize="21600,21600" o:spt="202" path="m,l,21600r21600,l21600,xe">
                  <v:stroke joinstyle="miter"/>
                  <v:path gradientshapeok="t" o:connecttype="rect"/>
                </v:shapetype>
                <v:shape id="Text Box 4" o:spid="_x0000_s1028" type="#_x0000_t202" style="position:absolute;left:1387;top:459;width:9194;height: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" filled="f" strokeweight=".16936mm">
                  <v:textbox inset="0,0,0,0">
                    <w:txbxContent>
                      <w:p w14:paraId="7ABF1F9D" w14:textId="77777777" w:rsidR="00A93436" w:rsidRDefault="0051340A">
                        <w:pPr>
                          <w:spacing w:before="20" w:line="259" w:lineRule="auto"/>
                          <w:ind w:left="3689" w:right="185" w:hanging="3553"/>
                          <w:rPr>
                            <w:b/>
                          </w:rPr>
                        </w:pPr>
                        <w:r>
                          <w:rPr>
                            <w:b/>
                            <w:u w:val="thick"/>
                          </w:rPr>
                          <w:t>NOTE</w:t>
                        </w:r>
                        <w:r>
                          <w:rPr>
                            <w:b/>
                          </w:rPr>
                          <w:t>: Information provided in this response has predominately been drawn from Australian Government input</w:t>
                        </w:r>
                      </w:p>
                    </w:txbxContent>
                  </v:textbox>
                </v:shape>
                <w10:wrap type="topAndBottom" anchorx="page"/>
              </v:group>
            </w:pict>
          </mc:Fallback>
        </mc:AlternateContent>
      </w:r>
    </w:p>
    <w:p w14:paraId="4DD9A9C5" w14:textId="77777777" w:rsidR="00A93436" w:rsidRDefault="00A93436">
      <w:pPr>
        <w:pStyle w:val="BodyText"/>
        <w:spacing w:before="1"/>
        <w:rPr>
          <w:sz w:val="15"/>
        </w:rPr>
      </w:pPr>
    </w:p>
    <w:p w14:paraId="3252D557" w14:textId="77777777" w:rsidR="00A93436" w:rsidRDefault="00A93436">
      <w:pPr>
        <w:rPr>
          <w:sz w:val="15"/>
        </w:rPr>
        <w:sectPr w:rsidR="00A93436">
          <w:headerReference w:type="default" r:id="rId8"/>
          <w:footerReference w:type="default" r:id="rId9"/>
          <w:type w:val="continuous"/>
          <w:pgSz w:w="11910" w:h="16840"/>
          <w:pgMar w:top="1340" w:right="740" w:bottom="1720" w:left="1280" w:header="715" w:footer="1526" w:gutter="0"/>
          <w:pgNumType w:start="1"/>
          <w:cols w:space="720"/>
        </w:sectPr>
      </w:pPr>
    </w:p>
    <w:p w14:paraId="2ECF3E3A" w14:textId="1AA5171F" w:rsidR="00A93436" w:rsidRDefault="0051340A">
      <w:pPr>
        <w:spacing w:before="80"/>
        <w:ind w:left="160"/>
        <w:rPr>
          <w:b/>
          <w:sz w:val="24"/>
        </w:rPr>
      </w:pPr>
      <w:r>
        <w:rPr>
          <w:noProof/>
        </w:rPr>
        <w:lastRenderedPageBreak/>
        <mc:AlternateContent>
          <mc:Choice Requires="wps">
            <w:drawing>
              <wp:anchor distT="0" distB="0" distL="0" distR="0" simplePos="0" relativeHeight="487589888" behindDoc="1" locked="0" layoutInCell="1" allowOverlap="1" wp14:anchorId="6B54B51C" wp14:editId="127E8445">
                <wp:simplePos x="0" y="0"/>
                <wp:positionH relativeFrom="page">
                  <wp:posOffset>896620</wp:posOffset>
                </wp:positionH>
                <wp:positionV relativeFrom="paragraph">
                  <wp:posOffset>252730</wp:posOffset>
                </wp:positionV>
                <wp:extent cx="5768975" cy="6350"/>
                <wp:effectExtent l="0" t="0" r="0" b="0"/>
                <wp:wrapTopAndBottom/>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BEA5D" id="Rectangle 2" o:spid="_x0000_s1026" style="position:absolute;margin-left:70.6pt;margin-top:19.9pt;width:454.25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" fillcolor="black" stroked="f">
                <w10:wrap type="topAndBottom" anchorx="page"/>
              </v:rect>
            </w:pict>
          </mc:Fallback>
        </mc:AlternateContent>
      </w:r>
      <w:r>
        <w:rPr>
          <w:b/>
          <w:sz w:val="24"/>
        </w:rPr>
        <w:t>CBD Notification 2020-045</w:t>
      </w:r>
    </w:p>
    <w:p w14:paraId="5F9305D1" w14:textId="77777777" w:rsidR="00A93436" w:rsidRDefault="00A93436">
      <w:pPr>
        <w:pStyle w:val="BodyText"/>
        <w:spacing w:before="7"/>
        <w:rPr>
          <w:b/>
          <w:sz w:val="10"/>
        </w:rPr>
      </w:pPr>
    </w:p>
    <w:p w14:paraId="26531F75" w14:textId="77777777" w:rsidR="00A93436" w:rsidRDefault="0051340A">
      <w:pPr>
        <w:pStyle w:val="BodyText"/>
        <w:spacing w:before="90"/>
        <w:ind w:left="160" w:right="1051"/>
      </w:pPr>
      <w:r>
        <w:t>Australia thanks the Secretariat for the opportunity to submit views on the review of implementation of the 2015-2020 Gender Plan of Action and a proposed new draft gender plan of action for the post-2</w:t>
      </w:r>
      <w:r>
        <w:t>020 period, to be considered at the third meeting of the Subsidiary Body on Implementation, as communicated in Notification 2020-055 4 August 2020 Ref: SCBD/SSSF/AS/JS/TM/89017.</w:t>
      </w:r>
    </w:p>
    <w:p w14:paraId="5DEAA0FF" w14:textId="77777777" w:rsidR="00A93436" w:rsidRDefault="0051340A">
      <w:pPr>
        <w:spacing w:before="120"/>
        <w:ind w:left="160" w:right="713"/>
        <w:rPr>
          <w:sz w:val="24"/>
        </w:rPr>
      </w:pPr>
      <w:r>
        <w:rPr>
          <w:sz w:val="24"/>
        </w:rPr>
        <w:t xml:space="preserve">Australia’s response below pertains to the </w:t>
      </w:r>
      <w:r>
        <w:rPr>
          <w:i/>
          <w:sz w:val="24"/>
        </w:rPr>
        <w:t>draft outline for a new Gender Plan</w:t>
      </w:r>
      <w:r>
        <w:rPr>
          <w:i/>
          <w:sz w:val="24"/>
        </w:rPr>
        <w:t xml:space="preserve"> of Action for the post-2020 period. </w:t>
      </w:r>
      <w:r>
        <w:rPr>
          <w:sz w:val="24"/>
        </w:rPr>
        <w:t>As requested, Australia’s comments have been provided on the draft outline in the associated review template below. We have also provided general comments on the broader process and approach for consideration.</w:t>
      </w:r>
    </w:p>
    <w:p w14:paraId="0D2F3A25" w14:textId="77777777" w:rsidR="00A93436" w:rsidRDefault="00A93436">
      <w:pPr>
        <w:pStyle w:val="BodyText"/>
        <w:rPr>
          <w:sz w:val="20"/>
        </w:rPr>
      </w:pPr>
    </w:p>
    <w:p w14:paraId="67D6594F" w14:textId="77777777" w:rsidR="00A93436" w:rsidRDefault="00A93436">
      <w:pPr>
        <w:pStyle w:val="BodyText"/>
        <w:spacing w:before="8"/>
        <w:rPr>
          <w:sz w:val="11"/>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5"/>
        <w:gridCol w:w="6714"/>
      </w:tblGrid>
      <w:tr w:rsidR="00A93436" w14:paraId="4BFAE824" w14:textId="77777777">
        <w:trPr>
          <w:trHeight w:val="458"/>
        </w:trPr>
        <w:tc>
          <w:tcPr>
            <w:tcW w:w="9609" w:type="dxa"/>
            <w:gridSpan w:val="2"/>
          </w:tcPr>
          <w:p w14:paraId="252D0A8F" w14:textId="77777777" w:rsidR="00A93436" w:rsidRDefault="0051340A">
            <w:pPr>
              <w:pStyle w:val="TableParagraph"/>
              <w:ind w:left="266"/>
              <w:rPr>
                <w:b/>
                <w:sz w:val="24"/>
              </w:rPr>
            </w:pPr>
            <w:r>
              <w:rPr>
                <w:b/>
                <w:sz w:val="24"/>
              </w:rPr>
              <w:t xml:space="preserve">Review </w:t>
            </w:r>
            <w:r>
              <w:rPr>
                <w:b/>
                <w:sz w:val="24"/>
              </w:rPr>
              <w:t>comments on the draft outline of a gender plan of action for the post-2020 period</w:t>
            </w:r>
          </w:p>
        </w:tc>
      </w:tr>
      <w:tr w:rsidR="00A93436" w14:paraId="221924E2" w14:textId="77777777">
        <w:trPr>
          <w:trHeight w:val="457"/>
        </w:trPr>
        <w:tc>
          <w:tcPr>
            <w:tcW w:w="9609" w:type="dxa"/>
            <w:gridSpan w:val="2"/>
            <w:shd w:val="clear" w:color="auto" w:fill="C0C0C0"/>
          </w:tcPr>
          <w:p w14:paraId="73A87EE6" w14:textId="77777777" w:rsidR="00A93436" w:rsidRDefault="0051340A">
            <w:pPr>
              <w:pStyle w:val="TableParagraph"/>
              <w:ind w:left="3806" w:right="3799"/>
              <w:jc w:val="center"/>
              <w:rPr>
                <w:i/>
                <w:sz w:val="24"/>
              </w:rPr>
            </w:pPr>
            <w:r>
              <w:rPr>
                <w:i/>
                <w:sz w:val="24"/>
              </w:rPr>
              <w:t>Contact information</w:t>
            </w:r>
          </w:p>
        </w:tc>
      </w:tr>
      <w:tr w:rsidR="00A93436" w14:paraId="5F1F66F6" w14:textId="77777777">
        <w:trPr>
          <w:trHeight w:val="458"/>
        </w:trPr>
        <w:tc>
          <w:tcPr>
            <w:tcW w:w="2895" w:type="dxa"/>
          </w:tcPr>
          <w:p w14:paraId="39A8B829" w14:textId="77777777" w:rsidR="00A93436" w:rsidRDefault="0051340A">
            <w:pPr>
              <w:pStyle w:val="TableParagraph"/>
              <w:spacing w:before="59" w:line="240" w:lineRule="auto"/>
              <w:rPr>
                <w:b/>
                <w:sz w:val="24"/>
              </w:rPr>
            </w:pPr>
            <w:r>
              <w:rPr>
                <w:b/>
                <w:sz w:val="24"/>
              </w:rPr>
              <w:t>Surname:</w:t>
            </w:r>
          </w:p>
        </w:tc>
        <w:tc>
          <w:tcPr>
            <w:tcW w:w="6714" w:type="dxa"/>
          </w:tcPr>
          <w:p w14:paraId="18ADD05E" w14:textId="77777777" w:rsidR="00A93436" w:rsidRDefault="0051340A">
            <w:pPr>
              <w:pStyle w:val="TableParagraph"/>
              <w:rPr>
                <w:sz w:val="24"/>
              </w:rPr>
            </w:pPr>
            <w:r>
              <w:rPr>
                <w:sz w:val="24"/>
              </w:rPr>
              <w:t>Miller</w:t>
            </w:r>
          </w:p>
        </w:tc>
      </w:tr>
      <w:tr w:rsidR="00A93436" w14:paraId="59BEBFD1" w14:textId="77777777">
        <w:trPr>
          <w:trHeight w:val="457"/>
        </w:trPr>
        <w:tc>
          <w:tcPr>
            <w:tcW w:w="2895" w:type="dxa"/>
          </w:tcPr>
          <w:p w14:paraId="52BDC9C7" w14:textId="77777777" w:rsidR="00A93436" w:rsidRDefault="0051340A">
            <w:pPr>
              <w:pStyle w:val="TableParagraph"/>
              <w:spacing w:before="59" w:line="240" w:lineRule="auto"/>
              <w:rPr>
                <w:b/>
                <w:sz w:val="24"/>
              </w:rPr>
            </w:pPr>
            <w:r>
              <w:rPr>
                <w:b/>
                <w:sz w:val="24"/>
              </w:rPr>
              <w:t>Given Name:</w:t>
            </w:r>
          </w:p>
        </w:tc>
        <w:tc>
          <w:tcPr>
            <w:tcW w:w="6714" w:type="dxa"/>
          </w:tcPr>
          <w:p w14:paraId="55F2AC09" w14:textId="77777777" w:rsidR="00A93436" w:rsidRDefault="0051340A">
            <w:pPr>
              <w:pStyle w:val="TableParagraph"/>
              <w:rPr>
                <w:sz w:val="24"/>
              </w:rPr>
            </w:pPr>
            <w:r>
              <w:rPr>
                <w:sz w:val="24"/>
              </w:rPr>
              <w:t>Katherine</w:t>
            </w:r>
          </w:p>
        </w:tc>
      </w:tr>
      <w:tr w:rsidR="00A93436" w14:paraId="1342645E" w14:textId="77777777">
        <w:trPr>
          <w:trHeight w:val="671"/>
        </w:trPr>
        <w:tc>
          <w:tcPr>
            <w:tcW w:w="2895" w:type="dxa"/>
          </w:tcPr>
          <w:p w14:paraId="05D19A02" w14:textId="77777777" w:rsidR="00A93436" w:rsidRDefault="0051340A">
            <w:pPr>
              <w:pStyle w:val="TableParagraph"/>
              <w:spacing w:before="59" w:line="240" w:lineRule="auto"/>
              <w:ind w:right="1178"/>
              <w:rPr>
                <w:b/>
                <w:sz w:val="24"/>
              </w:rPr>
            </w:pPr>
            <w:r>
              <w:rPr>
                <w:b/>
                <w:sz w:val="24"/>
              </w:rPr>
              <w:t xml:space="preserve">Government </w:t>
            </w:r>
            <w:r>
              <w:rPr>
                <w:sz w:val="24"/>
              </w:rPr>
              <w:t>(if applicable)</w:t>
            </w:r>
            <w:r>
              <w:rPr>
                <w:b/>
                <w:sz w:val="24"/>
              </w:rPr>
              <w:t>:</w:t>
            </w:r>
          </w:p>
        </w:tc>
        <w:tc>
          <w:tcPr>
            <w:tcW w:w="6714" w:type="dxa"/>
          </w:tcPr>
          <w:p w14:paraId="550DF37A" w14:textId="77777777" w:rsidR="00A93436" w:rsidRDefault="0051340A">
            <w:pPr>
              <w:pStyle w:val="TableParagraph"/>
              <w:rPr>
                <w:sz w:val="24"/>
              </w:rPr>
            </w:pPr>
            <w:r>
              <w:rPr>
                <w:sz w:val="24"/>
              </w:rPr>
              <w:t>Australia</w:t>
            </w:r>
          </w:p>
        </w:tc>
      </w:tr>
      <w:tr w:rsidR="00A93436" w14:paraId="5E58447F" w14:textId="77777777">
        <w:trPr>
          <w:trHeight w:val="458"/>
        </w:trPr>
        <w:tc>
          <w:tcPr>
            <w:tcW w:w="2895" w:type="dxa"/>
          </w:tcPr>
          <w:p w14:paraId="751123D7" w14:textId="77777777" w:rsidR="00A93436" w:rsidRDefault="0051340A">
            <w:pPr>
              <w:pStyle w:val="TableParagraph"/>
              <w:spacing w:before="59" w:line="240" w:lineRule="auto"/>
              <w:rPr>
                <w:b/>
                <w:sz w:val="24"/>
              </w:rPr>
            </w:pPr>
            <w:r>
              <w:rPr>
                <w:b/>
                <w:sz w:val="24"/>
              </w:rPr>
              <w:t>Organization:</w:t>
            </w:r>
          </w:p>
        </w:tc>
        <w:tc>
          <w:tcPr>
            <w:tcW w:w="6714" w:type="dxa"/>
          </w:tcPr>
          <w:p w14:paraId="2D98EA10" w14:textId="77777777" w:rsidR="00A93436" w:rsidRDefault="0051340A">
            <w:pPr>
              <w:pStyle w:val="TableParagraph"/>
              <w:rPr>
                <w:sz w:val="24"/>
              </w:rPr>
            </w:pPr>
            <w:r>
              <w:rPr>
                <w:sz w:val="24"/>
              </w:rPr>
              <w:t>Department of Agriculture, Water and the Environment</w:t>
            </w:r>
          </w:p>
        </w:tc>
      </w:tr>
      <w:tr w:rsidR="00A93436" w14:paraId="0F29E3A5" w14:textId="77777777">
        <w:trPr>
          <w:trHeight w:val="457"/>
        </w:trPr>
        <w:tc>
          <w:tcPr>
            <w:tcW w:w="2895" w:type="dxa"/>
          </w:tcPr>
          <w:p w14:paraId="7B48B06C" w14:textId="77777777" w:rsidR="00A93436" w:rsidRDefault="0051340A">
            <w:pPr>
              <w:pStyle w:val="TableParagraph"/>
              <w:spacing w:before="59" w:line="240" w:lineRule="auto"/>
              <w:rPr>
                <w:b/>
                <w:sz w:val="24"/>
              </w:rPr>
            </w:pPr>
            <w:r>
              <w:rPr>
                <w:b/>
                <w:sz w:val="24"/>
              </w:rPr>
              <w:t>Address:</w:t>
            </w:r>
          </w:p>
        </w:tc>
        <w:tc>
          <w:tcPr>
            <w:tcW w:w="6714" w:type="dxa"/>
          </w:tcPr>
          <w:p w14:paraId="2EA51BD7" w14:textId="77777777" w:rsidR="00A93436" w:rsidRDefault="0051340A">
            <w:pPr>
              <w:pStyle w:val="TableParagraph"/>
              <w:rPr>
                <w:sz w:val="24"/>
              </w:rPr>
            </w:pPr>
            <w:r>
              <w:rPr>
                <w:sz w:val="24"/>
              </w:rPr>
              <w:t>John Gorton Building, King Edward Terrace, Parkes, ACT, 2600</w:t>
            </w:r>
          </w:p>
        </w:tc>
      </w:tr>
      <w:tr w:rsidR="00A93436" w14:paraId="0FECF7A1" w14:textId="77777777">
        <w:trPr>
          <w:trHeight w:val="457"/>
        </w:trPr>
        <w:tc>
          <w:tcPr>
            <w:tcW w:w="2895" w:type="dxa"/>
          </w:tcPr>
          <w:p w14:paraId="550EF0EE" w14:textId="77777777" w:rsidR="00A93436" w:rsidRDefault="0051340A">
            <w:pPr>
              <w:pStyle w:val="TableParagraph"/>
              <w:spacing w:before="59" w:line="240" w:lineRule="auto"/>
              <w:rPr>
                <w:b/>
                <w:sz w:val="24"/>
              </w:rPr>
            </w:pPr>
            <w:r>
              <w:rPr>
                <w:b/>
                <w:sz w:val="24"/>
              </w:rPr>
              <w:t>City:</w:t>
            </w:r>
          </w:p>
        </w:tc>
        <w:tc>
          <w:tcPr>
            <w:tcW w:w="6714" w:type="dxa"/>
          </w:tcPr>
          <w:p w14:paraId="393DB8F2" w14:textId="77777777" w:rsidR="00A93436" w:rsidRDefault="0051340A">
            <w:pPr>
              <w:pStyle w:val="TableParagraph"/>
              <w:rPr>
                <w:sz w:val="24"/>
              </w:rPr>
            </w:pPr>
            <w:r>
              <w:rPr>
                <w:sz w:val="24"/>
              </w:rPr>
              <w:t>Canberra</w:t>
            </w:r>
          </w:p>
        </w:tc>
      </w:tr>
      <w:tr w:rsidR="00A93436" w14:paraId="3253A571" w14:textId="77777777">
        <w:trPr>
          <w:trHeight w:val="458"/>
        </w:trPr>
        <w:tc>
          <w:tcPr>
            <w:tcW w:w="2895" w:type="dxa"/>
          </w:tcPr>
          <w:p w14:paraId="10E49B8E" w14:textId="77777777" w:rsidR="00A93436" w:rsidRDefault="0051340A">
            <w:pPr>
              <w:pStyle w:val="TableParagraph"/>
              <w:spacing w:before="59" w:line="240" w:lineRule="auto"/>
              <w:rPr>
                <w:b/>
                <w:sz w:val="24"/>
              </w:rPr>
            </w:pPr>
            <w:r>
              <w:rPr>
                <w:b/>
                <w:sz w:val="24"/>
              </w:rPr>
              <w:t>Country:</w:t>
            </w:r>
          </w:p>
        </w:tc>
        <w:tc>
          <w:tcPr>
            <w:tcW w:w="6714" w:type="dxa"/>
          </w:tcPr>
          <w:p w14:paraId="2D3055AD" w14:textId="77777777" w:rsidR="00A93436" w:rsidRDefault="0051340A">
            <w:pPr>
              <w:pStyle w:val="TableParagraph"/>
              <w:rPr>
                <w:sz w:val="24"/>
              </w:rPr>
            </w:pPr>
            <w:r>
              <w:rPr>
                <w:sz w:val="24"/>
              </w:rPr>
              <w:t>Australia</w:t>
            </w:r>
          </w:p>
        </w:tc>
      </w:tr>
      <w:tr w:rsidR="00A93436" w14:paraId="3FEF9BF4" w14:textId="77777777">
        <w:trPr>
          <w:trHeight w:val="457"/>
        </w:trPr>
        <w:tc>
          <w:tcPr>
            <w:tcW w:w="2895" w:type="dxa"/>
          </w:tcPr>
          <w:p w14:paraId="4DFEA07D" w14:textId="77777777" w:rsidR="00A93436" w:rsidRDefault="0051340A">
            <w:pPr>
              <w:pStyle w:val="TableParagraph"/>
              <w:rPr>
                <w:b/>
                <w:sz w:val="24"/>
              </w:rPr>
            </w:pPr>
            <w:r>
              <w:rPr>
                <w:b/>
                <w:sz w:val="24"/>
              </w:rPr>
              <w:t>E-mail:</w:t>
            </w:r>
          </w:p>
        </w:tc>
        <w:tc>
          <w:tcPr>
            <w:tcW w:w="6714" w:type="dxa"/>
          </w:tcPr>
          <w:p w14:paraId="3C5FBD58" w14:textId="77777777" w:rsidR="00A93436" w:rsidRDefault="0051340A">
            <w:pPr>
              <w:pStyle w:val="TableParagraph"/>
              <w:rPr>
                <w:sz w:val="24"/>
              </w:rPr>
            </w:pPr>
            <w:hyperlink r:id="rId10">
              <w:r>
                <w:rPr>
                  <w:sz w:val="24"/>
                </w:rPr>
                <w:t>CBDAustralia@awe.gov.au</w:t>
              </w:r>
            </w:hyperlink>
          </w:p>
        </w:tc>
      </w:tr>
      <w:tr w:rsidR="00A93436" w14:paraId="11979BC1" w14:textId="77777777">
        <w:trPr>
          <w:trHeight w:val="457"/>
        </w:trPr>
        <w:tc>
          <w:tcPr>
            <w:tcW w:w="9609" w:type="dxa"/>
            <w:gridSpan w:val="2"/>
            <w:shd w:val="clear" w:color="auto" w:fill="C0C0C0"/>
          </w:tcPr>
          <w:p w14:paraId="663EC850" w14:textId="77777777" w:rsidR="00A93436" w:rsidRDefault="0051340A">
            <w:pPr>
              <w:pStyle w:val="TableParagraph"/>
              <w:ind w:left="3806" w:right="3797"/>
              <w:jc w:val="center"/>
              <w:rPr>
                <w:b/>
                <w:i/>
                <w:sz w:val="24"/>
              </w:rPr>
            </w:pPr>
            <w:r>
              <w:rPr>
                <w:b/>
                <w:i/>
                <w:sz w:val="24"/>
              </w:rPr>
              <w:t>General Comments</w:t>
            </w:r>
          </w:p>
        </w:tc>
      </w:tr>
      <w:tr w:rsidR="00A93436" w14:paraId="3DFD61D5" w14:textId="77777777">
        <w:trPr>
          <w:trHeight w:val="4507"/>
        </w:trPr>
        <w:tc>
          <w:tcPr>
            <w:tcW w:w="9609" w:type="dxa"/>
            <w:gridSpan w:val="2"/>
          </w:tcPr>
          <w:p w14:paraId="003EE3CE" w14:textId="77777777" w:rsidR="00A93436" w:rsidRDefault="0051340A">
            <w:pPr>
              <w:pStyle w:val="TableParagraph"/>
              <w:spacing w:line="259" w:lineRule="auto"/>
              <w:ind w:right="572"/>
              <w:rPr>
                <w:sz w:val="24"/>
              </w:rPr>
            </w:pPr>
            <w:r>
              <w:rPr>
                <w:sz w:val="24"/>
              </w:rPr>
              <w:t>Australia appreciates the work undertaken to date on the review of the implementation of the 2015-2020 Gender Plan of Action, as this provides the opportunity for lessons learned to be utilised in the development of the new Plan.</w:t>
            </w:r>
          </w:p>
          <w:p w14:paraId="07B5FB27" w14:textId="77777777" w:rsidR="00A93436" w:rsidRDefault="0051340A">
            <w:pPr>
              <w:pStyle w:val="TableParagraph"/>
              <w:spacing w:before="159" w:line="259" w:lineRule="auto"/>
              <w:ind w:right="547"/>
              <w:rPr>
                <w:sz w:val="24"/>
              </w:rPr>
            </w:pPr>
            <w:r>
              <w:rPr>
                <w:sz w:val="24"/>
              </w:rPr>
              <w:t>Some broad comments on fin</w:t>
            </w:r>
            <w:r>
              <w:rPr>
                <w:sz w:val="24"/>
              </w:rPr>
              <w:t>dings of the review, the process to date and the draft outline are below. We are looking forward to engaging in this process going forward.</w:t>
            </w:r>
          </w:p>
          <w:p w14:paraId="6B70CC2D" w14:textId="77777777" w:rsidR="00A93436" w:rsidRDefault="0051340A">
            <w:pPr>
              <w:pStyle w:val="TableParagraph"/>
              <w:numPr>
                <w:ilvl w:val="0"/>
                <w:numId w:val="2"/>
              </w:numPr>
              <w:tabs>
                <w:tab w:val="left" w:pos="827"/>
                <w:tab w:val="left" w:pos="828"/>
              </w:tabs>
              <w:spacing w:before="162" w:line="256" w:lineRule="auto"/>
              <w:ind w:right="180"/>
              <w:rPr>
                <w:i/>
                <w:sz w:val="24"/>
              </w:rPr>
            </w:pPr>
            <w:r>
              <w:rPr>
                <w:sz w:val="24"/>
              </w:rPr>
              <w:t xml:space="preserve">Australia wishes to reiterate the mandate set out by COP14/18 which was to </w:t>
            </w:r>
            <w:r>
              <w:rPr>
                <w:i/>
                <w:sz w:val="24"/>
              </w:rPr>
              <w:t>‘undertake a review of the implementation</w:t>
            </w:r>
            <w:r>
              <w:rPr>
                <w:i/>
                <w:sz w:val="24"/>
              </w:rPr>
              <w:t xml:space="preserve"> of the 2015-2020 Gender Plan of Action, in parallel to the development of the fifth edition of the Global Biodiversity Outlook and the second</w:t>
            </w:r>
            <w:r>
              <w:rPr>
                <w:i/>
                <w:spacing w:val="-12"/>
                <w:sz w:val="24"/>
              </w:rPr>
              <w:t xml:space="preserve"> </w:t>
            </w:r>
            <w:r>
              <w:rPr>
                <w:i/>
                <w:sz w:val="24"/>
              </w:rPr>
              <w:t>edition of the Local Biodiversity Outlooks, in order to identify gaps, best practices and</w:t>
            </w:r>
            <w:r>
              <w:rPr>
                <w:i/>
                <w:spacing w:val="-12"/>
                <w:sz w:val="24"/>
              </w:rPr>
              <w:t xml:space="preserve"> </w:t>
            </w:r>
            <w:r>
              <w:rPr>
                <w:i/>
                <w:sz w:val="24"/>
              </w:rPr>
              <w:t>lessons</w:t>
            </w:r>
          </w:p>
          <w:p w14:paraId="6155CDBA" w14:textId="77777777" w:rsidR="00A93436" w:rsidRDefault="0051340A">
            <w:pPr>
              <w:pStyle w:val="TableParagraph"/>
              <w:spacing w:before="4" w:line="259" w:lineRule="auto"/>
              <w:ind w:left="827" w:right="228"/>
              <w:rPr>
                <w:sz w:val="24"/>
              </w:rPr>
            </w:pPr>
            <w:r>
              <w:rPr>
                <w:i/>
                <w:sz w:val="24"/>
              </w:rPr>
              <w:t>learned’</w:t>
            </w:r>
            <w:r>
              <w:rPr>
                <w:sz w:val="24"/>
              </w:rPr>
              <w:t>. We no</w:t>
            </w:r>
            <w:r>
              <w:rPr>
                <w:sz w:val="24"/>
              </w:rPr>
              <w:t>te that this decision does not include formal agreement by Parties to develop a new Gender Plan of Action. Our view is that this needs to be considered and addressed further at the third meeting of the Subsidiary Body on Implementation, including agreement</w:t>
            </w:r>
            <w:r>
              <w:rPr>
                <w:sz w:val="24"/>
              </w:rPr>
              <w:t xml:space="preserve"> to the most effective and efficient approach to the development of a</w:t>
            </w:r>
          </w:p>
          <w:p w14:paraId="33C23F26" w14:textId="77777777" w:rsidR="00A93436" w:rsidRDefault="0051340A">
            <w:pPr>
              <w:pStyle w:val="TableParagraph"/>
              <w:spacing w:before="1" w:line="240" w:lineRule="auto"/>
              <w:ind w:left="827"/>
              <w:rPr>
                <w:sz w:val="24"/>
              </w:rPr>
            </w:pPr>
            <w:r>
              <w:rPr>
                <w:sz w:val="24"/>
              </w:rPr>
              <w:t>new plan.</w:t>
            </w:r>
          </w:p>
        </w:tc>
      </w:tr>
    </w:tbl>
    <w:p w14:paraId="3C9EF7BA" w14:textId="77777777" w:rsidR="00A93436" w:rsidRDefault="00A93436">
      <w:pPr>
        <w:rPr>
          <w:sz w:val="24"/>
        </w:rPr>
        <w:sectPr w:rsidR="00A93436">
          <w:pgSz w:w="11910" w:h="16840"/>
          <w:pgMar w:top="1340" w:right="740" w:bottom="1720" w:left="1280" w:header="715" w:footer="1526" w:gutter="0"/>
          <w:cols w:space="720"/>
        </w:sectPr>
      </w:pPr>
    </w:p>
    <w:p w14:paraId="3992821F" w14:textId="77777777" w:rsidR="00A93436" w:rsidRDefault="00A93436">
      <w:pPr>
        <w:pStyle w:val="BodyText"/>
        <w:spacing w:before="11"/>
        <w:rPr>
          <w:sz w:val="6"/>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042"/>
        <w:gridCol w:w="1031"/>
        <w:gridCol w:w="6722"/>
      </w:tblGrid>
      <w:tr w:rsidR="00A93436" w14:paraId="6C1812C3" w14:textId="77777777">
        <w:trPr>
          <w:trHeight w:val="7990"/>
        </w:trPr>
        <w:tc>
          <w:tcPr>
            <w:tcW w:w="9611" w:type="dxa"/>
            <w:gridSpan w:val="4"/>
          </w:tcPr>
          <w:p w14:paraId="4496BA26" w14:textId="77777777" w:rsidR="00A93436" w:rsidRDefault="0051340A">
            <w:pPr>
              <w:pStyle w:val="TableParagraph"/>
              <w:numPr>
                <w:ilvl w:val="0"/>
                <w:numId w:val="1"/>
              </w:numPr>
              <w:tabs>
                <w:tab w:val="left" w:pos="827"/>
                <w:tab w:val="left" w:pos="828"/>
              </w:tabs>
              <w:spacing w:before="1" w:line="259" w:lineRule="auto"/>
              <w:ind w:right="107"/>
              <w:rPr>
                <w:sz w:val="24"/>
              </w:rPr>
            </w:pPr>
            <w:r>
              <w:rPr>
                <w:sz w:val="24"/>
              </w:rPr>
              <w:t>Australia strongly supports the Convention taking action on gender equality and we support the review’s finding that the current Gender Plan of Action has added value, particularly in bringing attention to and advancing action on gender equality and women’</w:t>
            </w:r>
            <w:r>
              <w:rPr>
                <w:sz w:val="24"/>
              </w:rPr>
              <w:t>s empowerment.</w:t>
            </w:r>
          </w:p>
          <w:p w14:paraId="65702A4E" w14:textId="77777777" w:rsidR="00A93436" w:rsidRDefault="0051340A">
            <w:pPr>
              <w:pStyle w:val="TableParagraph"/>
              <w:numPr>
                <w:ilvl w:val="0"/>
                <w:numId w:val="1"/>
              </w:numPr>
              <w:tabs>
                <w:tab w:val="left" w:pos="827"/>
                <w:tab w:val="left" w:pos="828"/>
              </w:tabs>
              <w:spacing w:line="256" w:lineRule="auto"/>
              <w:ind w:right="316"/>
              <w:rPr>
                <w:sz w:val="24"/>
              </w:rPr>
            </w:pPr>
            <w:r>
              <w:rPr>
                <w:sz w:val="24"/>
              </w:rPr>
              <w:t>Should Parties agree to the development of a new plan, we agree that a strong focus should be on enhancing global and domestic efforts towards action and implementation. Providing practical examples of such actions would be beneficial in enh</w:t>
            </w:r>
            <w:r>
              <w:rPr>
                <w:sz w:val="24"/>
              </w:rPr>
              <w:t>ancing these efforts.</w:t>
            </w:r>
          </w:p>
          <w:p w14:paraId="1B13DEC2" w14:textId="77777777" w:rsidR="00A93436" w:rsidRDefault="0051340A">
            <w:pPr>
              <w:pStyle w:val="TableParagraph"/>
              <w:numPr>
                <w:ilvl w:val="0"/>
                <w:numId w:val="1"/>
              </w:numPr>
              <w:tabs>
                <w:tab w:val="left" w:pos="827"/>
                <w:tab w:val="left" w:pos="828"/>
              </w:tabs>
              <w:spacing w:before="5" w:line="259" w:lineRule="auto"/>
              <w:ind w:right="314"/>
              <w:rPr>
                <w:sz w:val="24"/>
              </w:rPr>
            </w:pPr>
            <w:r>
              <w:rPr>
                <w:sz w:val="24"/>
              </w:rPr>
              <w:t>We note the survey findings indicate that measurable targets and indicators will be needed to support the implementation of a gender-responsive Post-2020 Global Biodiversity Framework. Australia put forward several suggestions for ind</w:t>
            </w:r>
            <w:r>
              <w:rPr>
                <w:sz w:val="24"/>
              </w:rPr>
              <w:t>icators to</w:t>
            </w:r>
            <w:r>
              <w:rPr>
                <w:spacing w:val="-14"/>
                <w:sz w:val="24"/>
              </w:rPr>
              <w:t xml:space="preserve"> </w:t>
            </w:r>
            <w:r>
              <w:rPr>
                <w:sz w:val="24"/>
              </w:rPr>
              <w:t>this effect in our submission to Notification 2020-045.</w:t>
            </w:r>
          </w:p>
          <w:p w14:paraId="64558BF2" w14:textId="77777777" w:rsidR="00A93436" w:rsidRDefault="0051340A">
            <w:pPr>
              <w:pStyle w:val="TableParagraph"/>
              <w:numPr>
                <w:ilvl w:val="0"/>
                <w:numId w:val="1"/>
              </w:numPr>
              <w:tabs>
                <w:tab w:val="left" w:pos="827"/>
                <w:tab w:val="left" w:pos="828"/>
              </w:tabs>
              <w:spacing w:line="259" w:lineRule="auto"/>
              <w:ind w:right="234"/>
              <w:rPr>
                <w:sz w:val="24"/>
              </w:rPr>
            </w:pPr>
            <w:r>
              <w:rPr>
                <w:sz w:val="24"/>
              </w:rPr>
              <w:t>Regarding the draft outline provided for a new plan, we note the objectives put forward are intended to be measurable and support the achievement of relevant international gender and biodiversity-related commitments. We are supportive this approach, howeve</w:t>
            </w:r>
            <w:r>
              <w:rPr>
                <w:sz w:val="24"/>
              </w:rPr>
              <w:t>r we caution that care must be taken to not dismiss important qualitative elements in the pursuit of what is measurable. We also firmly believe that the plan should first and foremost support the achievement of the Convention’s three objectives and the goa</w:t>
            </w:r>
            <w:r>
              <w:rPr>
                <w:sz w:val="24"/>
              </w:rPr>
              <w:t>ls and targets of the Global Biodiversity Framework (noting that this is currently under development).</w:t>
            </w:r>
          </w:p>
          <w:p w14:paraId="40E6AA17" w14:textId="77777777" w:rsidR="00A93436" w:rsidRDefault="0051340A">
            <w:pPr>
              <w:pStyle w:val="TableParagraph"/>
              <w:numPr>
                <w:ilvl w:val="0"/>
                <w:numId w:val="1"/>
              </w:numPr>
              <w:tabs>
                <w:tab w:val="left" w:pos="827"/>
                <w:tab w:val="left" w:pos="828"/>
              </w:tabs>
              <w:spacing w:line="259" w:lineRule="auto"/>
              <w:ind w:right="200"/>
              <w:rPr>
                <w:sz w:val="24"/>
              </w:rPr>
            </w:pPr>
            <w:r>
              <w:rPr>
                <w:sz w:val="24"/>
              </w:rPr>
              <w:t>Finally, we strongly support the need for a participatory and inclusive process. However, we are concerned that the release of this draft outline prior t</w:t>
            </w:r>
            <w:r>
              <w:rPr>
                <w:sz w:val="24"/>
              </w:rPr>
              <w:t>o agreement by Parties that a new plan is required, and at the same time as Parties and Non-Parties are considering and responding to the Global Biodiversity Framework’s monitoring elements and indicators, may result in an lack of engagement in this proces</w:t>
            </w:r>
            <w:r>
              <w:rPr>
                <w:sz w:val="24"/>
              </w:rPr>
              <w:t>s. This highlights the need for flexibility in timing and the approach to a new plan to ensure participation is</w:t>
            </w:r>
            <w:r>
              <w:rPr>
                <w:spacing w:val="-4"/>
                <w:sz w:val="24"/>
              </w:rPr>
              <w:t xml:space="preserve"> </w:t>
            </w:r>
            <w:r>
              <w:rPr>
                <w:sz w:val="24"/>
              </w:rPr>
              <w:t>maximised.</w:t>
            </w:r>
          </w:p>
        </w:tc>
      </w:tr>
      <w:tr w:rsidR="00A93436" w14:paraId="4F47D789" w14:textId="77777777">
        <w:trPr>
          <w:trHeight w:val="457"/>
        </w:trPr>
        <w:tc>
          <w:tcPr>
            <w:tcW w:w="9611" w:type="dxa"/>
            <w:gridSpan w:val="4"/>
            <w:shd w:val="clear" w:color="auto" w:fill="D9D9D9"/>
          </w:tcPr>
          <w:p w14:paraId="7294BDF2" w14:textId="77777777" w:rsidR="00A93436" w:rsidRDefault="0051340A">
            <w:pPr>
              <w:pStyle w:val="TableParagraph"/>
              <w:ind w:left="3831" w:right="3829"/>
              <w:jc w:val="center"/>
              <w:rPr>
                <w:b/>
                <w:i/>
                <w:sz w:val="24"/>
              </w:rPr>
            </w:pPr>
            <w:r>
              <w:rPr>
                <w:b/>
                <w:i/>
                <w:sz w:val="24"/>
                <w:shd w:val="clear" w:color="auto" w:fill="D2D2D2"/>
              </w:rPr>
              <w:t>Specific Comments</w:t>
            </w:r>
          </w:p>
        </w:tc>
      </w:tr>
      <w:tr w:rsidR="00A93436" w14:paraId="710E1417" w14:textId="77777777">
        <w:trPr>
          <w:trHeight w:val="1053"/>
        </w:trPr>
        <w:tc>
          <w:tcPr>
            <w:tcW w:w="816" w:type="dxa"/>
          </w:tcPr>
          <w:p w14:paraId="12248EE5" w14:textId="77777777" w:rsidR="00A93436" w:rsidRDefault="0051340A">
            <w:pPr>
              <w:pStyle w:val="TableParagraph"/>
              <w:rPr>
                <w:sz w:val="24"/>
              </w:rPr>
            </w:pPr>
            <w:r>
              <w:rPr>
                <w:sz w:val="24"/>
              </w:rPr>
              <w:t>4</w:t>
            </w:r>
          </w:p>
        </w:tc>
        <w:tc>
          <w:tcPr>
            <w:tcW w:w="1042" w:type="dxa"/>
          </w:tcPr>
          <w:p w14:paraId="1F8A9ECA" w14:textId="77777777" w:rsidR="00A93436" w:rsidRDefault="0051340A">
            <w:pPr>
              <w:pStyle w:val="TableParagraph"/>
              <w:rPr>
                <w:sz w:val="24"/>
              </w:rPr>
            </w:pPr>
            <w:r>
              <w:rPr>
                <w:w w:val="99"/>
                <w:sz w:val="24"/>
              </w:rPr>
              <w:t>A</w:t>
            </w:r>
          </w:p>
        </w:tc>
        <w:tc>
          <w:tcPr>
            <w:tcW w:w="1031" w:type="dxa"/>
          </w:tcPr>
          <w:p w14:paraId="23FA7CAF" w14:textId="77777777" w:rsidR="00A93436" w:rsidRDefault="0051340A">
            <w:pPr>
              <w:pStyle w:val="TableParagraph"/>
              <w:rPr>
                <w:sz w:val="24"/>
              </w:rPr>
            </w:pPr>
            <w:r>
              <w:rPr>
                <w:sz w:val="24"/>
              </w:rPr>
              <w:t>1</w:t>
            </w:r>
          </w:p>
        </w:tc>
        <w:tc>
          <w:tcPr>
            <w:tcW w:w="6722" w:type="dxa"/>
          </w:tcPr>
          <w:p w14:paraId="5B8DFC1F" w14:textId="77777777" w:rsidR="00A93436" w:rsidRDefault="0051340A">
            <w:pPr>
              <w:pStyle w:val="TableParagraph"/>
              <w:spacing w:line="259" w:lineRule="auto"/>
              <w:ind w:left="106" w:right="322"/>
              <w:rPr>
                <w:sz w:val="24"/>
              </w:rPr>
            </w:pPr>
            <w:r>
              <w:rPr>
                <w:sz w:val="24"/>
              </w:rPr>
              <w:t>“Equal” is more appropriate language than “equitable” and better reflects the language used in the draft objectives. This comment applies across the whole draft outline.</w:t>
            </w:r>
          </w:p>
        </w:tc>
      </w:tr>
      <w:tr w:rsidR="00A93436" w14:paraId="43D43087" w14:textId="77777777">
        <w:trPr>
          <w:trHeight w:val="3619"/>
        </w:trPr>
        <w:tc>
          <w:tcPr>
            <w:tcW w:w="816" w:type="dxa"/>
          </w:tcPr>
          <w:p w14:paraId="4425A699" w14:textId="77777777" w:rsidR="00A93436" w:rsidRDefault="0051340A">
            <w:pPr>
              <w:pStyle w:val="TableParagraph"/>
              <w:spacing w:line="276" w:lineRule="exact"/>
              <w:rPr>
                <w:sz w:val="24"/>
              </w:rPr>
            </w:pPr>
            <w:r>
              <w:rPr>
                <w:sz w:val="24"/>
              </w:rPr>
              <w:t>4</w:t>
            </w:r>
          </w:p>
        </w:tc>
        <w:tc>
          <w:tcPr>
            <w:tcW w:w="1042" w:type="dxa"/>
          </w:tcPr>
          <w:p w14:paraId="73751951" w14:textId="77777777" w:rsidR="00A93436" w:rsidRDefault="0051340A">
            <w:pPr>
              <w:pStyle w:val="TableParagraph"/>
              <w:spacing w:line="276" w:lineRule="exact"/>
              <w:rPr>
                <w:sz w:val="24"/>
              </w:rPr>
            </w:pPr>
            <w:r>
              <w:rPr>
                <w:sz w:val="24"/>
              </w:rPr>
              <w:t>B</w:t>
            </w:r>
          </w:p>
        </w:tc>
        <w:tc>
          <w:tcPr>
            <w:tcW w:w="1031" w:type="dxa"/>
          </w:tcPr>
          <w:p w14:paraId="6E591B2E" w14:textId="77777777" w:rsidR="00A93436" w:rsidRDefault="0051340A">
            <w:pPr>
              <w:pStyle w:val="TableParagraph"/>
              <w:spacing w:line="276" w:lineRule="exact"/>
              <w:rPr>
                <w:sz w:val="24"/>
              </w:rPr>
            </w:pPr>
            <w:r>
              <w:rPr>
                <w:sz w:val="24"/>
              </w:rPr>
              <w:t>1</w:t>
            </w:r>
          </w:p>
        </w:tc>
        <w:tc>
          <w:tcPr>
            <w:tcW w:w="6722" w:type="dxa"/>
          </w:tcPr>
          <w:p w14:paraId="6B749D22" w14:textId="77777777" w:rsidR="00A93436" w:rsidRDefault="0051340A">
            <w:pPr>
              <w:pStyle w:val="TableParagraph"/>
              <w:spacing w:line="259" w:lineRule="auto"/>
              <w:ind w:left="106" w:right="267"/>
              <w:rPr>
                <w:sz w:val="24"/>
              </w:rPr>
            </w:pPr>
            <w:r>
              <w:rPr>
                <w:sz w:val="24"/>
              </w:rPr>
              <w:t>We suggest this draft objective could be further broken down into the following:</w:t>
            </w:r>
          </w:p>
          <w:p w14:paraId="73BD1111" w14:textId="77777777" w:rsidR="00A93436" w:rsidRDefault="0051340A">
            <w:pPr>
              <w:pStyle w:val="TableParagraph"/>
              <w:spacing w:before="159" w:line="259" w:lineRule="auto"/>
              <w:ind w:left="826" w:right="106"/>
              <w:rPr>
                <w:i/>
                <w:sz w:val="24"/>
              </w:rPr>
            </w:pPr>
            <w:r>
              <w:rPr>
                <w:i/>
                <w:sz w:val="24"/>
              </w:rPr>
              <w:t xml:space="preserve">Ensure full and equal participation of all genders, </w:t>
            </w:r>
            <w:r>
              <w:rPr>
                <w:i/>
                <w:sz w:val="24"/>
              </w:rPr>
              <w:t>particularly women and girls, in decision making regarding biodiversity.</w:t>
            </w:r>
          </w:p>
          <w:p w14:paraId="3744B2C9" w14:textId="77777777" w:rsidR="00A93436" w:rsidRDefault="0051340A">
            <w:pPr>
              <w:pStyle w:val="TableParagraph"/>
              <w:spacing w:before="160" w:line="259" w:lineRule="auto"/>
              <w:ind w:left="826" w:right="126"/>
              <w:rPr>
                <w:i/>
                <w:sz w:val="24"/>
              </w:rPr>
            </w:pPr>
            <w:r>
              <w:rPr>
                <w:i/>
                <w:sz w:val="24"/>
              </w:rPr>
              <w:t>Encourage gender-inclusive governance structures, with a focus on strengthening the representation and leadership of women at all levels of biodiversity-related governance.</w:t>
            </w:r>
          </w:p>
          <w:p w14:paraId="618B9B5D" w14:textId="77777777" w:rsidR="00A93436" w:rsidRDefault="0051340A">
            <w:pPr>
              <w:pStyle w:val="TableParagraph"/>
              <w:spacing w:before="159" w:line="259" w:lineRule="auto"/>
              <w:ind w:left="106" w:right="322"/>
              <w:rPr>
                <w:sz w:val="24"/>
              </w:rPr>
            </w:pPr>
            <w:r>
              <w:rPr>
                <w:sz w:val="24"/>
              </w:rPr>
              <w:t>The explic</w:t>
            </w:r>
            <w:r>
              <w:rPr>
                <w:sz w:val="24"/>
              </w:rPr>
              <w:t>it reference to women and girls when referring to participation, representation and leadership is critical.</w:t>
            </w:r>
          </w:p>
        </w:tc>
      </w:tr>
    </w:tbl>
    <w:p w14:paraId="3E567A8B" w14:textId="77777777" w:rsidR="00A93436" w:rsidRDefault="00A93436">
      <w:pPr>
        <w:spacing w:line="259" w:lineRule="auto"/>
        <w:rPr>
          <w:sz w:val="24"/>
        </w:rPr>
        <w:sectPr w:rsidR="00A93436">
          <w:pgSz w:w="11910" w:h="16840"/>
          <w:pgMar w:top="1340" w:right="740" w:bottom="1720" w:left="1280" w:header="715" w:footer="1526" w:gutter="0"/>
          <w:cols w:space="720"/>
        </w:sectPr>
      </w:pPr>
    </w:p>
    <w:p w14:paraId="16A7F5A0" w14:textId="77777777" w:rsidR="00A93436" w:rsidRDefault="00A93436">
      <w:pPr>
        <w:pStyle w:val="BodyText"/>
        <w:spacing w:before="11"/>
        <w:rPr>
          <w:sz w:val="6"/>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042"/>
        <w:gridCol w:w="1031"/>
        <w:gridCol w:w="6722"/>
      </w:tblGrid>
      <w:tr w:rsidR="00A93436" w14:paraId="44E0E451" w14:textId="77777777">
        <w:trPr>
          <w:trHeight w:val="2404"/>
        </w:trPr>
        <w:tc>
          <w:tcPr>
            <w:tcW w:w="816" w:type="dxa"/>
          </w:tcPr>
          <w:p w14:paraId="4486A768" w14:textId="77777777" w:rsidR="00A93436" w:rsidRDefault="00A93436">
            <w:pPr>
              <w:pStyle w:val="TableParagraph"/>
              <w:spacing w:line="240" w:lineRule="auto"/>
              <w:ind w:left="0"/>
            </w:pPr>
          </w:p>
        </w:tc>
        <w:tc>
          <w:tcPr>
            <w:tcW w:w="1042" w:type="dxa"/>
          </w:tcPr>
          <w:p w14:paraId="7CD12807" w14:textId="77777777" w:rsidR="00A93436" w:rsidRDefault="00A93436">
            <w:pPr>
              <w:pStyle w:val="TableParagraph"/>
              <w:spacing w:line="240" w:lineRule="auto"/>
              <w:ind w:left="0"/>
            </w:pPr>
          </w:p>
        </w:tc>
        <w:tc>
          <w:tcPr>
            <w:tcW w:w="1031" w:type="dxa"/>
          </w:tcPr>
          <w:p w14:paraId="7EF9A048" w14:textId="77777777" w:rsidR="00A93436" w:rsidRDefault="00A93436">
            <w:pPr>
              <w:pStyle w:val="TableParagraph"/>
              <w:spacing w:line="240" w:lineRule="auto"/>
              <w:ind w:left="0"/>
            </w:pPr>
          </w:p>
        </w:tc>
        <w:tc>
          <w:tcPr>
            <w:tcW w:w="6722" w:type="dxa"/>
          </w:tcPr>
          <w:p w14:paraId="4986E138" w14:textId="77777777" w:rsidR="00A93436" w:rsidRDefault="0051340A">
            <w:pPr>
              <w:pStyle w:val="TableParagraph"/>
              <w:spacing w:line="259" w:lineRule="auto"/>
              <w:ind w:left="106" w:right="558"/>
              <w:rPr>
                <w:sz w:val="24"/>
              </w:rPr>
            </w:pPr>
            <w:r>
              <w:rPr>
                <w:sz w:val="24"/>
              </w:rPr>
              <w:t>However, we do not want to see an unintentional exclusion of female-identifying or non-binary persons – hence the proposed split of this into two objectives and some clarification around language – for broader consideration and discussion.</w:t>
            </w:r>
          </w:p>
          <w:p w14:paraId="567AECF2" w14:textId="77777777" w:rsidR="00A93436" w:rsidRDefault="0051340A">
            <w:pPr>
              <w:pStyle w:val="TableParagraph"/>
              <w:spacing w:before="158" w:line="259" w:lineRule="auto"/>
              <w:ind w:left="106" w:right="288"/>
              <w:jc w:val="both"/>
              <w:rPr>
                <w:sz w:val="24"/>
              </w:rPr>
            </w:pPr>
            <w:r>
              <w:rPr>
                <w:sz w:val="24"/>
              </w:rPr>
              <w:t>We reiterate tha</w:t>
            </w:r>
            <w:r>
              <w:rPr>
                <w:sz w:val="24"/>
              </w:rPr>
              <w:t xml:space="preserve">t female-identifying members of the LGBTIQA+ community should be counted towards the gender equality </w:t>
            </w:r>
            <w:r>
              <w:rPr>
                <w:spacing w:val="-3"/>
                <w:sz w:val="24"/>
              </w:rPr>
              <w:t xml:space="preserve">targets </w:t>
            </w:r>
            <w:r>
              <w:rPr>
                <w:sz w:val="24"/>
              </w:rPr>
              <w:t>on boards and/ or representative bodies.</w:t>
            </w:r>
          </w:p>
        </w:tc>
      </w:tr>
      <w:tr w:rsidR="00A93436" w14:paraId="0CD8EE4F" w14:textId="77777777">
        <w:trPr>
          <w:trHeight w:val="1809"/>
        </w:trPr>
        <w:tc>
          <w:tcPr>
            <w:tcW w:w="816" w:type="dxa"/>
          </w:tcPr>
          <w:p w14:paraId="02A3E08E" w14:textId="77777777" w:rsidR="00A93436" w:rsidRDefault="0051340A">
            <w:pPr>
              <w:pStyle w:val="TableParagraph"/>
              <w:rPr>
                <w:sz w:val="24"/>
              </w:rPr>
            </w:pPr>
            <w:r>
              <w:rPr>
                <w:sz w:val="24"/>
              </w:rPr>
              <w:t>4</w:t>
            </w:r>
          </w:p>
        </w:tc>
        <w:tc>
          <w:tcPr>
            <w:tcW w:w="1042" w:type="dxa"/>
          </w:tcPr>
          <w:p w14:paraId="63EA54FE" w14:textId="77777777" w:rsidR="00A93436" w:rsidRDefault="0051340A">
            <w:pPr>
              <w:pStyle w:val="TableParagraph"/>
              <w:rPr>
                <w:sz w:val="24"/>
              </w:rPr>
            </w:pPr>
            <w:r>
              <w:rPr>
                <w:sz w:val="24"/>
              </w:rPr>
              <w:t>B</w:t>
            </w:r>
          </w:p>
        </w:tc>
        <w:tc>
          <w:tcPr>
            <w:tcW w:w="1031" w:type="dxa"/>
          </w:tcPr>
          <w:p w14:paraId="2FCB70F7" w14:textId="77777777" w:rsidR="00A93436" w:rsidRDefault="0051340A">
            <w:pPr>
              <w:pStyle w:val="TableParagraph"/>
              <w:rPr>
                <w:sz w:val="24"/>
              </w:rPr>
            </w:pPr>
            <w:r>
              <w:rPr>
                <w:sz w:val="24"/>
              </w:rPr>
              <w:t>2</w:t>
            </w:r>
          </w:p>
        </w:tc>
        <w:tc>
          <w:tcPr>
            <w:tcW w:w="6722" w:type="dxa"/>
          </w:tcPr>
          <w:p w14:paraId="2AB9724C" w14:textId="77777777" w:rsidR="00A93436" w:rsidRDefault="0051340A">
            <w:pPr>
              <w:pStyle w:val="TableParagraph"/>
              <w:spacing w:line="259" w:lineRule="auto"/>
              <w:ind w:left="106" w:right="653"/>
              <w:rPr>
                <w:sz w:val="24"/>
              </w:rPr>
            </w:pPr>
            <w:r>
              <w:rPr>
                <w:sz w:val="24"/>
              </w:rPr>
              <w:t>We suggest consideration is given to expanding this objective along the lines of:</w:t>
            </w:r>
          </w:p>
          <w:p w14:paraId="27629ACA" w14:textId="77777777" w:rsidR="00A93436" w:rsidRDefault="0051340A">
            <w:pPr>
              <w:pStyle w:val="TableParagraph"/>
              <w:spacing w:before="159" w:line="259" w:lineRule="auto"/>
              <w:ind w:left="826" w:right="267"/>
              <w:rPr>
                <w:i/>
                <w:sz w:val="24"/>
              </w:rPr>
            </w:pPr>
            <w:r>
              <w:rPr>
                <w:i/>
                <w:sz w:val="24"/>
              </w:rPr>
              <w:t>Enhancing the full and effective participation of women in CBD processes, including through the engagement of women’s groups and encouraging women delegates.</w:t>
            </w:r>
          </w:p>
        </w:tc>
      </w:tr>
      <w:tr w:rsidR="00A93436" w14:paraId="05AA1F3C" w14:textId="77777777">
        <w:trPr>
          <w:trHeight w:val="3756"/>
        </w:trPr>
        <w:tc>
          <w:tcPr>
            <w:tcW w:w="816" w:type="dxa"/>
          </w:tcPr>
          <w:p w14:paraId="793B05A4" w14:textId="77777777" w:rsidR="00A93436" w:rsidRDefault="0051340A">
            <w:pPr>
              <w:pStyle w:val="TableParagraph"/>
              <w:rPr>
                <w:sz w:val="24"/>
              </w:rPr>
            </w:pPr>
            <w:r>
              <w:rPr>
                <w:sz w:val="24"/>
              </w:rPr>
              <w:t>4</w:t>
            </w:r>
          </w:p>
        </w:tc>
        <w:tc>
          <w:tcPr>
            <w:tcW w:w="1042" w:type="dxa"/>
          </w:tcPr>
          <w:p w14:paraId="68546694" w14:textId="77777777" w:rsidR="00A93436" w:rsidRDefault="0051340A">
            <w:pPr>
              <w:pStyle w:val="TableParagraph"/>
              <w:rPr>
                <w:sz w:val="24"/>
              </w:rPr>
            </w:pPr>
            <w:r>
              <w:rPr>
                <w:sz w:val="24"/>
              </w:rPr>
              <w:t>B</w:t>
            </w:r>
          </w:p>
        </w:tc>
        <w:tc>
          <w:tcPr>
            <w:tcW w:w="1031" w:type="dxa"/>
          </w:tcPr>
          <w:p w14:paraId="08F01B4E" w14:textId="77777777" w:rsidR="00A93436" w:rsidRDefault="0051340A">
            <w:pPr>
              <w:pStyle w:val="TableParagraph"/>
              <w:rPr>
                <w:sz w:val="24"/>
              </w:rPr>
            </w:pPr>
            <w:r>
              <w:rPr>
                <w:sz w:val="24"/>
              </w:rPr>
              <w:t>3</w:t>
            </w:r>
          </w:p>
        </w:tc>
        <w:tc>
          <w:tcPr>
            <w:tcW w:w="6722" w:type="dxa"/>
          </w:tcPr>
          <w:p w14:paraId="7E542326" w14:textId="77777777" w:rsidR="00A93436" w:rsidRDefault="0051340A">
            <w:pPr>
              <w:pStyle w:val="TableParagraph"/>
              <w:spacing w:line="259" w:lineRule="auto"/>
              <w:ind w:left="106" w:right="87"/>
              <w:rPr>
                <w:sz w:val="24"/>
              </w:rPr>
            </w:pPr>
            <w:r>
              <w:rPr>
                <w:sz w:val="24"/>
              </w:rPr>
              <w:t>We suggest that consideration should be given throughout this draft outline to ensuring the</w:t>
            </w:r>
            <w:r>
              <w:rPr>
                <w:sz w:val="24"/>
              </w:rPr>
              <w:t xml:space="preserve"> new gender plan of action is easily communicable to all readers. On that basis, we suggest this objective could be shortened to:</w:t>
            </w:r>
          </w:p>
          <w:p w14:paraId="7CD56243" w14:textId="77777777" w:rsidR="00A93436" w:rsidRDefault="0051340A">
            <w:pPr>
              <w:pStyle w:val="TableParagraph"/>
              <w:spacing w:before="158" w:line="259" w:lineRule="auto"/>
              <w:ind w:left="826" w:right="139"/>
              <w:rPr>
                <w:i/>
                <w:sz w:val="24"/>
              </w:rPr>
            </w:pPr>
            <w:r>
              <w:rPr>
                <w:i/>
                <w:sz w:val="24"/>
              </w:rPr>
              <w:t>Mainstream gender considerations into national biodiversity strategies and action plans, including planning and reporting.</w:t>
            </w:r>
          </w:p>
          <w:p w14:paraId="21278F1D" w14:textId="77777777" w:rsidR="00A93436" w:rsidRDefault="0051340A">
            <w:pPr>
              <w:pStyle w:val="TableParagraph"/>
              <w:spacing w:before="159" w:line="259" w:lineRule="auto"/>
              <w:ind w:left="106" w:right="940"/>
              <w:rPr>
                <w:sz w:val="24"/>
              </w:rPr>
            </w:pPr>
            <w:r>
              <w:rPr>
                <w:sz w:val="24"/>
              </w:rPr>
              <w:t>We need to ensure that we are able to move beyond only identifying or raising awareness of gender issues, to taking measures to actively address gender inequalities and to incentivising concrete policy responses.</w:t>
            </w:r>
          </w:p>
        </w:tc>
      </w:tr>
      <w:tr w:rsidR="00A93436" w14:paraId="5E33AA87" w14:textId="77777777">
        <w:trPr>
          <w:trHeight w:val="3160"/>
        </w:trPr>
        <w:tc>
          <w:tcPr>
            <w:tcW w:w="816" w:type="dxa"/>
          </w:tcPr>
          <w:p w14:paraId="6A7CF026" w14:textId="77777777" w:rsidR="00A93436" w:rsidRDefault="0051340A">
            <w:pPr>
              <w:pStyle w:val="TableParagraph"/>
              <w:spacing w:before="1" w:line="240" w:lineRule="auto"/>
              <w:rPr>
                <w:sz w:val="24"/>
              </w:rPr>
            </w:pPr>
            <w:r>
              <w:rPr>
                <w:sz w:val="24"/>
              </w:rPr>
              <w:t>5</w:t>
            </w:r>
          </w:p>
        </w:tc>
        <w:tc>
          <w:tcPr>
            <w:tcW w:w="1042" w:type="dxa"/>
          </w:tcPr>
          <w:p w14:paraId="5615DA37" w14:textId="77777777" w:rsidR="00A93436" w:rsidRDefault="0051340A">
            <w:pPr>
              <w:pStyle w:val="TableParagraph"/>
              <w:spacing w:before="1" w:line="240" w:lineRule="auto"/>
              <w:rPr>
                <w:sz w:val="24"/>
              </w:rPr>
            </w:pPr>
            <w:r>
              <w:rPr>
                <w:sz w:val="24"/>
              </w:rPr>
              <w:t>B</w:t>
            </w:r>
          </w:p>
        </w:tc>
        <w:tc>
          <w:tcPr>
            <w:tcW w:w="1031" w:type="dxa"/>
          </w:tcPr>
          <w:p w14:paraId="1F6145DA" w14:textId="77777777" w:rsidR="00A93436" w:rsidRDefault="0051340A">
            <w:pPr>
              <w:pStyle w:val="TableParagraph"/>
              <w:spacing w:before="1" w:line="240" w:lineRule="auto"/>
              <w:rPr>
                <w:sz w:val="24"/>
              </w:rPr>
            </w:pPr>
            <w:r>
              <w:rPr>
                <w:sz w:val="24"/>
              </w:rPr>
              <w:t>4</w:t>
            </w:r>
          </w:p>
        </w:tc>
        <w:tc>
          <w:tcPr>
            <w:tcW w:w="6722" w:type="dxa"/>
          </w:tcPr>
          <w:p w14:paraId="71C175D0" w14:textId="77777777" w:rsidR="00A93436" w:rsidRDefault="0051340A">
            <w:pPr>
              <w:pStyle w:val="TableParagraph"/>
              <w:spacing w:before="1" w:line="259" w:lineRule="auto"/>
              <w:ind w:left="106" w:right="161"/>
              <w:rPr>
                <w:sz w:val="24"/>
              </w:rPr>
            </w:pPr>
            <w:r>
              <w:rPr>
                <w:sz w:val="24"/>
              </w:rPr>
              <w:t>Suggest expanding this objective bey</w:t>
            </w:r>
            <w:r>
              <w:rPr>
                <w:sz w:val="24"/>
              </w:rPr>
              <w:t>ond legal and social barriers to all barriers being considered and addressed with a focus also on simplifying language:</w:t>
            </w:r>
          </w:p>
          <w:p w14:paraId="25D1A08E" w14:textId="77777777" w:rsidR="00A93436" w:rsidRDefault="0051340A">
            <w:pPr>
              <w:pStyle w:val="TableParagraph"/>
              <w:spacing w:before="157" w:line="259" w:lineRule="auto"/>
              <w:ind w:left="826" w:right="439"/>
              <w:rPr>
                <w:i/>
                <w:sz w:val="24"/>
              </w:rPr>
            </w:pPr>
            <w:r>
              <w:rPr>
                <w:i/>
                <w:sz w:val="24"/>
              </w:rPr>
              <w:t>Barriers that may prevent access, ownership or control over land and other biological resources for women and girls are identified and r</w:t>
            </w:r>
            <w:r>
              <w:rPr>
                <w:i/>
                <w:sz w:val="24"/>
              </w:rPr>
              <w:t>emoved.</w:t>
            </w:r>
          </w:p>
          <w:p w14:paraId="760921F4" w14:textId="77777777" w:rsidR="00A93436" w:rsidRDefault="0051340A">
            <w:pPr>
              <w:pStyle w:val="TableParagraph"/>
              <w:spacing w:before="160" w:line="261" w:lineRule="auto"/>
              <w:ind w:left="106" w:right="274"/>
              <w:rPr>
                <w:sz w:val="24"/>
              </w:rPr>
            </w:pPr>
            <w:r>
              <w:rPr>
                <w:sz w:val="24"/>
              </w:rPr>
              <w:t>Another objective that could be considered for insertion here may be along the lines of that in the UNCCD action plan, which</w:t>
            </w:r>
          </w:p>
          <w:p w14:paraId="57687A96" w14:textId="77777777" w:rsidR="00A93436" w:rsidRDefault="0051340A">
            <w:pPr>
              <w:pStyle w:val="TableParagraph"/>
              <w:spacing w:line="272" w:lineRule="exact"/>
              <w:ind w:left="106"/>
              <w:rPr>
                <w:sz w:val="24"/>
              </w:rPr>
            </w:pPr>
            <w:r>
              <w:rPr>
                <w:sz w:val="24"/>
              </w:rPr>
              <w:t>incorporates taking clear action to increase women’s land rights.</w:t>
            </w:r>
          </w:p>
        </w:tc>
      </w:tr>
      <w:tr w:rsidR="00A93436" w14:paraId="68BE6A58" w14:textId="77777777">
        <w:trPr>
          <w:trHeight w:val="1053"/>
        </w:trPr>
        <w:tc>
          <w:tcPr>
            <w:tcW w:w="816" w:type="dxa"/>
          </w:tcPr>
          <w:p w14:paraId="7F21D54E" w14:textId="77777777" w:rsidR="00A93436" w:rsidRDefault="0051340A">
            <w:pPr>
              <w:pStyle w:val="TableParagraph"/>
              <w:spacing w:before="1" w:line="240" w:lineRule="auto"/>
              <w:rPr>
                <w:sz w:val="24"/>
              </w:rPr>
            </w:pPr>
            <w:r>
              <w:rPr>
                <w:sz w:val="24"/>
              </w:rPr>
              <w:t>6</w:t>
            </w:r>
          </w:p>
        </w:tc>
        <w:tc>
          <w:tcPr>
            <w:tcW w:w="1042" w:type="dxa"/>
          </w:tcPr>
          <w:p w14:paraId="5001107D" w14:textId="77777777" w:rsidR="00A93436" w:rsidRDefault="0051340A">
            <w:pPr>
              <w:pStyle w:val="TableParagraph"/>
              <w:spacing w:before="1" w:line="240" w:lineRule="auto"/>
              <w:rPr>
                <w:sz w:val="24"/>
              </w:rPr>
            </w:pPr>
            <w:r>
              <w:rPr>
                <w:w w:val="99"/>
                <w:sz w:val="24"/>
              </w:rPr>
              <w:t>A</w:t>
            </w:r>
          </w:p>
        </w:tc>
        <w:tc>
          <w:tcPr>
            <w:tcW w:w="1031" w:type="dxa"/>
          </w:tcPr>
          <w:p w14:paraId="53E26EB0" w14:textId="77777777" w:rsidR="00A93436" w:rsidRDefault="0051340A">
            <w:pPr>
              <w:pStyle w:val="TableParagraph"/>
              <w:spacing w:before="1" w:line="240" w:lineRule="auto"/>
              <w:rPr>
                <w:sz w:val="24"/>
              </w:rPr>
            </w:pPr>
            <w:r>
              <w:rPr>
                <w:sz w:val="24"/>
              </w:rPr>
              <w:t>6</w:t>
            </w:r>
          </w:p>
        </w:tc>
        <w:tc>
          <w:tcPr>
            <w:tcW w:w="6722" w:type="dxa"/>
          </w:tcPr>
          <w:p w14:paraId="30BD49A1" w14:textId="77777777" w:rsidR="00A93436" w:rsidRDefault="0051340A">
            <w:pPr>
              <w:pStyle w:val="TableParagraph"/>
              <w:spacing w:before="1" w:line="259" w:lineRule="auto"/>
              <w:ind w:left="106" w:right="322"/>
              <w:rPr>
                <w:sz w:val="24"/>
              </w:rPr>
            </w:pPr>
            <w:r>
              <w:rPr>
                <w:sz w:val="24"/>
              </w:rPr>
              <w:t>“Equal” is more appropriate language than “equitable” and better reflects the language used in the draft objectives. This comment applies across the whole draft outline.</w:t>
            </w:r>
          </w:p>
        </w:tc>
      </w:tr>
      <w:tr w:rsidR="00A93436" w14:paraId="58BEC1DB" w14:textId="77777777">
        <w:trPr>
          <w:trHeight w:val="1055"/>
        </w:trPr>
        <w:tc>
          <w:tcPr>
            <w:tcW w:w="816" w:type="dxa"/>
          </w:tcPr>
          <w:p w14:paraId="6C02AF65" w14:textId="77777777" w:rsidR="00A93436" w:rsidRDefault="0051340A">
            <w:pPr>
              <w:pStyle w:val="TableParagraph"/>
              <w:spacing w:before="1" w:line="240" w:lineRule="auto"/>
              <w:rPr>
                <w:sz w:val="24"/>
              </w:rPr>
            </w:pPr>
            <w:r>
              <w:rPr>
                <w:sz w:val="24"/>
              </w:rPr>
              <w:t>6</w:t>
            </w:r>
          </w:p>
        </w:tc>
        <w:tc>
          <w:tcPr>
            <w:tcW w:w="1042" w:type="dxa"/>
          </w:tcPr>
          <w:p w14:paraId="3E0FB871" w14:textId="77777777" w:rsidR="00A93436" w:rsidRDefault="0051340A">
            <w:pPr>
              <w:pStyle w:val="TableParagraph"/>
              <w:spacing w:before="1" w:line="240" w:lineRule="auto"/>
              <w:rPr>
                <w:sz w:val="24"/>
              </w:rPr>
            </w:pPr>
            <w:r>
              <w:rPr>
                <w:sz w:val="24"/>
              </w:rPr>
              <w:t>B</w:t>
            </w:r>
          </w:p>
        </w:tc>
        <w:tc>
          <w:tcPr>
            <w:tcW w:w="1031" w:type="dxa"/>
          </w:tcPr>
          <w:p w14:paraId="7C239F8A" w14:textId="77777777" w:rsidR="00A93436" w:rsidRDefault="0051340A">
            <w:pPr>
              <w:pStyle w:val="TableParagraph"/>
              <w:spacing w:before="1" w:line="240" w:lineRule="auto"/>
              <w:rPr>
                <w:sz w:val="24"/>
              </w:rPr>
            </w:pPr>
            <w:r>
              <w:rPr>
                <w:sz w:val="24"/>
              </w:rPr>
              <w:t>7</w:t>
            </w:r>
          </w:p>
        </w:tc>
        <w:tc>
          <w:tcPr>
            <w:tcW w:w="6722" w:type="dxa"/>
          </w:tcPr>
          <w:p w14:paraId="7DAC5ED3" w14:textId="77777777" w:rsidR="00A93436" w:rsidRDefault="0051340A">
            <w:pPr>
              <w:pStyle w:val="TableParagraph"/>
              <w:spacing w:before="1" w:line="259" w:lineRule="auto"/>
              <w:ind w:left="106" w:right="121"/>
              <w:rPr>
                <w:sz w:val="24"/>
              </w:rPr>
            </w:pPr>
            <w:r>
              <w:rPr>
                <w:sz w:val="24"/>
              </w:rPr>
              <w:t>For consideration, it may be beneficial to expand this to specify the need to promote steady and formal paid employment for women and girls in biodiversity-related sectors.</w:t>
            </w:r>
          </w:p>
        </w:tc>
      </w:tr>
    </w:tbl>
    <w:p w14:paraId="291FDC7B" w14:textId="77777777" w:rsidR="00A93436" w:rsidRDefault="00A93436">
      <w:pPr>
        <w:spacing w:line="259" w:lineRule="auto"/>
        <w:rPr>
          <w:sz w:val="24"/>
        </w:rPr>
        <w:sectPr w:rsidR="00A93436">
          <w:pgSz w:w="11910" w:h="16840"/>
          <w:pgMar w:top="1340" w:right="740" w:bottom="1720" w:left="1280" w:header="715" w:footer="1526" w:gutter="0"/>
          <w:cols w:space="720"/>
        </w:sectPr>
      </w:pPr>
    </w:p>
    <w:p w14:paraId="465A2011" w14:textId="77777777" w:rsidR="00A93436" w:rsidRDefault="00A93436">
      <w:pPr>
        <w:pStyle w:val="BodyText"/>
        <w:spacing w:before="11"/>
        <w:rPr>
          <w:sz w:val="6"/>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042"/>
        <w:gridCol w:w="1031"/>
        <w:gridCol w:w="6722"/>
      </w:tblGrid>
      <w:tr w:rsidR="00A93436" w14:paraId="4177A39A" w14:textId="77777777">
        <w:trPr>
          <w:trHeight w:val="1053"/>
        </w:trPr>
        <w:tc>
          <w:tcPr>
            <w:tcW w:w="816" w:type="dxa"/>
          </w:tcPr>
          <w:p w14:paraId="0A8D0DA9" w14:textId="77777777" w:rsidR="00A93436" w:rsidRDefault="0051340A">
            <w:pPr>
              <w:pStyle w:val="TableParagraph"/>
              <w:rPr>
                <w:sz w:val="24"/>
              </w:rPr>
            </w:pPr>
            <w:r>
              <w:rPr>
                <w:sz w:val="24"/>
              </w:rPr>
              <w:t>7</w:t>
            </w:r>
          </w:p>
        </w:tc>
        <w:tc>
          <w:tcPr>
            <w:tcW w:w="1042" w:type="dxa"/>
          </w:tcPr>
          <w:p w14:paraId="6051CBEF" w14:textId="77777777" w:rsidR="00A93436" w:rsidRDefault="0051340A">
            <w:pPr>
              <w:pStyle w:val="TableParagraph"/>
              <w:rPr>
                <w:sz w:val="24"/>
              </w:rPr>
            </w:pPr>
            <w:r>
              <w:rPr>
                <w:sz w:val="24"/>
              </w:rPr>
              <w:t>B</w:t>
            </w:r>
          </w:p>
        </w:tc>
        <w:tc>
          <w:tcPr>
            <w:tcW w:w="1031" w:type="dxa"/>
          </w:tcPr>
          <w:p w14:paraId="3D096ADD" w14:textId="77777777" w:rsidR="00A93436" w:rsidRDefault="0051340A">
            <w:pPr>
              <w:pStyle w:val="TableParagraph"/>
              <w:rPr>
                <w:sz w:val="24"/>
              </w:rPr>
            </w:pPr>
            <w:r>
              <w:rPr>
                <w:sz w:val="24"/>
              </w:rPr>
              <w:t>9</w:t>
            </w:r>
          </w:p>
        </w:tc>
        <w:tc>
          <w:tcPr>
            <w:tcW w:w="6722" w:type="dxa"/>
          </w:tcPr>
          <w:p w14:paraId="2D556E5D" w14:textId="77777777" w:rsidR="00A93436" w:rsidRDefault="0051340A">
            <w:pPr>
              <w:pStyle w:val="TableParagraph"/>
              <w:spacing w:line="259" w:lineRule="auto"/>
              <w:ind w:left="106" w:right="122"/>
              <w:rPr>
                <w:sz w:val="24"/>
              </w:rPr>
            </w:pPr>
            <w:r>
              <w:rPr>
                <w:sz w:val="24"/>
              </w:rPr>
              <w:t>We note the importance that any financial and human resources are combined with and supported by strong, results-orientated frameworks.</w:t>
            </w:r>
          </w:p>
        </w:tc>
      </w:tr>
      <w:tr w:rsidR="00A93436" w14:paraId="1A06051B" w14:textId="77777777">
        <w:trPr>
          <w:trHeight w:val="3000"/>
        </w:trPr>
        <w:tc>
          <w:tcPr>
            <w:tcW w:w="816" w:type="dxa"/>
          </w:tcPr>
          <w:p w14:paraId="25CC1F2B" w14:textId="77777777" w:rsidR="00A93436" w:rsidRDefault="0051340A">
            <w:pPr>
              <w:pStyle w:val="TableParagraph"/>
              <w:rPr>
                <w:sz w:val="24"/>
              </w:rPr>
            </w:pPr>
            <w:r>
              <w:rPr>
                <w:sz w:val="24"/>
              </w:rPr>
              <w:t>7</w:t>
            </w:r>
          </w:p>
        </w:tc>
        <w:tc>
          <w:tcPr>
            <w:tcW w:w="1042" w:type="dxa"/>
          </w:tcPr>
          <w:p w14:paraId="22D46E65" w14:textId="77777777" w:rsidR="00A93436" w:rsidRDefault="0051340A">
            <w:pPr>
              <w:pStyle w:val="TableParagraph"/>
              <w:rPr>
                <w:sz w:val="24"/>
              </w:rPr>
            </w:pPr>
            <w:r>
              <w:rPr>
                <w:sz w:val="24"/>
              </w:rPr>
              <w:t>B</w:t>
            </w:r>
          </w:p>
        </w:tc>
        <w:tc>
          <w:tcPr>
            <w:tcW w:w="1031" w:type="dxa"/>
          </w:tcPr>
          <w:p w14:paraId="4A9BCDE4" w14:textId="77777777" w:rsidR="00A93436" w:rsidRDefault="0051340A">
            <w:pPr>
              <w:pStyle w:val="TableParagraph"/>
              <w:rPr>
                <w:sz w:val="24"/>
              </w:rPr>
            </w:pPr>
            <w:r>
              <w:rPr>
                <w:sz w:val="24"/>
              </w:rPr>
              <w:t>10</w:t>
            </w:r>
          </w:p>
        </w:tc>
        <w:tc>
          <w:tcPr>
            <w:tcW w:w="6722" w:type="dxa"/>
          </w:tcPr>
          <w:p w14:paraId="56367C51" w14:textId="77777777" w:rsidR="00A93436" w:rsidRDefault="0051340A">
            <w:pPr>
              <w:pStyle w:val="TableParagraph"/>
              <w:spacing w:line="259" w:lineRule="auto"/>
              <w:ind w:left="106" w:right="134"/>
              <w:rPr>
                <w:sz w:val="24"/>
              </w:rPr>
            </w:pPr>
            <w:r>
              <w:rPr>
                <w:sz w:val="24"/>
              </w:rPr>
              <w:t>It is unclear in this context what is meant by the term ‘gender perspective’. ‘Gender’ relates to social and cultural norms, and identity. It can be fluid, and not all people conform to traditional or stereotypical gender norms. Women and girls should be e</w:t>
            </w:r>
            <w:r>
              <w:rPr>
                <w:sz w:val="24"/>
              </w:rPr>
              <w:t>xplicitly mentioned in addition to any broader gender terminology.</w:t>
            </w:r>
          </w:p>
          <w:p w14:paraId="034C1D20" w14:textId="77777777" w:rsidR="00A93436" w:rsidRDefault="0051340A">
            <w:pPr>
              <w:pStyle w:val="TableParagraph"/>
              <w:spacing w:before="157" w:line="259" w:lineRule="auto"/>
              <w:ind w:left="106" w:right="280"/>
              <w:rPr>
                <w:sz w:val="24"/>
              </w:rPr>
            </w:pPr>
            <w:r>
              <w:rPr>
                <w:sz w:val="24"/>
              </w:rPr>
              <w:t xml:space="preserve">Language that encourages action and change could be considered here, for example, utilising similar language to that in the UNFCCC gender action plan. Language like </w:t>
            </w:r>
            <w:r>
              <w:rPr>
                <w:i/>
                <w:sz w:val="24"/>
              </w:rPr>
              <w:t>‘strengthen capacity bui</w:t>
            </w:r>
            <w:r>
              <w:rPr>
                <w:i/>
                <w:sz w:val="24"/>
              </w:rPr>
              <w:t xml:space="preserve">lding efforts’ </w:t>
            </w:r>
            <w:r>
              <w:rPr>
                <w:sz w:val="24"/>
              </w:rPr>
              <w:t xml:space="preserve">and </w:t>
            </w:r>
            <w:r>
              <w:rPr>
                <w:i/>
                <w:sz w:val="24"/>
              </w:rPr>
              <w:t>‘mainstreaming gender into all areas…’</w:t>
            </w:r>
            <w:r>
              <w:rPr>
                <w:sz w:val="24"/>
              </w:rPr>
              <w:t>.</w:t>
            </w:r>
          </w:p>
        </w:tc>
      </w:tr>
      <w:tr w:rsidR="00A93436" w14:paraId="422AF2A2" w14:textId="77777777">
        <w:trPr>
          <w:trHeight w:val="3002"/>
        </w:trPr>
        <w:tc>
          <w:tcPr>
            <w:tcW w:w="816" w:type="dxa"/>
          </w:tcPr>
          <w:p w14:paraId="73FEA44A" w14:textId="77777777" w:rsidR="00A93436" w:rsidRDefault="0051340A">
            <w:pPr>
              <w:pStyle w:val="TableParagraph"/>
              <w:spacing w:before="1" w:line="240" w:lineRule="auto"/>
              <w:rPr>
                <w:sz w:val="24"/>
              </w:rPr>
            </w:pPr>
            <w:r>
              <w:rPr>
                <w:sz w:val="24"/>
              </w:rPr>
              <w:t>7</w:t>
            </w:r>
          </w:p>
        </w:tc>
        <w:tc>
          <w:tcPr>
            <w:tcW w:w="1042" w:type="dxa"/>
          </w:tcPr>
          <w:p w14:paraId="0AF1A6AB" w14:textId="77777777" w:rsidR="00A93436" w:rsidRDefault="0051340A">
            <w:pPr>
              <w:pStyle w:val="TableParagraph"/>
              <w:spacing w:before="1" w:line="240" w:lineRule="auto"/>
              <w:rPr>
                <w:sz w:val="24"/>
              </w:rPr>
            </w:pPr>
            <w:r>
              <w:rPr>
                <w:sz w:val="24"/>
              </w:rPr>
              <w:t>B</w:t>
            </w:r>
          </w:p>
        </w:tc>
        <w:tc>
          <w:tcPr>
            <w:tcW w:w="1031" w:type="dxa"/>
          </w:tcPr>
          <w:p w14:paraId="7393A44B" w14:textId="77777777" w:rsidR="00A93436" w:rsidRDefault="0051340A">
            <w:pPr>
              <w:pStyle w:val="TableParagraph"/>
              <w:spacing w:before="1" w:line="240" w:lineRule="auto"/>
              <w:rPr>
                <w:sz w:val="24"/>
              </w:rPr>
            </w:pPr>
            <w:r>
              <w:rPr>
                <w:sz w:val="24"/>
              </w:rPr>
              <w:t>11</w:t>
            </w:r>
          </w:p>
        </w:tc>
        <w:tc>
          <w:tcPr>
            <w:tcW w:w="6722" w:type="dxa"/>
          </w:tcPr>
          <w:p w14:paraId="0212B79A" w14:textId="77777777" w:rsidR="00A93436" w:rsidRDefault="0051340A">
            <w:pPr>
              <w:pStyle w:val="TableParagraph"/>
              <w:spacing w:before="1" w:line="259" w:lineRule="auto"/>
              <w:ind w:left="106" w:right="154"/>
              <w:rPr>
                <w:sz w:val="24"/>
              </w:rPr>
            </w:pPr>
            <w:r>
              <w:rPr>
                <w:sz w:val="24"/>
              </w:rPr>
              <w:t>The collection and appropriate use of sex-disaggregated data is critical in addressing gender equality and improving understanding of the role of women and girls in relation to conserving and protecting biodiversity, but also the different impacts associat</w:t>
            </w:r>
            <w:r>
              <w:rPr>
                <w:sz w:val="24"/>
              </w:rPr>
              <w:t>ed with biodiversity loss. Capacity building for data collection and statistics, including sex-disaggregated data, is also important.</w:t>
            </w:r>
          </w:p>
          <w:p w14:paraId="231A4738" w14:textId="77777777" w:rsidR="00A93436" w:rsidRDefault="0051340A">
            <w:pPr>
              <w:pStyle w:val="TableParagraph"/>
              <w:spacing w:before="158" w:line="259" w:lineRule="auto"/>
              <w:ind w:left="106" w:right="214"/>
              <w:rPr>
                <w:sz w:val="24"/>
              </w:rPr>
            </w:pPr>
            <w:r>
              <w:rPr>
                <w:sz w:val="24"/>
              </w:rPr>
              <w:t>As the GBF develops, there is a need to ensure strong alignment between this plan and any proposed indicators regarding th</w:t>
            </w:r>
            <w:r>
              <w:rPr>
                <w:sz w:val="24"/>
              </w:rPr>
              <w:t>e collection of sex-disaggregated data in support of implementation.</w:t>
            </w:r>
          </w:p>
        </w:tc>
      </w:tr>
      <w:tr w:rsidR="00A93436" w14:paraId="1BC46162" w14:textId="77777777">
        <w:trPr>
          <w:trHeight w:val="3917"/>
        </w:trPr>
        <w:tc>
          <w:tcPr>
            <w:tcW w:w="816" w:type="dxa"/>
          </w:tcPr>
          <w:p w14:paraId="04AAFFAE" w14:textId="77777777" w:rsidR="00A93436" w:rsidRDefault="0051340A">
            <w:pPr>
              <w:pStyle w:val="TableParagraph"/>
              <w:rPr>
                <w:sz w:val="24"/>
              </w:rPr>
            </w:pPr>
            <w:r>
              <w:rPr>
                <w:sz w:val="24"/>
              </w:rPr>
              <w:t>8</w:t>
            </w:r>
          </w:p>
        </w:tc>
        <w:tc>
          <w:tcPr>
            <w:tcW w:w="1042" w:type="dxa"/>
          </w:tcPr>
          <w:p w14:paraId="2F1F6CFC" w14:textId="77777777" w:rsidR="00A93436" w:rsidRDefault="0051340A">
            <w:pPr>
              <w:pStyle w:val="TableParagraph"/>
              <w:rPr>
                <w:sz w:val="24"/>
              </w:rPr>
            </w:pPr>
            <w:r>
              <w:rPr>
                <w:sz w:val="24"/>
              </w:rPr>
              <w:t>B</w:t>
            </w:r>
          </w:p>
        </w:tc>
        <w:tc>
          <w:tcPr>
            <w:tcW w:w="1031" w:type="dxa"/>
          </w:tcPr>
          <w:p w14:paraId="63A4D0EB" w14:textId="77777777" w:rsidR="00A93436" w:rsidRDefault="0051340A">
            <w:pPr>
              <w:pStyle w:val="TableParagraph"/>
              <w:rPr>
                <w:sz w:val="24"/>
              </w:rPr>
            </w:pPr>
            <w:r>
              <w:rPr>
                <w:sz w:val="24"/>
              </w:rPr>
              <w:t>12</w:t>
            </w:r>
          </w:p>
        </w:tc>
        <w:tc>
          <w:tcPr>
            <w:tcW w:w="6722" w:type="dxa"/>
          </w:tcPr>
          <w:p w14:paraId="44EFAB40" w14:textId="77777777" w:rsidR="00A93436" w:rsidRDefault="0051340A">
            <w:pPr>
              <w:pStyle w:val="TableParagraph"/>
              <w:spacing w:line="259" w:lineRule="auto"/>
              <w:ind w:left="106" w:right="177"/>
              <w:jc w:val="both"/>
              <w:rPr>
                <w:sz w:val="24"/>
              </w:rPr>
            </w:pPr>
            <w:r>
              <w:rPr>
                <w:sz w:val="24"/>
              </w:rPr>
              <w:t>Noting this objective is broad and encompasses both differentiated impacts on biodiversity loss as well as the role of women as agents of change, there may be potential to split this objective into two.</w:t>
            </w:r>
          </w:p>
          <w:p w14:paraId="398994F6" w14:textId="77777777" w:rsidR="00A93436" w:rsidRDefault="0051340A">
            <w:pPr>
              <w:pStyle w:val="TableParagraph"/>
              <w:spacing w:before="158" w:line="240" w:lineRule="auto"/>
              <w:ind w:left="106"/>
              <w:jc w:val="both"/>
              <w:rPr>
                <w:sz w:val="24"/>
              </w:rPr>
            </w:pPr>
            <w:r>
              <w:rPr>
                <w:sz w:val="24"/>
              </w:rPr>
              <w:t>For consideration, please see the following text:</w:t>
            </w:r>
          </w:p>
          <w:p w14:paraId="6E246B9E" w14:textId="77777777" w:rsidR="00A93436" w:rsidRDefault="0051340A">
            <w:pPr>
              <w:pStyle w:val="TableParagraph"/>
              <w:spacing w:before="182" w:line="259" w:lineRule="auto"/>
              <w:ind w:left="826" w:right="433"/>
              <w:rPr>
                <w:i/>
                <w:sz w:val="24"/>
              </w:rPr>
            </w:pPr>
            <w:r>
              <w:rPr>
                <w:i/>
                <w:sz w:val="24"/>
              </w:rPr>
              <w:t>Str</w:t>
            </w:r>
            <w:r>
              <w:rPr>
                <w:i/>
                <w:sz w:val="24"/>
              </w:rPr>
              <w:t>engthened evidence base and understanding of the differentiated impacts of biodiversity loss on women and men.</w:t>
            </w:r>
          </w:p>
          <w:p w14:paraId="06418CD4" w14:textId="77777777" w:rsidR="00A93436" w:rsidRDefault="0051340A">
            <w:pPr>
              <w:pStyle w:val="TableParagraph"/>
              <w:spacing w:before="161" w:line="259" w:lineRule="auto"/>
              <w:ind w:left="826" w:right="273"/>
              <w:rPr>
                <w:i/>
                <w:sz w:val="24"/>
              </w:rPr>
            </w:pPr>
            <w:r>
              <w:rPr>
                <w:i/>
                <w:sz w:val="24"/>
              </w:rPr>
              <w:t xml:space="preserve">Strengthened recognition and understanding of the role of </w:t>
            </w:r>
            <w:r>
              <w:rPr>
                <w:i/>
                <w:sz w:val="24"/>
              </w:rPr>
              <w:t>women as agents of change in the conservation and sustainable use of biodiversity, and access and benefit sharing.</w:t>
            </w:r>
          </w:p>
        </w:tc>
      </w:tr>
      <w:tr w:rsidR="00A93436" w14:paraId="660CC31D" w14:textId="77777777">
        <w:trPr>
          <w:trHeight w:val="2107"/>
        </w:trPr>
        <w:tc>
          <w:tcPr>
            <w:tcW w:w="816" w:type="dxa"/>
          </w:tcPr>
          <w:p w14:paraId="57D8A133" w14:textId="77777777" w:rsidR="00A93436" w:rsidRDefault="0051340A">
            <w:pPr>
              <w:pStyle w:val="TableParagraph"/>
              <w:rPr>
                <w:sz w:val="24"/>
              </w:rPr>
            </w:pPr>
            <w:r>
              <w:rPr>
                <w:sz w:val="24"/>
              </w:rPr>
              <w:t>8</w:t>
            </w:r>
          </w:p>
        </w:tc>
        <w:tc>
          <w:tcPr>
            <w:tcW w:w="1042" w:type="dxa"/>
          </w:tcPr>
          <w:p w14:paraId="2CAD0F00" w14:textId="77777777" w:rsidR="00A93436" w:rsidRDefault="0051340A">
            <w:pPr>
              <w:pStyle w:val="TableParagraph"/>
              <w:rPr>
                <w:sz w:val="24"/>
              </w:rPr>
            </w:pPr>
            <w:r>
              <w:rPr>
                <w:sz w:val="24"/>
              </w:rPr>
              <w:t>B</w:t>
            </w:r>
          </w:p>
        </w:tc>
        <w:tc>
          <w:tcPr>
            <w:tcW w:w="1031" w:type="dxa"/>
          </w:tcPr>
          <w:p w14:paraId="062534F1" w14:textId="77777777" w:rsidR="00A93436" w:rsidRDefault="0051340A">
            <w:pPr>
              <w:pStyle w:val="TableParagraph"/>
              <w:rPr>
                <w:sz w:val="24"/>
              </w:rPr>
            </w:pPr>
            <w:r>
              <w:rPr>
                <w:sz w:val="24"/>
              </w:rPr>
              <w:t>13</w:t>
            </w:r>
          </w:p>
        </w:tc>
        <w:tc>
          <w:tcPr>
            <w:tcW w:w="6722" w:type="dxa"/>
          </w:tcPr>
          <w:p w14:paraId="5C6CAF08" w14:textId="77777777" w:rsidR="00A93436" w:rsidRDefault="0051340A">
            <w:pPr>
              <w:pStyle w:val="TableParagraph"/>
              <w:spacing w:line="259" w:lineRule="auto"/>
              <w:ind w:left="106" w:right="360"/>
              <w:rPr>
                <w:sz w:val="24"/>
              </w:rPr>
            </w:pPr>
            <w:r>
              <w:rPr>
                <w:sz w:val="24"/>
              </w:rPr>
              <w:t>There may be benefit in aligning this objective with the UNCCD text to appropriately reflect different national circumstances.</w:t>
            </w:r>
          </w:p>
          <w:p w14:paraId="5083A98F" w14:textId="77777777" w:rsidR="00A93436" w:rsidRDefault="0051340A">
            <w:pPr>
              <w:pStyle w:val="TableParagraph"/>
              <w:spacing w:before="159" w:line="259" w:lineRule="auto"/>
              <w:ind w:left="106" w:right="646"/>
              <w:rPr>
                <w:sz w:val="24"/>
              </w:rPr>
            </w:pPr>
            <w:r>
              <w:rPr>
                <w:sz w:val="24"/>
              </w:rPr>
              <w:t>Consid</w:t>
            </w:r>
            <w:r>
              <w:rPr>
                <w:sz w:val="24"/>
              </w:rPr>
              <w:t xml:space="preserve">eration could also be given to replacing </w:t>
            </w:r>
            <w:r>
              <w:rPr>
                <w:i/>
                <w:sz w:val="24"/>
              </w:rPr>
              <w:t>‘vulnerable population groups</w:t>
            </w:r>
            <w:r>
              <w:rPr>
                <w:sz w:val="24"/>
              </w:rPr>
              <w:t xml:space="preserve">’ with wording such as </w:t>
            </w:r>
            <w:r>
              <w:rPr>
                <w:i/>
                <w:sz w:val="24"/>
              </w:rPr>
              <w:t xml:space="preserve">‘people who may be vulnerable, including women and girls’ </w:t>
            </w:r>
            <w:r>
              <w:rPr>
                <w:sz w:val="24"/>
              </w:rPr>
              <w:t>given events and circumstances can make them vulnerable.</w:t>
            </w:r>
          </w:p>
        </w:tc>
      </w:tr>
    </w:tbl>
    <w:p w14:paraId="12A62C85" w14:textId="77777777" w:rsidR="00A93436" w:rsidRDefault="00A93436">
      <w:pPr>
        <w:spacing w:line="259" w:lineRule="auto"/>
        <w:rPr>
          <w:sz w:val="24"/>
        </w:rPr>
        <w:sectPr w:rsidR="00A93436">
          <w:pgSz w:w="11910" w:h="16840"/>
          <w:pgMar w:top="1340" w:right="740" w:bottom="1720" w:left="1280" w:header="715" w:footer="1526" w:gutter="0"/>
          <w:cols w:space="720"/>
        </w:sectPr>
      </w:pPr>
    </w:p>
    <w:p w14:paraId="0C069CE6" w14:textId="77777777" w:rsidR="00A93436" w:rsidRDefault="00A93436">
      <w:pPr>
        <w:pStyle w:val="BodyText"/>
        <w:spacing w:before="11"/>
        <w:rPr>
          <w:sz w:val="6"/>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042"/>
        <w:gridCol w:w="1031"/>
        <w:gridCol w:w="6722"/>
      </w:tblGrid>
      <w:tr w:rsidR="00A93436" w14:paraId="3577AF7F" w14:textId="77777777">
        <w:trPr>
          <w:trHeight w:val="2702"/>
        </w:trPr>
        <w:tc>
          <w:tcPr>
            <w:tcW w:w="816" w:type="dxa"/>
          </w:tcPr>
          <w:p w14:paraId="74BDC7F8" w14:textId="77777777" w:rsidR="00A93436" w:rsidRDefault="0051340A">
            <w:pPr>
              <w:pStyle w:val="TableParagraph"/>
              <w:rPr>
                <w:sz w:val="24"/>
              </w:rPr>
            </w:pPr>
            <w:r>
              <w:rPr>
                <w:sz w:val="24"/>
              </w:rPr>
              <w:t>9</w:t>
            </w:r>
          </w:p>
        </w:tc>
        <w:tc>
          <w:tcPr>
            <w:tcW w:w="1042" w:type="dxa"/>
          </w:tcPr>
          <w:p w14:paraId="2FAD5993" w14:textId="77777777" w:rsidR="00A93436" w:rsidRDefault="0051340A">
            <w:pPr>
              <w:pStyle w:val="TableParagraph"/>
              <w:rPr>
                <w:sz w:val="24"/>
              </w:rPr>
            </w:pPr>
            <w:r>
              <w:rPr>
                <w:sz w:val="24"/>
              </w:rPr>
              <w:t>B</w:t>
            </w:r>
          </w:p>
        </w:tc>
        <w:tc>
          <w:tcPr>
            <w:tcW w:w="1031" w:type="dxa"/>
          </w:tcPr>
          <w:p w14:paraId="28522635" w14:textId="77777777" w:rsidR="00A93436" w:rsidRDefault="0051340A">
            <w:pPr>
              <w:pStyle w:val="TableParagraph"/>
              <w:rPr>
                <w:sz w:val="24"/>
              </w:rPr>
            </w:pPr>
            <w:r>
              <w:rPr>
                <w:sz w:val="24"/>
              </w:rPr>
              <w:t>15</w:t>
            </w:r>
          </w:p>
        </w:tc>
        <w:tc>
          <w:tcPr>
            <w:tcW w:w="6722" w:type="dxa"/>
          </w:tcPr>
          <w:p w14:paraId="729095DE" w14:textId="77777777" w:rsidR="00A93436" w:rsidRDefault="0051340A">
            <w:pPr>
              <w:pStyle w:val="TableParagraph"/>
              <w:spacing w:line="259" w:lineRule="auto"/>
              <w:ind w:left="106" w:right="134"/>
              <w:rPr>
                <w:sz w:val="24"/>
              </w:rPr>
            </w:pPr>
            <w:r>
              <w:rPr>
                <w:sz w:val="24"/>
              </w:rPr>
              <w:t>It is unclear in this context what is meant by the term ‘gender perspective’. ‘Gender’ relates to social and cultural norms, and identity. It can be fluid, and not all people conform to traditional or stereotypical gender norms. Women and girls should be e</w:t>
            </w:r>
            <w:r>
              <w:rPr>
                <w:sz w:val="24"/>
              </w:rPr>
              <w:t>xplicitly mentioned in addition to any broader gender terminology.</w:t>
            </w:r>
          </w:p>
          <w:p w14:paraId="2FD264F4" w14:textId="77777777" w:rsidR="00A93436" w:rsidRDefault="0051340A">
            <w:pPr>
              <w:pStyle w:val="TableParagraph"/>
              <w:spacing w:before="158" w:line="259" w:lineRule="auto"/>
              <w:ind w:left="106" w:right="335"/>
              <w:rPr>
                <w:sz w:val="24"/>
              </w:rPr>
            </w:pPr>
            <w:r>
              <w:rPr>
                <w:sz w:val="24"/>
              </w:rPr>
              <w:t>It may also be useful to clarify what review processes are being referred to here and link it back to biodiversity-related processes, noting that is the CBD’s remit.</w:t>
            </w:r>
          </w:p>
        </w:tc>
      </w:tr>
      <w:tr w:rsidR="00A93436" w14:paraId="00F9735F" w14:textId="77777777">
        <w:trPr>
          <w:trHeight w:val="2705"/>
        </w:trPr>
        <w:tc>
          <w:tcPr>
            <w:tcW w:w="816" w:type="dxa"/>
          </w:tcPr>
          <w:p w14:paraId="4B946038" w14:textId="77777777" w:rsidR="00A93436" w:rsidRDefault="0051340A">
            <w:pPr>
              <w:pStyle w:val="TableParagraph"/>
              <w:rPr>
                <w:sz w:val="24"/>
              </w:rPr>
            </w:pPr>
            <w:r>
              <w:rPr>
                <w:sz w:val="24"/>
              </w:rPr>
              <w:t>9</w:t>
            </w:r>
          </w:p>
        </w:tc>
        <w:tc>
          <w:tcPr>
            <w:tcW w:w="1042" w:type="dxa"/>
          </w:tcPr>
          <w:p w14:paraId="163C3051" w14:textId="77777777" w:rsidR="00A93436" w:rsidRDefault="0051340A">
            <w:pPr>
              <w:pStyle w:val="TableParagraph"/>
              <w:rPr>
                <w:sz w:val="24"/>
              </w:rPr>
            </w:pPr>
            <w:r>
              <w:rPr>
                <w:sz w:val="24"/>
              </w:rPr>
              <w:t>B</w:t>
            </w:r>
          </w:p>
        </w:tc>
        <w:tc>
          <w:tcPr>
            <w:tcW w:w="1031" w:type="dxa"/>
          </w:tcPr>
          <w:p w14:paraId="1E166374" w14:textId="77777777" w:rsidR="00A93436" w:rsidRDefault="0051340A">
            <w:pPr>
              <w:pStyle w:val="TableParagraph"/>
              <w:rPr>
                <w:sz w:val="24"/>
              </w:rPr>
            </w:pPr>
            <w:r>
              <w:rPr>
                <w:sz w:val="24"/>
              </w:rPr>
              <w:t>16</w:t>
            </w:r>
          </w:p>
        </w:tc>
        <w:tc>
          <w:tcPr>
            <w:tcW w:w="6722" w:type="dxa"/>
          </w:tcPr>
          <w:p w14:paraId="5BF20C51" w14:textId="77777777" w:rsidR="00A93436" w:rsidRDefault="0051340A">
            <w:pPr>
              <w:pStyle w:val="TableParagraph"/>
              <w:spacing w:line="261" w:lineRule="auto"/>
              <w:ind w:left="106" w:right="267"/>
              <w:rPr>
                <w:sz w:val="24"/>
              </w:rPr>
            </w:pPr>
            <w:r>
              <w:rPr>
                <w:sz w:val="24"/>
              </w:rPr>
              <w:t>This objective could be improved by providing more guidance as to what ‘gender-responsive national reports’ could look like.</w:t>
            </w:r>
          </w:p>
          <w:p w14:paraId="6FCF5B96" w14:textId="77777777" w:rsidR="00A93436" w:rsidRDefault="0051340A">
            <w:pPr>
              <w:pStyle w:val="TableParagraph"/>
              <w:spacing w:before="154" w:line="259" w:lineRule="auto"/>
              <w:ind w:left="106" w:right="233"/>
              <w:rPr>
                <w:i/>
                <w:sz w:val="24"/>
              </w:rPr>
            </w:pPr>
            <w:r>
              <w:rPr>
                <w:sz w:val="24"/>
              </w:rPr>
              <w:t xml:space="preserve">This objective could also be made clearer through text along the lines of the following i.e. </w:t>
            </w:r>
            <w:r>
              <w:rPr>
                <w:i/>
                <w:sz w:val="24"/>
              </w:rPr>
              <w:t>“national reports under the CBD consid</w:t>
            </w:r>
            <w:r>
              <w:rPr>
                <w:i/>
                <w:sz w:val="24"/>
              </w:rPr>
              <w:t xml:space="preserve">er gender impacts, particularly those on women and girls, where possible…” </w:t>
            </w:r>
            <w:r>
              <w:rPr>
                <w:sz w:val="24"/>
              </w:rPr>
              <w:t>or “</w:t>
            </w:r>
            <w:r>
              <w:rPr>
                <w:i/>
                <w:sz w:val="24"/>
              </w:rPr>
              <w:t>efforts to ensure national reports under the CBD can specifically address gender, specifically women and girls, are enhanced”.</w:t>
            </w:r>
          </w:p>
        </w:tc>
      </w:tr>
      <w:tr w:rsidR="00A93436" w14:paraId="63B2EEBB" w14:textId="77777777">
        <w:trPr>
          <w:trHeight w:val="2404"/>
        </w:trPr>
        <w:tc>
          <w:tcPr>
            <w:tcW w:w="816" w:type="dxa"/>
          </w:tcPr>
          <w:p w14:paraId="7CCBA9F2" w14:textId="77777777" w:rsidR="00A93436" w:rsidRDefault="0051340A">
            <w:pPr>
              <w:pStyle w:val="TableParagraph"/>
              <w:rPr>
                <w:sz w:val="24"/>
              </w:rPr>
            </w:pPr>
            <w:r>
              <w:rPr>
                <w:sz w:val="24"/>
              </w:rPr>
              <w:t>9</w:t>
            </w:r>
          </w:p>
        </w:tc>
        <w:tc>
          <w:tcPr>
            <w:tcW w:w="1042" w:type="dxa"/>
          </w:tcPr>
          <w:p w14:paraId="2C43B016" w14:textId="77777777" w:rsidR="00A93436" w:rsidRDefault="0051340A">
            <w:pPr>
              <w:pStyle w:val="TableParagraph"/>
              <w:rPr>
                <w:sz w:val="24"/>
              </w:rPr>
            </w:pPr>
            <w:r>
              <w:rPr>
                <w:sz w:val="24"/>
              </w:rPr>
              <w:t>B</w:t>
            </w:r>
          </w:p>
        </w:tc>
        <w:tc>
          <w:tcPr>
            <w:tcW w:w="1031" w:type="dxa"/>
          </w:tcPr>
          <w:p w14:paraId="3BC71515" w14:textId="77777777" w:rsidR="00A93436" w:rsidRDefault="0051340A">
            <w:pPr>
              <w:pStyle w:val="TableParagraph"/>
              <w:rPr>
                <w:sz w:val="24"/>
              </w:rPr>
            </w:pPr>
            <w:r>
              <w:rPr>
                <w:sz w:val="24"/>
              </w:rPr>
              <w:t>17</w:t>
            </w:r>
          </w:p>
        </w:tc>
        <w:tc>
          <w:tcPr>
            <w:tcW w:w="6722" w:type="dxa"/>
          </w:tcPr>
          <w:p w14:paraId="5F809F58" w14:textId="77777777" w:rsidR="00A93436" w:rsidRDefault="0051340A">
            <w:pPr>
              <w:pStyle w:val="TableParagraph"/>
              <w:spacing w:line="259" w:lineRule="auto"/>
              <w:ind w:left="106" w:right="701"/>
              <w:rPr>
                <w:sz w:val="24"/>
              </w:rPr>
            </w:pPr>
            <w:r>
              <w:rPr>
                <w:sz w:val="24"/>
              </w:rPr>
              <w:t>We note that this objective appears to place responsibility for awareness raising activities on women’s groups and gender constituencies. We suggest rephrasing this objective so the responsibility for such activities are shared.</w:t>
            </w:r>
          </w:p>
          <w:p w14:paraId="646DCF34" w14:textId="77777777" w:rsidR="00A93436" w:rsidRDefault="0051340A">
            <w:pPr>
              <w:pStyle w:val="TableParagraph"/>
              <w:spacing w:before="158" w:line="259" w:lineRule="auto"/>
              <w:ind w:left="106" w:right="268"/>
              <w:rPr>
                <w:sz w:val="24"/>
              </w:rPr>
            </w:pPr>
            <w:r>
              <w:rPr>
                <w:sz w:val="24"/>
              </w:rPr>
              <w:t>We also suggest including w</w:t>
            </w:r>
            <w:r>
              <w:rPr>
                <w:sz w:val="24"/>
              </w:rPr>
              <w:t>omen as the direct recipients (those being communicated to) of outreach, awareness and uptake as per UNFCCC Action Plan.</w:t>
            </w:r>
          </w:p>
        </w:tc>
      </w:tr>
    </w:tbl>
    <w:p w14:paraId="627D6AE7" w14:textId="77777777" w:rsidR="00000000" w:rsidRDefault="0051340A"/>
    <w:sectPr w:rsidR="00000000">
      <w:pgSz w:w="11910" w:h="16840"/>
      <w:pgMar w:top="1340" w:right="740" w:bottom="1720" w:left="1280" w:header="715" w:footer="15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72038" w14:textId="77777777" w:rsidR="00000000" w:rsidRDefault="0051340A">
      <w:r>
        <w:separator/>
      </w:r>
    </w:p>
  </w:endnote>
  <w:endnote w:type="continuationSeparator" w:id="0">
    <w:p w14:paraId="7F4E5633" w14:textId="77777777" w:rsidR="00000000" w:rsidRDefault="0051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4382B" w14:textId="3FEF3E0A" w:rsidR="00A93436" w:rsidRDefault="0051340A">
    <w:pPr>
      <w:pStyle w:val="BodyText"/>
      <w:spacing w:line="14" w:lineRule="auto"/>
      <w:rPr>
        <w:sz w:val="20"/>
      </w:rPr>
    </w:pPr>
    <w:r>
      <w:rPr>
        <w:noProof/>
      </w:rPr>
      <mc:AlternateContent>
        <mc:Choice Requires="wps">
          <w:drawing>
            <wp:anchor distT="0" distB="0" distL="114300" distR="114300" simplePos="0" relativeHeight="487378432" behindDoc="1" locked="0" layoutInCell="1" allowOverlap="1" wp14:anchorId="4973CE53" wp14:editId="1C0D291F">
              <wp:simplePos x="0" y="0"/>
              <wp:positionH relativeFrom="page">
                <wp:posOffset>5027930</wp:posOffset>
              </wp:positionH>
              <wp:positionV relativeFrom="page">
                <wp:posOffset>9584055</wp:posOffset>
              </wp:positionV>
              <wp:extent cx="1633855" cy="5022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85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C1CD3" w14:textId="77777777" w:rsidR="00A93436" w:rsidRDefault="0051340A">
                          <w:pPr>
                            <w:spacing w:before="11" w:line="252" w:lineRule="exact"/>
                            <w:ind w:right="20"/>
                            <w:jc w:val="right"/>
                            <w:rPr>
                              <w:b/>
                            </w:rPr>
                          </w:pPr>
                          <w:r>
                            <w:rPr>
                              <w:b/>
                            </w:rPr>
                            <w:t>CBD Notification</w:t>
                          </w:r>
                          <w:r>
                            <w:rPr>
                              <w:b/>
                              <w:spacing w:val="-9"/>
                            </w:rPr>
                            <w:t xml:space="preserve"> </w:t>
                          </w:r>
                          <w:r>
                            <w:rPr>
                              <w:b/>
                            </w:rPr>
                            <w:t>2020-055</w:t>
                          </w:r>
                        </w:p>
                        <w:p w14:paraId="18AA9EA6" w14:textId="77777777" w:rsidR="00A93436" w:rsidRDefault="0051340A">
                          <w:pPr>
                            <w:spacing w:line="252" w:lineRule="exact"/>
                            <w:ind w:right="21"/>
                            <w:jc w:val="right"/>
                          </w:pPr>
                          <w:r>
                            <w:t>Australian</w:t>
                          </w:r>
                          <w:r>
                            <w:rPr>
                              <w:spacing w:val="-6"/>
                            </w:rPr>
                            <w:t xml:space="preserve"> </w:t>
                          </w:r>
                          <w:r>
                            <w:t>Submission</w:t>
                          </w:r>
                        </w:p>
                        <w:p w14:paraId="64951188" w14:textId="77777777" w:rsidR="00A93436" w:rsidRDefault="0051340A">
                          <w:pPr>
                            <w:spacing w:before="1"/>
                            <w:ind w:right="18"/>
                            <w:jc w:val="right"/>
                            <w:rPr>
                              <w:b/>
                            </w:rPr>
                          </w:pPr>
                          <w:r>
                            <w:t xml:space="preserve">Page </w:t>
                          </w:r>
                          <w:r>
                            <w:fldChar w:fldCharType="begin"/>
                          </w:r>
                          <w:r>
                            <w:rPr>
                              <w:b/>
                            </w:rPr>
                            <w:instrText xml:space="preserve"> PAGE </w:instrText>
                          </w:r>
                          <w:r>
                            <w:fldChar w:fldCharType="separate"/>
                          </w:r>
                          <w:r>
                            <w:t>1</w:t>
                          </w:r>
                          <w:r>
                            <w:fldChar w:fldCharType="end"/>
                          </w:r>
                          <w:r>
                            <w:rPr>
                              <w:b/>
                            </w:rPr>
                            <w:t xml:space="preserve"> </w:t>
                          </w:r>
                          <w:r>
                            <w:t>of</w:t>
                          </w:r>
                          <w:r>
                            <w:rPr>
                              <w:spacing w:val="1"/>
                            </w:rPr>
                            <w:t xml:space="preserve"> </w:t>
                          </w:r>
                          <w:r>
                            <w:rPr>
                              <w:b/>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3CE53" id="_x0000_t202" coordsize="21600,21600" o:spt="202" path="m,l,21600r21600,l21600,xe">
              <v:stroke joinstyle="miter"/>
              <v:path gradientshapeok="t" o:connecttype="rect"/>
            </v:shapetype>
            <v:shape id="Text Box 1" o:spid="_x0000_s1030" type="#_x0000_t202" style="position:absolute;margin-left:395.9pt;margin-top:754.65pt;width:128.65pt;height:39.55pt;z-index:-1593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" filled="f" stroked="f">
              <v:textbox inset="0,0,0,0">
                <w:txbxContent>
                  <w:p w14:paraId="31BC1CD3" w14:textId="77777777" w:rsidR="00A93436" w:rsidRDefault="0051340A">
                    <w:pPr>
                      <w:spacing w:before="11" w:line="252" w:lineRule="exact"/>
                      <w:ind w:right="20"/>
                      <w:jc w:val="right"/>
                      <w:rPr>
                        <w:b/>
                      </w:rPr>
                    </w:pPr>
                    <w:r>
                      <w:rPr>
                        <w:b/>
                      </w:rPr>
                      <w:t>CBD Notification</w:t>
                    </w:r>
                    <w:r>
                      <w:rPr>
                        <w:b/>
                        <w:spacing w:val="-9"/>
                      </w:rPr>
                      <w:t xml:space="preserve"> </w:t>
                    </w:r>
                    <w:r>
                      <w:rPr>
                        <w:b/>
                      </w:rPr>
                      <w:t>2020-055</w:t>
                    </w:r>
                  </w:p>
                  <w:p w14:paraId="18AA9EA6" w14:textId="77777777" w:rsidR="00A93436" w:rsidRDefault="0051340A">
                    <w:pPr>
                      <w:spacing w:line="252" w:lineRule="exact"/>
                      <w:ind w:right="21"/>
                      <w:jc w:val="right"/>
                    </w:pPr>
                    <w:r>
                      <w:t>Australian</w:t>
                    </w:r>
                    <w:r>
                      <w:rPr>
                        <w:spacing w:val="-6"/>
                      </w:rPr>
                      <w:t xml:space="preserve"> </w:t>
                    </w:r>
                    <w:r>
                      <w:t>Submission</w:t>
                    </w:r>
                  </w:p>
                  <w:p w14:paraId="64951188" w14:textId="77777777" w:rsidR="00A93436" w:rsidRDefault="0051340A">
                    <w:pPr>
                      <w:spacing w:before="1"/>
                      <w:ind w:right="18"/>
                      <w:jc w:val="right"/>
                      <w:rPr>
                        <w:b/>
                      </w:rPr>
                    </w:pPr>
                    <w:r>
                      <w:t xml:space="preserve">Page </w:t>
                    </w:r>
                    <w:r>
                      <w:fldChar w:fldCharType="begin"/>
                    </w:r>
                    <w:r>
                      <w:rPr>
                        <w:b/>
                      </w:rPr>
                      <w:instrText xml:space="preserve"> PAGE </w:instrText>
                    </w:r>
                    <w:r>
                      <w:fldChar w:fldCharType="separate"/>
                    </w:r>
                    <w:r>
                      <w:t>1</w:t>
                    </w:r>
                    <w:r>
                      <w:fldChar w:fldCharType="end"/>
                    </w:r>
                    <w:r>
                      <w:rPr>
                        <w:b/>
                      </w:rPr>
                      <w:t xml:space="preserve"> </w:t>
                    </w:r>
                    <w:r>
                      <w:t>of</w:t>
                    </w:r>
                    <w:r>
                      <w:rPr>
                        <w:spacing w:val="1"/>
                      </w:rPr>
                      <w:t xml:space="preserve"> </w:t>
                    </w:r>
                    <w:r>
                      <w:rPr>
                        <w:b/>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4E24B" w14:textId="77777777" w:rsidR="00000000" w:rsidRDefault="0051340A">
      <w:r>
        <w:separator/>
      </w:r>
    </w:p>
  </w:footnote>
  <w:footnote w:type="continuationSeparator" w:id="0">
    <w:p w14:paraId="7C82140C" w14:textId="77777777" w:rsidR="00000000" w:rsidRDefault="00513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4AE55" w14:textId="543DF49A" w:rsidR="00A93436" w:rsidRDefault="0051340A">
    <w:pPr>
      <w:pStyle w:val="BodyText"/>
      <w:spacing w:line="14" w:lineRule="auto"/>
      <w:rPr>
        <w:sz w:val="20"/>
      </w:rPr>
    </w:pPr>
    <w:r>
      <w:rPr>
        <w:noProof/>
      </w:rPr>
      <mc:AlternateContent>
        <mc:Choice Requires="wps">
          <w:drawing>
            <wp:anchor distT="0" distB="0" distL="114300" distR="114300" simplePos="0" relativeHeight="487377920" behindDoc="1" locked="0" layoutInCell="1" allowOverlap="1" wp14:anchorId="279CE7C2" wp14:editId="7D201E79">
              <wp:simplePos x="0" y="0"/>
              <wp:positionH relativeFrom="page">
                <wp:posOffset>2181860</wp:posOffset>
              </wp:positionH>
              <wp:positionV relativeFrom="page">
                <wp:posOffset>441325</wp:posOffset>
              </wp:positionV>
              <wp:extent cx="3197860" cy="1809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86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69A6B" w14:textId="77777777" w:rsidR="00A93436" w:rsidRDefault="0051340A">
                          <w:pPr>
                            <w:spacing w:before="11"/>
                            <w:ind w:left="20"/>
                            <w:rPr>
                              <w:b/>
                            </w:rPr>
                          </w:pPr>
                          <w:r>
                            <w:rPr>
                              <w:b/>
                            </w:rPr>
                            <w:t>Australia’s Submission to CBD Notification 2020-055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CE7C2" id="_x0000_t202" coordsize="21600,21600" o:spt="202" path="m,l,21600r21600,l21600,xe">
              <v:stroke joinstyle="miter"/>
              <v:path gradientshapeok="t" o:connecttype="rect"/>
            </v:shapetype>
            <v:shape id="Text Box 2" o:spid="_x0000_s1029" type="#_x0000_t202" style="position:absolute;margin-left:171.8pt;margin-top:34.75pt;width:251.8pt;height:14.25pt;z-index:-1593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" filled="f" stroked="f">
              <v:textbox inset="0,0,0,0">
                <w:txbxContent>
                  <w:p w14:paraId="42C69A6B" w14:textId="77777777" w:rsidR="00A93436" w:rsidRDefault="0051340A">
                    <w:pPr>
                      <w:spacing w:before="11"/>
                      <w:ind w:left="20"/>
                      <w:rPr>
                        <w:b/>
                      </w:rPr>
                    </w:pPr>
                    <w:r>
                      <w:rPr>
                        <w:b/>
                      </w:rPr>
                      <w:t>Australia’s Submission to CBD Notification 2020-055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07BAF"/>
    <w:multiLevelType w:val="hybridMultilevel"/>
    <w:tmpl w:val="88D4C0B2"/>
    <w:lvl w:ilvl="0" w:tplc="E7C8806E">
      <w:numFmt w:val="bullet"/>
      <w:lvlText w:val=""/>
      <w:lvlJc w:val="left"/>
      <w:pPr>
        <w:ind w:left="827" w:hanging="360"/>
      </w:pPr>
      <w:rPr>
        <w:rFonts w:ascii="Symbol" w:eastAsia="Symbol" w:hAnsi="Symbol" w:cs="Symbol" w:hint="default"/>
        <w:w w:val="100"/>
        <w:sz w:val="24"/>
        <w:szCs w:val="24"/>
        <w:lang w:val="en-US" w:eastAsia="en-US" w:bidi="ar-SA"/>
      </w:rPr>
    </w:lvl>
    <w:lvl w:ilvl="1" w:tplc="6A7CB1E8">
      <w:numFmt w:val="bullet"/>
      <w:lvlText w:val="•"/>
      <w:lvlJc w:val="left"/>
      <w:pPr>
        <w:ind w:left="1698" w:hanging="360"/>
      </w:pPr>
      <w:rPr>
        <w:rFonts w:hint="default"/>
        <w:lang w:val="en-US" w:eastAsia="en-US" w:bidi="ar-SA"/>
      </w:rPr>
    </w:lvl>
    <w:lvl w:ilvl="2" w:tplc="7DB2B3AA">
      <w:numFmt w:val="bullet"/>
      <w:lvlText w:val="•"/>
      <w:lvlJc w:val="left"/>
      <w:pPr>
        <w:ind w:left="2576" w:hanging="360"/>
      </w:pPr>
      <w:rPr>
        <w:rFonts w:hint="default"/>
        <w:lang w:val="en-US" w:eastAsia="en-US" w:bidi="ar-SA"/>
      </w:rPr>
    </w:lvl>
    <w:lvl w:ilvl="3" w:tplc="22BAC030">
      <w:numFmt w:val="bullet"/>
      <w:lvlText w:val="•"/>
      <w:lvlJc w:val="left"/>
      <w:pPr>
        <w:ind w:left="3454" w:hanging="360"/>
      </w:pPr>
      <w:rPr>
        <w:rFonts w:hint="default"/>
        <w:lang w:val="en-US" w:eastAsia="en-US" w:bidi="ar-SA"/>
      </w:rPr>
    </w:lvl>
    <w:lvl w:ilvl="4" w:tplc="730AEA8E">
      <w:numFmt w:val="bullet"/>
      <w:lvlText w:val="•"/>
      <w:lvlJc w:val="left"/>
      <w:pPr>
        <w:ind w:left="4332" w:hanging="360"/>
      </w:pPr>
      <w:rPr>
        <w:rFonts w:hint="default"/>
        <w:lang w:val="en-US" w:eastAsia="en-US" w:bidi="ar-SA"/>
      </w:rPr>
    </w:lvl>
    <w:lvl w:ilvl="5" w:tplc="0F6CF9F4">
      <w:numFmt w:val="bullet"/>
      <w:lvlText w:val="•"/>
      <w:lvlJc w:val="left"/>
      <w:pPr>
        <w:ind w:left="5210" w:hanging="360"/>
      </w:pPr>
      <w:rPr>
        <w:rFonts w:hint="default"/>
        <w:lang w:val="en-US" w:eastAsia="en-US" w:bidi="ar-SA"/>
      </w:rPr>
    </w:lvl>
    <w:lvl w:ilvl="6" w:tplc="AE6E3A88">
      <w:numFmt w:val="bullet"/>
      <w:lvlText w:val="•"/>
      <w:lvlJc w:val="left"/>
      <w:pPr>
        <w:ind w:left="6088" w:hanging="360"/>
      </w:pPr>
      <w:rPr>
        <w:rFonts w:hint="default"/>
        <w:lang w:val="en-US" w:eastAsia="en-US" w:bidi="ar-SA"/>
      </w:rPr>
    </w:lvl>
    <w:lvl w:ilvl="7" w:tplc="E4BA43BE">
      <w:numFmt w:val="bullet"/>
      <w:lvlText w:val="•"/>
      <w:lvlJc w:val="left"/>
      <w:pPr>
        <w:ind w:left="6966" w:hanging="360"/>
      </w:pPr>
      <w:rPr>
        <w:rFonts w:hint="default"/>
        <w:lang w:val="en-US" w:eastAsia="en-US" w:bidi="ar-SA"/>
      </w:rPr>
    </w:lvl>
    <w:lvl w:ilvl="8" w:tplc="394ED20A">
      <w:numFmt w:val="bullet"/>
      <w:lvlText w:val="•"/>
      <w:lvlJc w:val="left"/>
      <w:pPr>
        <w:ind w:left="7844" w:hanging="360"/>
      </w:pPr>
      <w:rPr>
        <w:rFonts w:hint="default"/>
        <w:lang w:val="en-US" w:eastAsia="en-US" w:bidi="ar-SA"/>
      </w:rPr>
    </w:lvl>
  </w:abstractNum>
  <w:abstractNum w:abstractNumId="1" w15:restartNumberingAfterBreak="0">
    <w:nsid w:val="2B907647"/>
    <w:multiLevelType w:val="hybridMultilevel"/>
    <w:tmpl w:val="9FFACD40"/>
    <w:lvl w:ilvl="0" w:tplc="AA9CC1AC">
      <w:numFmt w:val="bullet"/>
      <w:lvlText w:val=""/>
      <w:lvlJc w:val="left"/>
      <w:pPr>
        <w:ind w:left="827" w:hanging="360"/>
      </w:pPr>
      <w:rPr>
        <w:rFonts w:ascii="Symbol" w:eastAsia="Symbol" w:hAnsi="Symbol" w:cs="Symbol" w:hint="default"/>
        <w:w w:val="100"/>
        <w:sz w:val="24"/>
        <w:szCs w:val="24"/>
        <w:lang w:val="en-US" w:eastAsia="en-US" w:bidi="ar-SA"/>
      </w:rPr>
    </w:lvl>
    <w:lvl w:ilvl="1" w:tplc="60F2859E">
      <w:numFmt w:val="bullet"/>
      <w:lvlText w:val="•"/>
      <w:lvlJc w:val="left"/>
      <w:pPr>
        <w:ind w:left="1697" w:hanging="360"/>
      </w:pPr>
      <w:rPr>
        <w:rFonts w:hint="default"/>
        <w:lang w:val="en-US" w:eastAsia="en-US" w:bidi="ar-SA"/>
      </w:rPr>
    </w:lvl>
    <w:lvl w:ilvl="2" w:tplc="A8C65A98">
      <w:numFmt w:val="bullet"/>
      <w:lvlText w:val="•"/>
      <w:lvlJc w:val="left"/>
      <w:pPr>
        <w:ind w:left="2575" w:hanging="360"/>
      </w:pPr>
      <w:rPr>
        <w:rFonts w:hint="default"/>
        <w:lang w:val="en-US" w:eastAsia="en-US" w:bidi="ar-SA"/>
      </w:rPr>
    </w:lvl>
    <w:lvl w:ilvl="3" w:tplc="F9864A1A">
      <w:numFmt w:val="bullet"/>
      <w:lvlText w:val="•"/>
      <w:lvlJc w:val="left"/>
      <w:pPr>
        <w:ind w:left="3453" w:hanging="360"/>
      </w:pPr>
      <w:rPr>
        <w:rFonts w:hint="default"/>
        <w:lang w:val="en-US" w:eastAsia="en-US" w:bidi="ar-SA"/>
      </w:rPr>
    </w:lvl>
    <w:lvl w:ilvl="4" w:tplc="2D52026C">
      <w:numFmt w:val="bullet"/>
      <w:lvlText w:val="•"/>
      <w:lvlJc w:val="left"/>
      <w:pPr>
        <w:ind w:left="4331" w:hanging="360"/>
      </w:pPr>
      <w:rPr>
        <w:rFonts w:hint="default"/>
        <w:lang w:val="en-US" w:eastAsia="en-US" w:bidi="ar-SA"/>
      </w:rPr>
    </w:lvl>
    <w:lvl w:ilvl="5" w:tplc="432E8816">
      <w:numFmt w:val="bullet"/>
      <w:lvlText w:val="•"/>
      <w:lvlJc w:val="left"/>
      <w:pPr>
        <w:ind w:left="5209" w:hanging="360"/>
      </w:pPr>
      <w:rPr>
        <w:rFonts w:hint="default"/>
        <w:lang w:val="en-US" w:eastAsia="en-US" w:bidi="ar-SA"/>
      </w:rPr>
    </w:lvl>
    <w:lvl w:ilvl="6" w:tplc="49A0CDDA">
      <w:numFmt w:val="bullet"/>
      <w:lvlText w:val="•"/>
      <w:lvlJc w:val="left"/>
      <w:pPr>
        <w:ind w:left="6087" w:hanging="360"/>
      </w:pPr>
      <w:rPr>
        <w:rFonts w:hint="default"/>
        <w:lang w:val="en-US" w:eastAsia="en-US" w:bidi="ar-SA"/>
      </w:rPr>
    </w:lvl>
    <w:lvl w:ilvl="7" w:tplc="D8EEBC6E">
      <w:numFmt w:val="bullet"/>
      <w:lvlText w:val="•"/>
      <w:lvlJc w:val="left"/>
      <w:pPr>
        <w:ind w:left="6965" w:hanging="360"/>
      </w:pPr>
      <w:rPr>
        <w:rFonts w:hint="default"/>
        <w:lang w:val="en-US" w:eastAsia="en-US" w:bidi="ar-SA"/>
      </w:rPr>
    </w:lvl>
    <w:lvl w:ilvl="8" w:tplc="811A3D04">
      <w:numFmt w:val="bullet"/>
      <w:lvlText w:val="•"/>
      <w:lvlJc w:val="left"/>
      <w:pPr>
        <w:ind w:left="7843"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436"/>
    <w:rsid w:val="0051340A"/>
    <w:rsid w:val="00A934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09E62F3"/>
  <w15:docId w15:val="{EE6E20E8-09C4-4621-9916-A5A8096E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07" w:right="950"/>
      <w:jc w:val="center"/>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0"/>
      <w:ind w:left="1530" w:right="2074"/>
      <w:jc w:val="center"/>
    </w:pPr>
    <w:rPr>
      <w:rFonts w:ascii="Calibri" w:eastAsia="Calibri" w:hAnsi="Calibri" w:cs="Calibri"/>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75"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BDAustralia@awe.gov.au"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1620</Words>
  <Characters>9235</Characters>
  <Application>Microsoft Office Word</Application>
  <DocSecurity>0</DocSecurity>
  <Lines>76</Lines>
  <Paragraphs>21</Paragraphs>
  <ScaleCrop>false</ScaleCrop>
  <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Shania Ashton</dc:creator>
  <cp:lastModifiedBy>Tanya Mcgregor</cp:lastModifiedBy>
  <cp:revision>2</cp:revision>
  <dcterms:created xsi:type="dcterms:W3CDTF">2020-09-02T13:40:00Z</dcterms:created>
  <dcterms:modified xsi:type="dcterms:W3CDTF">2020-09-02T13:40:00Z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Creator">
    <vt:lpwstr>Microsoft® Word for Office 365</vt:lpwstr>
  </property>
  <property fmtid="{D5CDD505-2E9C-101B-9397-08002B2CF9AE}" pid="4" name="LastSaved">
    <vt:filetime>2020-09-02T00:00:00Z</vt:filetime>
  </property>
</Properties>
</file>