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103" w:rsidRDefault="00422613">
      <w:pPr>
        <w:jc w:val="center"/>
        <w:rPr>
          <w:b/>
          <w:sz w:val="22"/>
          <w:szCs w:val="22"/>
        </w:rPr>
      </w:pPr>
      <w:r>
        <w:rPr>
          <w:b/>
          <w:sz w:val="22"/>
          <w:szCs w:val="22"/>
        </w:rPr>
        <w:t>Template for the review of the document on linkages between the post-2020 global biodiversity framework and the 2030 agenda for sustainable development</w:t>
      </w:r>
    </w:p>
    <w:p w:rsidR="00E80103" w:rsidRDefault="00E80103">
      <w:pPr>
        <w:pBdr>
          <w:top w:val="nil"/>
          <w:left w:val="nil"/>
          <w:bottom w:val="nil"/>
          <w:right w:val="nil"/>
          <w:between w:val="nil"/>
        </w:pBdr>
        <w:jc w:val="center"/>
        <w:rPr>
          <w:b/>
          <w:color w:val="000000"/>
          <w:sz w:val="22"/>
          <w:szCs w:val="22"/>
          <w:u w:val="single"/>
        </w:rPr>
      </w:pPr>
    </w:p>
    <w:p w:rsidR="00E80103" w:rsidRDefault="00422613">
      <w:pPr>
        <w:pBdr>
          <w:top w:val="nil"/>
          <w:left w:val="nil"/>
          <w:bottom w:val="nil"/>
          <w:right w:val="nil"/>
          <w:between w:val="nil"/>
        </w:pBdr>
        <w:jc w:val="center"/>
        <w:rPr>
          <w:b/>
          <w:color w:val="000000"/>
          <w:sz w:val="22"/>
          <w:szCs w:val="22"/>
          <w:u w:val="single"/>
        </w:rPr>
      </w:pPr>
      <w:r>
        <w:rPr>
          <w:b/>
          <w:color w:val="000000"/>
          <w:sz w:val="22"/>
          <w:szCs w:val="22"/>
          <w:u w:val="single"/>
        </w:rPr>
        <w:t>TEMPLATE FOR COMMENTS</w:t>
      </w:r>
    </w:p>
    <w:p w:rsidR="00E80103" w:rsidRDefault="00E80103">
      <w:pPr>
        <w:pBdr>
          <w:top w:val="nil"/>
          <w:left w:val="nil"/>
          <w:bottom w:val="nil"/>
          <w:right w:val="nil"/>
          <w:between w:val="nil"/>
        </w:pBdr>
        <w:jc w:val="center"/>
        <w:rPr>
          <w:b/>
          <w:color w:val="000000"/>
          <w:sz w:val="22"/>
          <w:szCs w:val="22"/>
          <w:u w:val="single"/>
        </w:rPr>
      </w:pPr>
    </w:p>
    <w:tbl>
      <w:tblPr>
        <w:tblStyle w:val="a"/>
        <w:tblW w:w="1017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5"/>
        <w:gridCol w:w="1335"/>
        <w:gridCol w:w="1935"/>
        <w:gridCol w:w="6105"/>
      </w:tblGrid>
      <w:tr w:rsidR="00E80103">
        <w:trPr>
          <w:trHeight w:val="233"/>
        </w:trPr>
        <w:tc>
          <w:tcPr>
            <w:tcW w:w="10170" w:type="dxa"/>
            <w:gridSpan w:val="4"/>
            <w:shd w:val="clear" w:color="auto" w:fill="C0C0C0"/>
          </w:tcPr>
          <w:p w:rsidR="00E80103" w:rsidRDefault="00422613">
            <w:pPr>
              <w:jc w:val="center"/>
              <w:rPr>
                <w:i/>
              </w:rPr>
            </w:pPr>
            <w:r>
              <w:rPr>
                <w:i/>
              </w:rPr>
              <w:t>Contact information</w:t>
            </w:r>
          </w:p>
        </w:tc>
      </w:tr>
      <w:tr w:rsidR="00E80103">
        <w:trPr>
          <w:trHeight w:val="270"/>
        </w:trPr>
        <w:tc>
          <w:tcPr>
            <w:tcW w:w="4065" w:type="dxa"/>
            <w:gridSpan w:val="3"/>
          </w:tcPr>
          <w:p w:rsidR="00E80103" w:rsidRDefault="00422613">
            <w:pPr>
              <w:pBdr>
                <w:top w:val="nil"/>
                <w:left w:val="nil"/>
                <w:bottom w:val="nil"/>
                <w:right w:val="nil"/>
                <w:between w:val="nil"/>
              </w:pBdr>
              <w:spacing w:before="60" w:after="60"/>
              <w:rPr>
                <w:b/>
                <w:color w:val="000000"/>
                <w:sz w:val="22"/>
                <w:szCs w:val="22"/>
              </w:rPr>
            </w:pPr>
            <w:r>
              <w:rPr>
                <w:b/>
                <w:color w:val="000000"/>
                <w:sz w:val="22"/>
                <w:szCs w:val="22"/>
              </w:rPr>
              <w:t>Surname:</w:t>
            </w:r>
          </w:p>
        </w:tc>
        <w:tc>
          <w:tcPr>
            <w:tcW w:w="6105" w:type="dxa"/>
          </w:tcPr>
          <w:p w:rsidR="00E80103" w:rsidRDefault="00422613">
            <w:r>
              <w:t>Duncan</w:t>
            </w:r>
          </w:p>
        </w:tc>
      </w:tr>
      <w:tr w:rsidR="00E80103">
        <w:trPr>
          <w:trHeight w:val="270"/>
        </w:trPr>
        <w:tc>
          <w:tcPr>
            <w:tcW w:w="4065" w:type="dxa"/>
            <w:gridSpan w:val="3"/>
          </w:tcPr>
          <w:p w:rsidR="00E80103" w:rsidRDefault="00422613">
            <w:pPr>
              <w:pBdr>
                <w:top w:val="nil"/>
                <w:left w:val="nil"/>
                <w:bottom w:val="nil"/>
                <w:right w:val="nil"/>
                <w:between w:val="nil"/>
              </w:pBdr>
              <w:spacing w:before="60" w:after="60"/>
              <w:rPr>
                <w:b/>
                <w:color w:val="000000"/>
                <w:sz w:val="22"/>
                <w:szCs w:val="22"/>
              </w:rPr>
            </w:pPr>
            <w:r>
              <w:rPr>
                <w:b/>
                <w:color w:val="000000"/>
                <w:sz w:val="22"/>
                <w:szCs w:val="22"/>
              </w:rPr>
              <w:t>Given Name:</w:t>
            </w:r>
          </w:p>
        </w:tc>
        <w:tc>
          <w:tcPr>
            <w:tcW w:w="6105" w:type="dxa"/>
          </w:tcPr>
          <w:p w:rsidR="00E80103" w:rsidRDefault="00422613">
            <w:r>
              <w:t>Tamlyn</w:t>
            </w:r>
          </w:p>
        </w:tc>
      </w:tr>
      <w:tr w:rsidR="00E80103">
        <w:trPr>
          <w:trHeight w:val="280"/>
        </w:trPr>
        <w:tc>
          <w:tcPr>
            <w:tcW w:w="4065" w:type="dxa"/>
            <w:gridSpan w:val="3"/>
          </w:tcPr>
          <w:p w:rsidR="00E80103" w:rsidRDefault="00422613">
            <w:pPr>
              <w:pBdr>
                <w:top w:val="nil"/>
                <w:left w:val="nil"/>
                <w:bottom w:val="nil"/>
                <w:right w:val="nil"/>
                <w:between w:val="nil"/>
              </w:pBdr>
              <w:spacing w:before="60" w:after="60"/>
              <w:rPr>
                <w:b/>
                <w:color w:val="000000"/>
                <w:sz w:val="22"/>
                <w:szCs w:val="22"/>
              </w:rPr>
            </w:pPr>
            <w:r>
              <w:rPr>
                <w:b/>
                <w:color w:val="000000"/>
                <w:sz w:val="22"/>
                <w:szCs w:val="22"/>
              </w:rPr>
              <w:t xml:space="preserve">Government </w:t>
            </w:r>
            <w:r>
              <w:rPr>
                <w:color w:val="000000"/>
                <w:sz w:val="22"/>
                <w:szCs w:val="22"/>
              </w:rPr>
              <w:t>(if applicable)</w:t>
            </w:r>
            <w:r>
              <w:rPr>
                <w:b/>
                <w:color w:val="000000"/>
                <w:sz w:val="22"/>
                <w:szCs w:val="22"/>
              </w:rPr>
              <w:t xml:space="preserve">: </w:t>
            </w:r>
          </w:p>
        </w:tc>
        <w:tc>
          <w:tcPr>
            <w:tcW w:w="6105" w:type="dxa"/>
          </w:tcPr>
          <w:p w:rsidR="00E80103" w:rsidRDefault="00422613">
            <w:r>
              <w:t>N/A</w:t>
            </w:r>
          </w:p>
        </w:tc>
      </w:tr>
      <w:tr w:rsidR="00E80103">
        <w:trPr>
          <w:trHeight w:val="270"/>
        </w:trPr>
        <w:tc>
          <w:tcPr>
            <w:tcW w:w="4065" w:type="dxa"/>
            <w:gridSpan w:val="3"/>
          </w:tcPr>
          <w:p w:rsidR="00E80103" w:rsidRDefault="00422613">
            <w:pPr>
              <w:pBdr>
                <w:top w:val="nil"/>
                <w:left w:val="nil"/>
                <w:bottom w:val="nil"/>
                <w:right w:val="nil"/>
                <w:between w:val="nil"/>
              </w:pBdr>
              <w:spacing w:before="60" w:after="60"/>
              <w:rPr>
                <w:b/>
                <w:color w:val="000000"/>
                <w:sz w:val="22"/>
                <w:szCs w:val="22"/>
              </w:rPr>
            </w:pPr>
            <w:r>
              <w:rPr>
                <w:b/>
                <w:color w:val="000000"/>
                <w:sz w:val="22"/>
                <w:szCs w:val="22"/>
              </w:rPr>
              <w:t>Organization:</w:t>
            </w:r>
          </w:p>
        </w:tc>
        <w:tc>
          <w:tcPr>
            <w:tcW w:w="6105" w:type="dxa"/>
          </w:tcPr>
          <w:p w:rsidR="00E80103" w:rsidRDefault="00422613">
            <w:r>
              <w:t>ICLEI - Local Governments for Sustainability</w:t>
            </w:r>
            <w:r w:rsidR="002B1705">
              <w:t xml:space="preserve"> Cities Biodiversity Center</w:t>
            </w:r>
          </w:p>
        </w:tc>
      </w:tr>
      <w:tr w:rsidR="00E80103">
        <w:trPr>
          <w:trHeight w:val="280"/>
        </w:trPr>
        <w:tc>
          <w:tcPr>
            <w:tcW w:w="4065" w:type="dxa"/>
            <w:gridSpan w:val="3"/>
          </w:tcPr>
          <w:p w:rsidR="00E80103" w:rsidRDefault="00422613">
            <w:pPr>
              <w:pBdr>
                <w:top w:val="nil"/>
                <w:left w:val="nil"/>
                <w:bottom w:val="nil"/>
                <w:right w:val="nil"/>
                <w:between w:val="nil"/>
              </w:pBdr>
              <w:spacing w:before="60" w:after="60"/>
              <w:rPr>
                <w:b/>
                <w:color w:val="000000"/>
                <w:sz w:val="22"/>
                <w:szCs w:val="22"/>
              </w:rPr>
            </w:pPr>
            <w:r>
              <w:rPr>
                <w:b/>
                <w:color w:val="000000"/>
                <w:sz w:val="22"/>
                <w:szCs w:val="22"/>
              </w:rPr>
              <w:t xml:space="preserve">Address:  </w:t>
            </w:r>
          </w:p>
        </w:tc>
        <w:tc>
          <w:tcPr>
            <w:tcW w:w="6105" w:type="dxa"/>
          </w:tcPr>
          <w:p w:rsidR="00E80103" w:rsidRDefault="00422613">
            <w:r>
              <w:rPr>
                <w:color w:val="222222"/>
                <w:highlight w:val="white"/>
              </w:rPr>
              <w:t>Unit 1, 2nd Floor, South Tower, Sable Park, 14 Bridge Boulevard, Century City, Cape Town, 7441</w:t>
            </w:r>
          </w:p>
        </w:tc>
      </w:tr>
      <w:tr w:rsidR="00E80103">
        <w:trPr>
          <w:trHeight w:val="270"/>
        </w:trPr>
        <w:tc>
          <w:tcPr>
            <w:tcW w:w="4065" w:type="dxa"/>
            <w:gridSpan w:val="3"/>
          </w:tcPr>
          <w:p w:rsidR="00E80103" w:rsidRDefault="00422613">
            <w:pPr>
              <w:pBdr>
                <w:top w:val="nil"/>
                <w:left w:val="nil"/>
                <w:bottom w:val="nil"/>
                <w:right w:val="nil"/>
                <w:between w:val="nil"/>
              </w:pBdr>
              <w:spacing w:before="60" w:after="60"/>
              <w:rPr>
                <w:b/>
                <w:color w:val="000000"/>
                <w:sz w:val="22"/>
                <w:szCs w:val="22"/>
              </w:rPr>
            </w:pPr>
            <w:r>
              <w:rPr>
                <w:b/>
                <w:color w:val="000000"/>
                <w:sz w:val="22"/>
                <w:szCs w:val="22"/>
              </w:rPr>
              <w:t>City:</w:t>
            </w:r>
          </w:p>
        </w:tc>
        <w:tc>
          <w:tcPr>
            <w:tcW w:w="6105" w:type="dxa"/>
          </w:tcPr>
          <w:p w:rsidR="00E80103" w:rsidRDefault="00422613">
            <w:r>
              <w:t>Cape Town</w:t>
            </w:r>
          </w:p>
        </w:tc>
      </w:tr>
      <w:tr w:rsidR="00E80103">
        <w:trPr>
          <w:trHeight w:val="280"/>
        </w:trPr>
        <w:tc>
          <w:tcPr>
            <w:tcW w:w="4065" w:type="dxa"/>
            <w:gridSpan w:val="3"/>
          </w:tcPr>
          <w:p w:rsidR="00E80103" w:rsidRDefault="00422613">
            <w:pPr>
              <w:pBdr>
                <w:top w:val="nil"/>
                <w:left w:val="nil"/>
                <w:bottom w:val="nil"/>
                <w:right w:val="nil"/>
                <w:between w:val="nil"/>
              </w:pBdr>
              <w:spacing w:before="60" w:after="60"/>
              <w:rPr>
                <w:b/>
                <w:color w:val="000000"/>
                <w:sz w:val="22"/>
                <w:szCs w:val="22"/>
              </w:rPr>
            </w:pPr>
            <w:r>
              <w:rPr>
                <w:b/>
                <w:color w:val="000000"/>
                <w:sz w:val="22"/>
                <w:szCs w:val="22"/>
              </w:rPr>
              <w:t>Country:</w:t>
            </w:r>
          </w:p>
        </w:tc>
        <w:tc>
          <w:tcPr>
            <w:tcW w:w="6105" w:type="dxa"/>
          </w:tcPr>
          <w:p w:rsidR="00E80103" w:rsidRDefault="00422613">
            <w:r>
              <w:t>South Africa</w:t>
            </w:r>
          </w:p>
        </w:tc>
      </w:tr>
      <w:tr w:rsidR="00E80103">
        <w:trPr>
          <w:trHeight w:val="233"/>
        </w:trPr>
        <w:tc>
          <w:tcPr>
            <w:tcW w:w="4065" w:type="dxa"/>
            <w:gridSpan w:val="3"/>
          </w:tcPr>
          <w:p w:rsidR="00E80103" w:rsidRDefault="00422613">
            <w:pPr>
              <w:pBdr>
                <w:top w:val="nil"/>
                <w:left w:val="nil"/>
                <w:bottom w:val="nil"/>
                <w:right w:val="nil"/>
                <w:between w:val="nil"/>
              </w:pBdr>
              <w:rPr>
                <w:b/>
                <w:color w:val="000000"/>
                <w:sz w:val="22"/>
                <w:szCs w:val="22"/>
              </w:rPr>
            </w:pPr>
            <w:r>
              <w:rPr>
                <w:b/>
                <w:color w:val="000000"/>
                <w:sz w:val="22"/>
                <w:szCs w:val="22"/>
              </w:rPr>
              <w:t>E-mail:</w:t>
            </w:r>
          </w:p>
        </w:tc>
        <w:tc>
          <w:tcPr>
            <w:tcW w:w="6105" w:type="dxa"/>
          </w:tcPr>
          <w:p w:rsidR="00E80103" w:rsidRDefault="00422613">
            <w:r>
              <w:t>tamlyn.duncan@iclei.org</w:t>
            </w:r>
          </w:p>
        </w:tc>
      </w:tr>
      <w:tr w:rsidR="00E80103">
        <w:trPr>
          <w:trHeight w:val="224"/>
        </w:trPr>
        <w:tc>
          <w:tcPr>
            <w:tcW w:w="10170" w:type="dxa"/>
            <w:gridSpan w:val="4"/>
            <w:shd w:val="clear" w:color="auto" w:fill="C0C0C0"/>
          </w:tcPr>
          <w:p w:rsidR="00E80103" w:rsidRDefault="00422613">
            <w:pPr>
              <w:jc w:val="center"/>
              <w:rPr>
                <w:b/>
                <w:i/>
              </w:rPr>
            </w:pPr>
            <w:r>
              <w:rPr>
                <w:b/>
                <w:i/>
                <w:highlight w:val="lightGray"/>
              </w:rPr>
              <w:t>Comments</w:t>
            </w:r>
          </w:p>
        </w:tc>
      </w:tr>
      <w:tr w:rsidR="00E80103">
        <w:trPr>
          <w:trHeight w:val="224"/>
        </w:trPr>
        <w:tc>
          <w:tcPr>
            <w:tcW w:w="795" w:type="dxa"/>
          </w:tcPr>
          <w:p w:rsidR="00E80103" w:rsidRDefault="00422613">
            <w:pPr>
              <w:rPr>
                <w:b/>
              </w:rPr>
            </w:pPr>
            <w:r>
              <w:rPr>
                <w:b/>
                <w:sz w:val="22"/>
                <w:szCs w:val="22"/>
              </w:rPr>
              <w:t xml:space="preserve">Page </w:t>
            </w:r>
          </w:p>
        </w:tc>
        <w:tc>
          <w:tcPr>
            <w:tcW w:w="1335" w:type="dxa"/>
          </w:tcPr>
          <w:p w:rsidR="00E80103" w:rsidRDefault="00422613">
            <w:pPr>
              <w:rPr>
                <w:b/>
              </w:rPr>
            </w:pPr>
            <w:r>
              <w:rPr>
                <w:b/>
                <w:sz w:val="22"/>
                <w:szCs w:val="22"/>
              </w:rPr>
              <w:t>Paragraph</w:t>
            </w:r>
          </w:p>
        </w:tc>
        <w:tc>
          <w:tcPr>
            <w:tcW w:w="8040" w:type="dxa"/>
            <w:gridSpan w:val="2"/>
          </w:tcPr>
          <w:p w:rsidR="00E80103" w:rsidRDefault="00422613">
            <w:pPr>
              <w:rPr>
                <w:b/>
              </w:rPr>
            </w:pPr>
            <w:r>
              <w:rPr>
                <w:b/>
                <w:sz w:val="22"/>
                <w:szCs w:val="22"/>
              </w:rPr>
              <w:t>Comment</w:t>
            </w:r>
          </w:p>
        </w:tc>
      </w:tr>
      <w:tr w:rsidR="00E80103">
        <w:trPr>
          <w:trHeight w:val="233"/>
        </w:trPr>
        <w:tc>
          <w:tcPr>
            <w:tcW w:w="795" w:type="dxa"/>
          </w:tcPr>
          <w:p w:rsidR="00E80103" w:rsidRDefault="00422613">
            <w:pPr>
              <w:rPr>
                <w:sz w:val="22"/>
                <w:szCs w:val="22"/>
              </w:rPr>
            </w:pPr>
            <w:r>
              <w:rPr>
                <w:sz w:val="22"/>
                <w:szCs w:val="22"/>
              </w:rPr>
              <w:t>0</w:t>
            </w:r>
          </w:p>
        </w:tc>
        <w:tc>
          <w:tcPr>
            <w:tcW w:w="1335" w:type="dxa"/>
          </w:tcPr>
          <w:p w:rsidR="00E80103" w:rsidRDefault="00422613">
            <w:pPr>
              <w:rPr>
                <w:sz w:val="22"/>
                <w:szCs w:val="22"/>
              </w:rPr>
            </w:pPr>
            <w:r>
              <w:rPr>
                <w:sz w:val="22"/>
                <w:szCs w:val="22"/>
              </w:rPr>
              <w:t>0</w:t>
            </w:r>
          </w:p>
        </w:tc>
        <w:tc>
          <w:tcPr>
            <w:tcW w:w="8040" w:type="dxa"/>
            <w:gridSpan w:val="2"/>
          </w:tcPr>
          <w:p w:rsidR="00E80103" w:rsidRDefault="00422613">
            <w:r>
              <w:t xml:space="preserve">While adjustments cannot be made to the GBF’s targets at this stage, this document presents a unique opportunity to suggest amendments to SDG Targets that expire in 2020, and to rephrase them in such a way that is inclusive of recognizing the role and responsibilities of </w:t>
            </w:r>
            <w:r w:rsidR="00BC78B1">
              <w:t xml:space="preserve">all levels of </w:t>
            </w:r>
            <w:r>
              <w:t xml:space="preserve">subnational governments in achieving these aims. </w:t>
            </w:r>
          </w:p>
        </w:tc>
      </w:tr>
      <w:tr w:rsidR="00E80103">
        <w:trPr>
          <w:trHeight w:val="224"/>
        </w:trPr>
        <w:tc>
          <w:tcPr>
            <w:tcW w:w="795" w:type="dxa"/>
          </w:tcPr>
          <w:p w:rsidR="00E80103" w:rsidRDefault="00422613">
            <w:r>
              <w:rPr>
                <w:sz w:val="22"/>
                <w:szCs w:val="22"/>
              </w:rPr>
              <w:t>1</w:t>
            </w:r>
          </w:p>
        </w:tc>
        <w:tc>
          <w:tcPr>
            <w:tcW w:w="1335" w:type="dxa"/>
          </w:tcPr>
          <w:p w:rsidR="00E80103" w:rsidRDefault="00422613">
            <w:r>
              <w:rPr>
                <w:sz w:val="22"/>
                <w:szCs w:val="22"/>
              </w:rPr>
              <w:t>2</w:t>
            </w:r>
          </w:p>
        </w:tc>
        <w:tc>
          <w:tcPr>
            <w:tcW w:w="8040" w:type="dxa"/>
            <w:gridSpan w:val="2"/>
          </w:tcPr>
          <w:p w:rsidR="00E80103" w:rsidRDefault="00422613">
            <w:r>
              <w:t xml:space="preserve">The wording in relation to goods and services could be more specific to acknowledge that the 2050 biodiversity vision of ‘living in harmony with nature’ is designed to support the delivery of </w:t>
            </w:r>
            <w:r>
              <w:rPr>
                <w:b/>
              </w:rPr>
              <w:t xml:space="preserve">ecosystem </w:t>
            </w:r>
            <w:r>
              <w:t>goods and services.</w:t>
            </w:r>
          </w:p>
        </w:tc>
      </w:tr>
      <w:tr w:rsidR="00E80103">
        <w:trPr>
          <w:trHeight w:val="233"/>
        </w:trPr>
        <w:tc>
          <w:tcPr>
            <w:tcW w:w="795" w:type="dxa"/>
          </w:tcPr>
          <w:p w:rsidR="00E80103" w:rsidRDefault="00422613">
            <w:r>
              <w:t>2</w:t>
            </w:r>
          </w:p>
        </w:tc>
        <w:tc>
          <w:tcPr>
            <w:tcW w:w="1335" w:type="dxa"/>
          </w:tcPr>
          <w:p w:rsidR="00E80103" w:rsidRDefault="00422613">
            <w:r>
              <w:t>1</w:t>
            </w:r>
          </w:p>
        </w:tc>
        <w:tc>
          <w:tcPr>
            <w:tcW w:w="8040" w:type="dxa"/>
            <w:gridSpan w:val="2"/>
          </w:tcPr>
          <w:p w:rsidR="00E80103" w:rsidRDefault="00422613">
            <w:r>
              <w:t>SDG Goal 12 (responsible consumption and production, specifically target 12.2) should also be included as relevant to GBF Goal A, as responsible consumption practices have a direct impact on maintaining and reducing threatened species.</w:t>
            </w:r>
          </w:p>
        </w:tc>
      </w:tr>
      <w:tr w:rsidR="00E80103">
        <w:trPr>
          <w:trHeight w:val="224"/>
        </w:trPr>
        <w:tc>
          <w:tcPr>
            <w:tcW w:w="795" w:type="dxa"/>
          </w:tcPr>
          <w:p w:rsidR="00E80103" w:rsidRDefault="00422613">
            <w:r>
              <w:t>4</w:t>
            </w:r>
          </w:p>
        </w:tc>
        <w:tc>
          <w:tcPr>
            <w:tcW w:w="1335" w:type="dxa"/>
          </w:tcPr>
          <w:p w:rsidR="00E80103" w:rsidRDefault="00422613">
            <w:r>
              <w:t>1</w:t>
            </w:r>
          </w:p>
        </w:tc>
        <w:tc>
          <w:tcPr>
            <w:tcW w:w="8040" w:type="dxa"/>
            <w:gridSpan w:val="2"/>
          </w:tcPr>
          <w:p w:rsidR="00E80103" w:rsidRDefault="00422613">
            <w:r>
              <w:t xml:space="preserve">In relation to GBF Target 1, SDG Target 6.6 should be amended to </w:t>
            </w:r>
            <w:r w:rsidRPr="001874D3">
              <w:t>reflect 2030</w:t>
            </w:r>
            <w:r>
              <w:t xml:space="preserve">, as well as including strategic water source areas. </w:t>
            </w:r>
          </w:p>
        </w:tc>
      </w:tr>
      <w:tr w:rsidR="00E80103">
        <w:trPr>
          <w:trHeight w:val="224"/>
        </w:trPr>
        <w:tc>
          <w:tcPr>
            <w:tcW w:w="795" w:type="dxa"/>
          </w:tcPr>
          <w:p w:rsidR="00E80103" w:rsidRDefault="00422613">
            <w:r>
              <w:t>4</w:t>
            </w:r>
          </w:p>
        </w:tc>
        <w:tc>
          <w:tcPr>
            <w:tcW w:w="1335" w:type="dxa"/>
          </w:tcPr>
          <w:p w:rsidR="00E80103" w:rsidRDefault="00422613">
            <w:r>
              <w:t>1</w:t>
            </w:r>
          </w:p>
        </w:tc>
        <w:tc>
          <w:tcPr>
            <w:tcW w:w="8040" w:type="dxa"/>
            <w:gridSpan w:val="2"/>
          </w:tcPr>
          <w:p w:rsidR="00E80103" w:rsidRDefault="00422613">
            <w:r>
              <w:t>In relation to GBF Target 1, SDG Target 14.2 should be amended to reflect 2030, as well as including estuaries alongside productive oceans. Furthermore, acknowledgement of local government in the management of coastal ecosystems would be beneficial.</w:t>
            </w:r>
          </w:p>
        </w:tc>
      </w:tr>
      <w:tr w:rsidR="00E80103">
        <w:trPr>
          <w:trHeight w:val="224"/>
        </w:trPr>
        <w:tc>
          <w:tcPr>
            <w:tcW w:w="795" w:type="dxa"/>
          </w:tcPr>
          <w:p w:rsidR="00E80103" w:rsidRDefault="00422613">
            <w:r>
              <w:t>4</w:t>
            </w:r>
          </w:p>
        </w:tc>
        <w:tc>
          <w:tcPr>
            <w:tcW w:w="1335" w:type="dxa"/>
          </w:tcPr>
          <w:p w:rsidR="00E80103" w:rsidRDefault="00422613">
            <w:r>
              <w:t>1</w:t>
            </w:r>
          </w:p>
        </w:tc>
        <w:tc>
          <w:tcPr>
            <w:tcW w:w="8040" w:type="dxa"/>
            <w:gridSpan w:val="2"/>
          </w:tcPr>
          <w:p w:rsidR="00E80103" w:rsidRDefault="00422613">
            <w:r>
              <w:t xml:space="preserve">In relation to GBF Target 1, SDG Target 15.5 should be amended to reflect 2030, as well as reflecting the importance of multi-governance level cooperation to achieve this aim. </w:t>
            </w:r>
          </w:p>
        </w:tc>
      </w:tr>
      <w:tr w:rsidR="00E80103">
        <w:trPr>
          <w:trHeight w:val="224"/>
        </w:trPr>
        <w:tc>
          <w:tcPr>
            <w:tcW w:w="795" w:type="dxa"/>
          </w:tcPr>
          <w:p w:rsidR="00E80103" w:rsidRDefault="00422613">
            <w:r>
              <w:t>4</w:t>
            </w:r>
          </w:p>
        </w:tc>
        <w:tc>
          <w:tcPr>
            <w:tcW w:w="1335" w:type="dxa"/>
          </w:tcPr>
          <w:p w:rsidR="00E80103" w:rsidRDefault="00422613">
            <w:r>
              <w:t>2</w:t>
            </w:r>
          </w:p>
        </w:tc>
        <w:tc>
          <w:tcPr>
            <w:tcW w:w="8040" w:type="dxa"/>
            <w:gridSpan w:val="2"/>
          </w:tcPr>
          <w:p w:rsidR="00E80103" w:rsidRDefault="00422613">
            <w:r>
              <w:t>In relation to GBF Target 2, SDG Target 14.5 should be amended to reflect 2030.</w:t>
            </w:r>
          </w:p>
        </w:tc>
      </w:tr>
      <w:tr w:rsidR="00E80103">
        <w:trPr>
          <w:trHeight w:val="224"/>
        </w:trPr>
        <w:tc>
          <w:tcPr>
            <w:tcW w:w="795" w:type="dxa"/>
          </w:tcPr>
          <w:p w:rsidR="00E80103" w:rsidRDefault="00422613">
            <w:r>
              <w:t>5</w:t>
            </w:r>
          </w:p>
        </w:tc>
        <w:tc>
          <w:tcPr>
            <w:tcW w:w="1335" w:type="dxa"/>
          </w:tcPr>
          <w:p w:rsidR="00E80103" w:rsidRDefault="00422613">
            <w:r>
              <w:t>1</w:t>
            </w:r>
          </w:p>
        </w:tc>
        <w:tc>
          <w:tcPr>
            <w:tcW w:w="8040" w:type="dxa"/>
            <w:gridSpan w:val="2"/>
          </w:tcPr>
          <w:p w:rsidR="00E80103" w:rsidRDefault="00422613">
            <w:r>
              <w:t>In relation to GBF Target 2, SDG Target 15.1 should be amended to reflect 2030, as well as including transboundary and regional agreements.</w:t>
            </w:r>
          </w:p>
        </w:tc>
      </w:tr>
      <w:tr w:rsidR="00E80103">
        <w:trPr>
          <w:trHeight w:val="224"/>
        </w:trPr>
        <w:tc>
          <w:tcPr>
            <w:tcW w:w="795" w:type="dxa"/>
          </w:tcPr>
          <w:p w:rsidR="00E80103" w:rsidRDefault="00422613">
            <w:r>
              <w:lastRenderedPageBreak/>
              <w:t>5</w:t>
            </w:r>
          </w:p>
        </w:tc>
        <w:tc>
          <w:tcPr>
            <w:tcW w:w="1335" w:type="dxa"/>
          </w:tcPr>
          <w:p w:rsidR="00E80103" w:rsidRDefault="00422613">
            <w:r>
              <w:t>3</w:t>
            </w:r>
          </w:p>
        </w:tc>
        <w:tc>
          <w:tcPr>
            <w:tcW w:w="8040" w:type="dxa"/>
            <w:gridSpan w:val="2"/>
          </w:tcPr>
          <w:p w:rsidR="00E80103" w:rsidRDefault="00422613">
            <w:r>
              <w:t>In relation to GBF Target 4, SDG Target 14.4 should be amended to reflect 2030 and to include acknowledgement of local regulation and enforcement as a means to achieve this goal.</w:t>
            </w:r>
          </w:p>
        </w:tc>
      </w:tr>
      <w:tr w:rsidR="00E80103">
        <w:trPr>
          <w:trHeight w:val="224"/>
        </w:trPr>
        <w:tc>
          <w:tcPr>
            <w:tcW w:w="795" w:type="dxa"/>
          </w:tcPr>
          <w:p w:rsidR="00E80103" w:rsidRDefault="00422613">
            <w:r>
              <w:t>5</w:t>
            </w:r>
          </w:p>
        </w:tc>
        <w:tc>
          <w:tcPr>
            <w:tcW w:w="1335" w:type="dxa"/>
          </w:tcPr>
          <w:p w:rsidR="00E80103" w:rsidRDefault="00422613">
            <w:r>
              <w:t>3</w:t>
            </w:r>
          </w:p>
        </w:tc>
        <w:tc>
          <w:tcPr>
            <w:tcW w:w="8040" w:type="dxa"/>
            <w:gridSpan w:val="2"/>
          </w:tcPr>
          <w:p w:rsidR="00E80103" w:rsidRDefault="00422613">
            <w:r>
              <w:t xml:space="preserve">In relation to GBF Target 4, SDG Target 15.2 should be amended to reflect 2030, as well as enhancing the role of community-based conservation practices as a sustainable management tool. </w:t>
            </w:r>
          </w:p>
        </w:tc>
      </w:tr>
      <w:tr w:rsidR="00E80103">
        <w:trPr>
          <w:trHeight w:val="224"/>
        </w:trPr>
        <w:tc>
          <w:tcPr>
            <w:tcW w:w="795" w:type="dxa"/>
          </w:tcPr>
          <w:p w:rsidR="00E80103" w:rsidRDefault="00422613">
            <w:r>
              <w:t>6</w:t>
            </w:r>
          </w:p>
        </w:tc>
        <w:tc>
          <w:tcPr>
            <w:tcW w:w="1335" w:type="dxa"/>
          </w:tcPr>
          <w:p w:rsidR="00E80103" w:rsidRDefault="00422613">
            <w:r>
              <w:t>1</w:t>
            </w:r>
          </w:p>
        </w:tc>
        <w:tc>
          <w:tcPr>
            <w:tcW w:w="8040" w:type="dxa"/>
            <w:gridSpan w:val="2"/>
          </w:tcPr>
          <w:p w:rsidR="00E80103" w:rsidRDefault="00422613">
            <w:r>
              <w:t xml:space="preserve">In relation to GBF Target 4, SDG Target 15.5 should be amended to reflect 2030. </w:t>
            </w:r>
          </w:p>
        </w:tc>
      </w:tr>
      <w:tr w:rsidR="00E80103">
        <w:trPr>
          <w:trHeight w:val="224"/>
        </w:trPr>
        <w:tc>
          <w:tcPr>
            <w:tcW w:w="795" w:type="dxa"/>
          </w:tcPr>
          <w:p w:rsidR="00E80103" w:rsidRDefault="00422613">
            <w:r>
              <w:t>6</w:t>
            </w:r>
          </w:p>
        </w:tc>
        <w:tc>
          <w:tcPr>
            <w:tcW w:w="1335" w:type="dxa"/>
          </w:tcPr>
          <w:p w:rsidR="00E80103" w:rsidRDefault="00422613">
            <w:r>
              <w:t>2</w:t>
            </w:r>
          </w:p>
        </w:tc>
        <w:tc>
          <w:tcPr>
            <w:tcW w:w="8040" w:type="dxa"/>
            <w:gridSpan w:val="2"/>
          </w:tcPr>
          <w:p w:rsidR="00E80103" w:rsidRDefault="00422613">
            <w:r>
              <w:t xml:space="preserve">In relation to GBF Target 5, SDG Target </w:t>
            </w:r>
            <w:proofErr w:type="gramStart"/>
            <w:r>
              <w:t>15.8  should</w:t>
            </w:r>
            <w:proofErr w:type="gramEnd"/>
            <w:r>
              <w:t xml:space="preserve"> be amended to reflect 2030, as well as introducing measures to identify vulnerable sites as prevention is far easier and more cost effective than eradication, as well as placing a huge burden on the local governments who are largely responsible for the eradication on the ground.</w:t>
            </w:r>
          </w:p>
        </w:tc>
      </w:tr>
      <w:tr w:rsidR="00E80103">
        <w:trPr>
          <w:trHeight w:val="224"/>
        </w:trPr>
        <w:tc>
          <w:tcPr>
            <w:tcW w:w="795" w:type="dxa"/>
          </w:tcPr>
          <w:p w:rsidR="00E80103" w:rsidRDefault="00422613">
            <w:r>
              <w:t>7</w:t>
            </w:r>
          </w:p>
        </w:tc>
        <w:tc>
          <w:tcPr>
            <w:tcW w:w="1335" w:type="dxa"/>
          </w:tcPr>
          <w:p w:rsidR="00E80103" w:rsidRDefault="00422613">
            <w:r>
              <w:t>1</w:t>
            </w:r>
          </w:p>
        </w:tc>
        <w:tc>
          <w:tcPr>
            <w:tcW w:w="8040" w:type="dxa"/>
            <w:gridSpan w:val="2"/>
          </w:tcPr>
          <w:p w:rsidR="00E80103" w:rsidRDefault="00422613">
            <w:r>
              <w:t xml:space="preserve">In relation to GBF Target 6, SDG Target 12.4 should be amended to reflect 2030. Furthermore, it is common for local and regional governments to be responsible for waste management and the operation and maintenance of waste systems. Therefore, it would be most useful to highlight the responsibility that cities play in this regard.   </w:t>
            </w:r>
          </w:p>
        </w:tc>
      </w:tr>
      <w:tr w:rsidR="00E80103">
        <w:trPr>
          <w:trHeight w:val="224"/>
        </w:trPr>
        <w:tc>
          <w:tcPr>
            <w:tcW w:w="795" w:type="dxa"/>
          </w:tcPr>
          <w:p w:rsidR="00E80103" w:rsidRDefault="00422613">
            <w:r>
              <w:t>8</w:t>
            </w:r>
          </w:p>
        </w:tc>
        <w:tc>
          <w:tcPr>
            <w:tcW w:w="1335" w:type="dxa"/>
          </w:tcPr>
          <w:p w:rsidR="00E80103" w:rsidRDefault="00422613">
            <w:r>
              <w:t>1</w:t>
            </w:r>
          </w:p>
        </w:tc>
        <w:tc>
          <w:tcPr>
            <w:tcW w:w="8040" w:type="dxa"/>
            <w:gridSpan w:val="2"/>
          </w:tcPr>
          <w:p w:rsidR="00E80103" w:rsidRDefault="00422613">
            <w:r>
              <w:t>In relation to GBF Target 8, SDG Target 14.4 should be amended to reflect 2030. Additionally, it may be useful to include recognition of the role that subnational governments may play in</w:t>
            </w:r>
            <w:r w:rsidR="001708E8">
              <w:t xml:space="preserve"> supporting</w:t>
            </w:r>
            <w:r>
              <w:t xml:space="preserve"> the effective regulation of harvesting and overfishing, as this requires a heavy degree of enforcement. </w:t>
            </w:r>
          </w:p>
        </w:tc>
      </w:tr>
      <w:tr w:rsidR="00E80103">
        <w:trPr>
          <w:trHeight w:val="224"/>
        </w:trPr>
        <w:tc>
          <w:tcPr>
            <w:tcW w:w="795" w:type="dxa"/>
          </w:tcPr>
          <w:p w:rsidR="00E80103" w:rsidRDefault="00422613">
            <w:r>
              <w:t>9</w:t>
            </w:r>
          </w:p>
        </w:tc>
        <w:tc>
          <w:tcPr>
            <w:tcW w:w="1335" w:type="dxa"/>
          </w:tcPr>
          <w:p w:rsidR="00E80103" w:rsidRDefault="00422613">
            <w:r>
              <w:t>1</w:t>
            </w:r>
          </w:p>
        </w:tc>
        <w:tc>
          <w:tcPr>
            <w:tcW w:w="8040" w:type="dxa"/>
            <w:gridSpan w:val="2"/>
          </w:tcPr>
          <w:p w:rsidR="00E80103" w:rsidRDefault="00422613">
            <w:r>
              <w:t xml:space="preserve">In relation to GBF Target 8, SDG Target 14.6 should be amended to reflect 2030. The prohibition and elimination of subsidies, while largely an administrative measure, </w:t>
            </w:r>
            <w:r w:rsidR="001708E8">
              <w:t>may</w:t>
            </w:r>
            <w:r>
              <w:t xml:space="preserve"> need to be monitored and enforced by local governments. This aspect should be captured in the wording of the revised target. </w:t>
            </w:r>
          </w:p>
        </w:tc>
      </w:tr>
      <w:tr w:rsidR="00E80103">
        <w:trPr>
          <w:trHeight w:val="224"/>
        </w:trPr>
        <w:tc>
          <w:tcPr>
            <w:tcW w:w="795" w:type="dxa"/>
          </w:tcPr>
          <w:p w:rsidR="00E80103" w:rsidRDefault="00422613">
            <w:r>
              <w:t>10</w:t>
            </w:r>
          </w:p>
        </w:tc>
        <w:tc>
          <w:tcPr>
            <w:tcW w:w="1335" w:type="dxa"/>
          </w:tcPr>
          <w:p w:rsidR="00E80103" w:rsidRDefault="00422613">
            <w:r>
              <w:t>1</w:t>
            </w:r>
          </w:p>
        </w:tc>
        <w:tc>
          <w:tcPr>
            <w:tcW w:w="8040" w:type="dxa"/>
            <w:gridSpan w:val="2"/>
          </w:tcPr>
          <w:p w:rsidR="00E80103" w:rsidRDefault="00422613">
            <w:r>
              <w:t xml:space="preserve">In relation to GBF Target 9, SDG Target 2.5 should be amended to reflect 2030, as well as including managed and diversified seed and plant banks at the </w:t>
            </w:r>
            <w:r>
              <w:rPr>
                <w:b/>
              </w:rPr>
              <w:t>local level</w:t>
            </w:r>
            <w:r>
              <w:t>.</w:t>
            </w:r>
          </w:p>
        </w:tc>
      </w:tr>
      <w:tr w:rsidR="00E80103">
        <w:trPr>
          <w:trHeight w:val="224"/>
        </w:trPr>
        <w:tc>
          <w:tcPr>
            <w:tcW w:w="795" w:type="dxa"/>
          </w:tcPr>
          <w:p w:rsidR="00E80103" w:rsidRDefault="00422613">
            <w:r>
              <w:t>12</w:t>
            </w:r>
          </w:p>
        </w:tc>
        <w:tc>
          <w:tcPr>
            <w:tcW w:w="1335" w:type="dxa"/>
          </w:tcPr>
          <w:p w:rsidR="00E80103" w:rsidRDefault="00422613">
            <w:r>
              <w:t>2</w:t>
            </w:r>
          </w:p>
        </w:tc>
        <w:tc>
          <w:tcPr>
            <w:tcW w:w="8040" w:type="dxa"/>
            <w:gridSpan w:val="2"/>
          </w:tcPr>
          <w:p w:rsidR="00E80103" w:rsidRDefault="00422613">
            <w:r>
              <w:t>In relation to GBF Target 11, SDG Target 11.b should be amended to reflect 2030</w:t>
            </w:r>
            <w:r w:rsidR="001708E8">
              <w:t>.</w:t>
            </w:r>
          </w:p>
        </w:tc>
      </w:tr>
      <w:tr w:rsidR="00E80103">
        <w:trPr>
          <w:trHeight w:val="224"/>
        </w:trPr>
        <w:tc>
          <w:tcPr>
            <w:tcW w:w="795" w:type="dxa"/>
          </w:tcPr>
          <w:p w:rsidR="00E80103" w:rsidRDefault="00422613">
            <w:r>
              <w:t>14</w:t>
            </w:r>
          </w:p>
        </w:tc>
        <w:tc>
          <w:tcPr>
            <w:tcW w:w="1335" w:type="dxa"/>
          </w:tcPr>
          <w:p w:rsidR="00E80103" w:rsidRDefault="00422613">
            <w:r>
              <w:t>1</w:t>
            </w:r>
          </w:p>
        </w:tc>
        <w:tc>
          <w:tcPr>
            <w:tcW w:w="8040" w:type="dxa"/>
            <w:gridSpan w:val="2"/>
          </w:tcPr>
          <w:p w:rsidR="00E80103" w:rsidRDefault="00422613">
            <w:r>
              <w:t xml:space="preserve">In relation to GBF Target 13, SDG Target 15.9 should be amended to reflect 2030. Additionally, the concept of nature-based solutions should be added alongside ecosystem and biodiversity values, as well as including </w:t>
            </w:r>
            <w:r w:rsidR="001874D3">
              <w:t xml:space="preserve">land use and spatial </w:t>
            </w:r>
            <w:r>
              <w:t>planning</w:t>
            </w:r>
            <w:r w:rsidR="001874D3">
              <w:t xml:space="preserve"> at local and landscape </w:t>
            </w:r>
            <w:proofErr w:type="gramStart"/>
            <w:r w:rsidR="001874D3">
              <w:t xml:space="preserve">levels </w:t>
            </w:r>
            <w:r>
              <w:t xml:space="preserve"> into</w:t>
            </w:r>
            <w:proofErr w:type="gramEnd"/>
            <w:r>
              <w:t xml:space="preserve"> this target, as many ecological systems do not adhere to administrative borders.  </w:t>
            </w:r>
          </w:p>
        </w:tc>
      </w:tr>
      <w:tr w:rsidR="00E80103">
        <w:trPr>
          <w:trHeight w:val="224"/>
        </w:trPr>
        <w:tc>
          <w:tcPr>
            <w:tcW w:w="795" w:type="dxa"/>
          </w:tcPr>
          <w:p w:rsidR="00E80103" w:rsidRDefault="00422613">
            <w:r>
              <w:t>20</w:t>
            </w:r>
          </w:p>
        </w:tc>
        <w:tc>
          <w:tcPr>
            <w:tcW w:w="1335" w:type="dxa"/>
          </w:tcPr>
          <w:p w:rsidR="00E80103" w:rsidRDefault="00422613">
            <w:r>
              <w:t>1</w:t>
            </w:r>
          </w:p>
        </w:tc>
        <w:tc>
          <w:tcPr>
            <w:tcW w:w="8040" w:type="dxa"/>
            <w:gridSpan w:val="2"/>
          </w:tcPr>
          <w:p w:rsidR="00E80103" w:rsidRDefault="00422613">
            <w:r>
              <w:t>In relation to GBF Target 18, SDG Target 17.18 should be amended to reflect 2030, as well as enhanced resource availability for under-resourced municipalities within developing countries. This aspect is crucial as it aids in ear-marking funding to flow directly to local governments</w:t>
            </w:r>
            <w:r w:rsidR="001874D3">
              <w:t xml:space="preserve"> where implementation and decision-making happens</w:t>
            </w:r>
            <w:bookmarkStart w:id="0" w:name="_GoBack"/>
            <w:bookmarkEnd w:id="0"/>
            <w:r>
              <w:t xml:space="preserve">, as opposed to solely national. </w:t>
            </w:r>
          </w:p>
        </w:tc>
      </w:tr>
    </w:tbl>
    <w:p w:rsidR="00E80103" w:rsidRDefault="00E80103">
      <w:pPr>
        <w:pBdr>
          <w:top w:val="nil"/>
          <w:left w:val="nil"/>
          <w:bottom w:val="nil"/>
          <w:right w:val="nil"/>
          <w:between w:val="nil"/>
        </w:pBdr>
        <w:jc w:val="center"/>
        <w:rPr>
          <w:b/>
          <w:color w:val="000000"/>
          <w:sz w:val="22"/>
          <w:szCs w:val="22"/>
          <w:u w:val="single"/>
        </w:rPr>
      </w:pPr>
    </w:p>
    <w:p w:rsidR="00E80103" w:rsidRDefault="00422613">
      <w:pPr>
        <w:tabs>
          <w:tab w:val="left" w:pos="5900"/>
        </w:tabs>
        <w:jc w:val="both"/>
        <w:rPr>
          <w:i/>
        </w:rPr>
      </w:pPr>
      <w:bookmarkStart w:id="1" w:name="_heading=h.gjdgxs" w:colFirst="0" w:colLast="0"/>
      <w:bookmarkEnd w:id="1"/>
      <w:r>
        <w:rPr>
          <w:i/>
          <w:sz w:val="22"/>
          <w:szCs w:val="22"/>
        </w:rPr>
        <w:t xml:space="preserve">Comments should be sent by e-mail to </w:t>
      </w:r>
      <w:hyperlink r:id="rId5">
        <w:r>
          <w:rPr>
            <w:i/>
            <w:color w:val="0000FF"/>
            <w:sz w:val="22"/>
            <w:szCs w:val="22"/>
            <w:u w:val="single"/>
          </w:rPr>
          <w:t>secretariat@cbd.int</w:t>
        </w:r>
      </w:hyperlink>
      <w:r>
        <w:rPr>
          <w:i/>
          <w:sz w:val="22"/>
          <w:szCs w:val="22"/>
        </w:rPr>
        <w:t xml:space="preserve"> by 25 July 2020</w:t>
      </w:r>
    </w:p>
    <w:p w:rsidR="00E80103" w:rsidRDefault="00E80103"/>
    <w:sectPr w:rsidR="00E80103">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103"/>
    <w:rsid w:val="001708E8"/>
    <w:rsid w:val="001874D3"/>
    <w:rsid w:val="002B1705"/>
    <w:rsid w:val="00422613"/>
    <w:rsid w:val="00BC78B1"/>
    <w:rsid w:val="00DF5D3A"/>
    <w:rsid w:val="00E80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070F"/>
  <w15:docId w15:val="{03EFD343-9A32-409B-95F1-740DA021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60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pPr>
    <w:rPr>
      <w:color w:val="000000"/>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ecretariat@cbd.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1YoHTJjiRRhfg/SEr5Oh5B633Q==">AMUW2mXqYON8/CRnxBTz7cakRhV/5V5HRPqnLROaxc1yYG8Cpv1aLNKmCzPPmUSU3koNsz8gxq+SRNWyVKKkhxkjTlc7JrX30FmlnqcZDtrl17hdbZ2IpUdszluJ9UytBuTOguURv7h2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Noonan Mooney</dc:creator>
  <cp:lastModifiedBy>Ingrid Coetzee</cp:lastModifiedBy>
  <cp:revision>2</cp:revision>
  <dcterms:created xsi:type="dcterms:W3CDTF">2020-07-24T15:33:00Z</dcterms:created>
  <dcterms:modified xsi:type="dcterms:W3CDTF">2020-07-24T15:33:00Z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0x0101003B8E5421389A9C45B9715F4635D04BA2</vt:lpwstr>
  </property>
</Properties>
</file>