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2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3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5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097791F8" w:rsidR="006D0214" w:rsidRPr="007861DC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6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3E75F44C" w14:textId="4E29EDBC" w:rsidR="007861DC" w:rsidRDefault="007861DC" w:rsidP="007861DC">
      <w:pPr>
        <w:pStyle w:val="ListParagraph"/>
        <w:jc w:val="both"/>
        <w:rPr>
          <w:iCs/>
        </w:rPr>
      </w:pPr>
    </w:p>
    <w:p w14:paraId="39114D3C" w14:textId="29F6EB3E" w:rsidR="007861DC" w:rsidRPr="008300A7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14:paraId="3992353E" w14:textId="77777777" w:rsidR="007861DC" w:rsidRPr="007861DC" w:rsidRDefault="007861DC" w:rsidP="007861DC">
      <w:pPr>
        <w:pStyle w:val="ListParagraph"/>
        <w:jc w:val="both"/>
        <w:rPr>
          <w:iCs/>
        </w:rPr>
      </w:pPr>
    </w:p>
    <w:p w14:paraId="18A6B862" w14:textId="77777777" w:rsidR="007861DC" w:rsidRPr="006D0214" w:rsidRDefault="007861DC" w:rsidP="007861DC">
      <w:pPr>
        <w:pStyle w:val="ListParagraph"/>
        <w:jc w:val="both"/>
        <w:rPr>
          <w:i/>
        </w:rPr>
      </w:pP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7"/>
          <w:footerReference w:type="default" r:id="rId18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2090"/>
        <w:gridCol w:w="1418"/>
        <w:gridCol w:w="1134"/>
        <w:gridCol w:w="1169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71721C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71721C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gram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proofErr w:type="gramEnd"/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66780" w:rsidRPr="004F7374" w14:paraId="54CF5896" w14:textId="77777777" w:rsidTr="0071721C">
        <w:trPr>
          <w:trHeight w:val="23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7C0B230" w14:textId="77777777" w:rsidR="00666780" w:rsidRPr="00666780" w:rsidRDefault="00666780" w:rsidP="00666780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B1. Nature’s regulating</w:t>
            </w:r>
          </w:p>
          <w:p w14:paraId="5680A9A9" w14:textId="77777777" w:rsidR="00666780" w:rsidRPr="00666780" w:rsidRDefault="00666780" w:rsidP="00666780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contributions including climate</w:t>
            </w:r>
          </w:p>
          <w:p w14:paraId="20F9AA83" w14:textId="77777777" w:rsidR="00666780" w:rsidRPr="00666780" w:rsidRDefault="00666780" w:rsidP="00666780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regulation, disaster prevention</w:t>
            </w:r>
          </w:p>
          <w:p w14:paraId="7F5AF4C0" w14:textId="250F2F92" w:rsidR="00666780" w:rsidRPr="00666780" w:rsidRDefault="00666780" w:rsidP="00666780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and other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F6C6B73" w14:textId="7976C599" w:rsidR="00666780" w:rsidRPr="00666780" w:rsidRDefault="00666780" w:rsidP="001D764F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Trends in regulation of air quality</w:t>
            </w:r>
          </w:p>
        </w:tc>
        <w:tc>
          <w:tcPr>
            <w:tcW w:w="2090" w:type="dxa"/>
            <w:shd w:val="clear" w:color="auto" w:fill="auto"/>
          </w:tcPr>
          <w:p w14:paraId="5D6304CD" w14:textId="0F158804" w:rsidR="00666780" w:rsidRPr="00666780" w:rsidRDefault="00666780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Air pollution emissions account</w:t>
            </w:r>
          </w:p>
        </w:tc>
        <w:tc>
          <w:tcPr>
            <w:tcW w:w="1418" w:type="dxa"/>
            <w:shd w:val="clear" w:color="auto" w:fill="auto"/>
          </w:tcPr>
          <w:p w14:paraId="3ABC0723" w14:textId="449BA346" w:rsidR="00666780" w:rsidRPr="00666780" w:rsidRDefault="00666780" w:rsidP="001D764F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134" w:type="dxa"/>
            <w:shd w:val="clear" w:color="auto" w:fill="auto"/>
          </w:tcPr>
          <w:p w14:paraId="5A6A9B4F" w14:textId="23DDC94C" w:rsidR="00666780" w:rsidRPr="00666780" w:rsidRDefault="005E5D3D" w:rsidP="001D764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169" w:type="dxa"/>
            <w:shd w:val="clear" w:color="auto" w:fill="auto"/>
          </w:tcPr>
          <w:p w14:paraId="46D51E7C" w14:textId="77777777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8FF4D64" w14:textId="5987E35B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7548E711" w14:textId="67FFC079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8D56D31" w14:textId="77777777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ECAA792" w14:textId="77777777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F8B83C6" w14:textId="77777777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664B26F5" w14:textId="77777777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C2271A6" w14:textId="1C290EC2" w:rsidR="00666780" w:rsidRPr="00666780" w:rsidRDefault="00CC7EE2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006ED5AF" w14:textId="77777777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7084F1A" w14:textId="77777777" w:rsidR="00666780" w:rsidRPr="00666780" w:rsidRDefault="00666780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F450C8" w:rsidRPr="004F7374" w14:paraId="0E47F87A" w14:textId="77777777" w:rsidTr="0071721C">
        <w:trPr>
          <w:trHeight w:val="236"/>
        </w:trPr>
        <w:tc>
          <w:tcPr>
            <w:tcW w:w="1781" w:type="dxa"/>
            <w:vMerge w:val="restart"/>
            <w:shd w:val="clear" w:color="auto" w:fill="FFE599" w:themeFill="accent4" w:themeFillTint="66"/>
            <w:vAlign w:val="center"/>
          </w:tcPr>
          <w:p w14:paraId="60FAEF77" w14:textId="77777777" w:rsidR="00F450C8" w:rsidRPr="00666780" w:rsidRDefault="00F450C8" w:rsidP="00F450C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B2. Nature’s material</w:t>
            </w:r>
          </w:p>
          <w:p w14:paraId="15C19B79" w14:textId="77777777" w:rsidR="00F450C8" w:rsidRPr="00666780" w:rsidRDefault="00F450C8" w:rsidP="00F450C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contributions including food,</w:t>
            </w:r>
          </w:p>
          <w:p w14:paraId="2EE6E05E" w14:textId="3F76325F" w:rsidR="00F450C8" w:rsidRPr="00666780" w:rsidRDefault="00F450C8" w:rsidP="00F450C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water and others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7CA3164" w14:textId="77777777" w:rsidR="00F450C8" w:rsidRPr="00F450C8" w:rsidRDefault="00F450C8" w:rsidP="00F450C8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</w:pPr>
            <w:r w:rsidRPr="00F450C8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Trends in the provision of energy supply</w:t>
            </w:r>
          </w:p>
          <w:p w14:paraId="6A3A3F5A" w14:textId="02D5B3F5" w:rsidR="00F450C8" w:rsidRPr="00666780" w:rsidRDefault="00F450C8" w:rsidP="00F450C8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</w:pPr>
            <w:r w:rsidRPr="00F450C8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from biological resources</w:t>
            </w:r>
          </w:p>
        </w:tc>
        <w:tc>
          <w:tcPr>
            <w:tcW w:w="2090" w:type="dxa"/>
            <w:shd w:val="clear" w:color="auto" w:fill="auto"/>
          </w:tcPr>
          <w:p w14:paraId="579D4B4B" w14:textId="3490CFCF" w:rsidR="00F450C8" w:rsidRPr="00666780" w:rsidRDefault="00F450C8" w:rsidP="00F450C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450C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Energy use and biofuel production</w:t>
            </w:r>
          </w:p>
        </w:tc>
        <w:tc>
          <w:tcPr>
            <w:tcW w:w="1418" w:type="dxa"/>
            <w:shd w:val="clear" w:color="auto" w:fill="auto"/>
          </w:tcPr>
          <w:p w14:paraId="485E4FCA" w14:textId="2DC5B1B6" w:rsidR="00F450C8" w:rsidRPr="00666780" w:rsidRDefault="00F450C8" w:rsidP="00F450C8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6667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134" w:type="dxa"/>
            <w:shd w:val="clear" w:color="auto" w:fill="auto"/>
          </w:tcPr>
          <w:p w14:paraId="6527E687" w14:textId="66EFC510" w:rsidR="00F450C8" w:rsidRDefault="005E5D3D" w:rsidP="00F450C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169" w:type="dxa"/>
            <w:shd w:val="clear" w:color="auto" w:fill="auto"/>
          </w:tcPr>
          <w:p w14:paraId="46C3A355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A5DC8FF" w14:textId="617B0250" w:rsidR="00F450C8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AF4C5A9" w14:textId="4D2A0E7F" w:rsidR="00F450C8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B4FDB3A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19A436B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61949BE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32EF11E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AE4BF5F" w14:textId="6E27E338" w:rsidR="00F450C8" w:rsidRPr="00666780" w:rsidRDefault="00CC7EE2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148E978D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58AF40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F450C8" w:rsidRPr="004F7374" w14:paraId="05BDEB88" w14:textId="77777777" w:rsidTr="0071721C">
        <w:trPr>
          <w:trHeight w:val="236"/>
        </w:trPr>
        <w:tc>
          <w:tcPr>
            <w:tcW w:w="178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A5F45AC" w14:textId="77777777" w:rsidR="00F450C8" w:rsidRPr="00666780" w:rsidRDefault="00F450C8" w:rsidP="00F450C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400A5EF" w14:textId="3B51B60F" w:rsidR="00F450C8" w:rsidRPr="00F450C8" w:rsidRDefault="00F450C8" w:rsidP="00F450C8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</w:pPr>
            <w:r w:rsidRPr="00F450C8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Trends in the provision of food and feed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450C8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from biodiversity</w:t>
            </w:r>
          </w:p>
        </w:tc>
        <w:tc>
          <w:tcPr>
            <w:tcW w:w="2090" w:type="dxa"/>
            <w:shd w:val="clear" w:color="auto" w:fill="auto"/>
          </w:tcPr>
          <w:p w14:paraId="67EAA27B" w14:textId="0E14C6FE" w:rsidR="00F450C8" w:rsidRPr="00F450C8" w:rsidRDefault="00F450C8" w:rsidP="00F450C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450C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Prevalence of moderate or severe food insecurity in the population, based on the Food Insecurity Experience Scale</w:t>
            </w:r>
          </w:p>
        </w:tc>
        <w:tc>
          <w:tcPr>
            <w:tcW w:w="1418" w:type="dxa"/>
            <w:shd w:val="clear" w:color="auto" w:fill="auto"/>
          </w:tcPr>
          <w:p w14:paraId="2F682EAA" w14:textId="241D81CB" w:rsidR="00F450C8" w:rsidRPr="00666780" w:rsidRDefault="00F450C8" w:rsidP="00F450C8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</w:tc>
        <w:tc>
          <w:tcPr>
            <w:tcW w:w="1134" w:type="dxa"/>
            <w:shd w:val="clear" w:color="auto" w:fill="auto"/>
          </w:tcPr>
          <w:p w14:paraId="4AD2EB67" w14:textId="081DA16B" w:rsidR="00F450C8" w:rsidRDefault="005E5D3D" w:rsidP="00F450C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169" w:type="dxa"/>
            <w:shd w:val="clear" w:color="auto" w:fill="auto"/>
          </w:tcPr>
          <w:p w14:paraId="189D9860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0EB5910" w14:textId="7FEFE712" w:rsidR="00F450C8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0FC4B1E0" w14:textId="4714B1A5" w:rsidR="00F450C8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7E8A9FB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03CDC03A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75433D6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4554626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670FC7E" w14:textId="2F18067F" w:rsidR="00F450C8" w:rsidRPr="00666780" w:rsidRDefault="009857A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07933BB4" w14:textId="77777777" w:rsidR="00F450C8" w:rsidRPr="00666780" w:rsidRDefault="00F450C8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6661845" w14:textId="7059650D" w:rsidR="00F450C8" w:rsidRPr="00666780" w:rsidRDefault="00C94001" w:rsidP="00F450C8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 xml:space="preserve">SDG </w:t>
            </w:r>
            <w:r w:rsidRPr="00C94001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2.1.2</w:t>
            </w:r>
          </w:p>
        </w:tc>
      </w:tr>
      <w:tr w:rsidR="00C94001" w:rsidRPr="004F7374" w14:paraId="54345ACB" w14:textId="77777777" w:rsidTr="0071721C">
        <w:trPr>
          <w:trHeight w:val="23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1068664" w14:textId="6B80F25B" w:rsidR="00C94001" w:rsidRPr="00666780" w:rsidRDefault="00C94001" w:rsidP="00C9400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C9400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C2. Sharing of the benefits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5E6C43" w14:textId="4CDE6B3F" w:rsidR="00C94001" w:rsidRPr="00F450C8" w:rsidRDefault="00C94001" w:rsidP="00C94001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</w:pPr>
            <w:r w:rsidRPr="00C9400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the benefits from the access to genetic resources shared</w:t>
            </w:r>
          </w:p>
        </w:tc>
        <w:tc>
          <w:tcPr>
            <w:tcW w:w="2090" w:type="dxa"/>
            <w:shd w:val="clear" w:color="auto" w:fill="auto"/>
          </w:tcPr>
          <w:p w14:paraId="5B6C408C" w14:textId="723C9937" w:rsidR="00C94001" w:rsidRPr="00F450C8" w:rsidRDefault="00C94001" w:rsidP="00C94001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C9400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Number of countries that have adopted legislative, administrative and policy frameworks to ensure fair and equitable sharing of benefits</w:t>
            </w:r>
          </w:p>
        </w:tc>
        <w:tc>
          <w:tcPr>
            <w:tcW w:w="1418" w:type="dxa"/>
            <w:shd w:val="clear" w:color="auto" w:fill="auto"/>
          </w:tcPr>
          <w:p w14:paraId="2B9D3F21" w14:textId="77777777" w:rsidR="00C94001" w:rsidRDefault="00C94001" w:rsidP="00C94001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CBD</w:t>
            </w:r>
          </w:p>
          <w:p w14:paraId="62F51E83" w14:textId="76E0A237" w:rsidR="00C94001" w:rsidRDefault="00C94001" w:rsidP="00C94001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</w:tc>
        <w:tc>
          <w:tcPr>
            <w:tcW w:w="1134" w:type="dxa"/>
            <w:shd w:val="clear" w:color="auto" w:fill="auto"/>
          </w:tcPr>
          <w:p w14:paraId="70A077C1" w14:textId="2E7270DF" w:rsidR="00C94001" w:rsidRDefault="00200F4E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169" w:type="dxa"/>
            <w:shd w:val="clear" w:color="auto" w:fill="auto"/>
          </w:tcPr>
          <w:p w14:paraId="571F2418" w14:textId="77777777" w:rsidR="00C94001" w:rsidRPr="00666780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0B885A8" w14:textId="77777777" w:rsidR="00C94001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1EC6F2D" w14:textId="77777777" w:rsidR="00C94001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671CF78" w14:textId="77777777" w:rsidR="00C94001" w:rsidRPr="00666780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5730D1F5" w14:textId="77777777" w:rsidR="00C94001" w:rsidRPr="00666780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6F39A05" w14:textId="77777777" w:rsidR="00C94001" w:rsidRPr="00666780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A686884" w14:textId="77777777" w:rsidR="00C94001" w:rsidRPr="00666780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27E5A5C" w14:textId="3CB2354D" w:rsidR="00C94001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C9400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645D3D0F" w14:textId="77777777" w:rsidR="00C94001" w:rsidRPr="00666780" w:rsidRDefault="00C94001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75C4706" w14:textId="77777777" w:rsidR="00C94001" w:rsidRDefault="00C94001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C9400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15.6.1</w:t>
            </w:r>
          </w:p>
          <w:p w14:paraId="0D6BADA1" w14:textId="18A498C3" w:rsidR="00156AC6" w:rsidRPr="00156AC6" w:rsidRDefault="00156AC6" w:rsidP="00156AC6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val="en-US"/>
              </w:rPr>
            </w:pPr>
            <w:r w:rsidRPr="00156AC6"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val="en-US"/>
              </w:rPr>
              <w:t xml:space="preserve">Custodian agency: </w:t>
            </w: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val="en-US"/>
              </w:rPr>
              <w:t>CBD</w:t>
            </w:r>
          </w:p>
          <w:p w14:paraId="76F0A372" w14:textId="77777777" w:rsidR="00156AC6" w:rsidRPr="00156AC6" w:rsidRDefault="00156AC6" w:rsidP="00156AC6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val="en-US"/>
              </w:rPr>
            </w:pPr>
          </w:p>
          <w:p w14:paraId="67FC46C8" w14:textId="3D35B3BF" w:rsidR="00156AC6" w:rsidRPr="00156AC6" w:rsidRDefault="00156AC6" w:rsidP="00156AC6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val="en-US"/>
              </w:rPr>
            </w:pPr>
            <w:r w:rsidRPr="00156AC6"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val="en-US"/>
              </w:rPr>
              <w:t>Contributing agency: FAO</w:t>
            </w:r>
          </w:p>
        </w:tc>
      </w:tr>
      <w:tr w:rsidR="00C94001" w:rsidRPr="004F7374" w14:paraId="7B68F049" w14:textId="77777777" w:rsidTr="0071721C">
        <w:trPr>
          <w:trHeight w:val="236"/>
        </w:trPr>
        <w:tc>
          <w:tcPr>
            <w:tcW w:w="1781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01256FF8" w14:textId="77777777" w:rsidR="00156AC6" w:rsidRPr="00CC7EE2" w:rsidRDefault="00156AC6" w:rsidP="00156AC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CC7EE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D2. Sufficient capacity building,</w:t>
            </w:r>
          </w:p>
          <w:p w14:paraId="14452E1A" w14:textId="77777777" w:rsidR="00156AC6" w:rsidRPr="00CC7EE2" w:rsidRDefault="00156AC6" w:rsidP="00156AC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CC7EE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technology transfer and</w:t>
            </w:r>
          </w:p>
          <w:p w14:paraId="6C9EF850" w14:textId="3D0646FB" w:rsidR="00C94001" w:rsidRDefault="00156AC6" w:rsidP="00156A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C7EE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scientific cooperation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28858073" w:rsidR="00C94001" w:rsidRDefault="00C94001" w:rsidP="00C940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56AC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technology transfer</w:t>
            </w:r>
          </w:p>
        </w:tc>
        <w:tc>
          <w:tcPr>
            <w:tcW w:w="2090" w:type="dxa"/>
            <w:shd w:val="clear" w:color="auto" w:fill="auto"/>
          </w:tcPr>
          <w:p w14:paraId="51F8B90B" w14:textId="7F526B14" w:rsidR="00C94001" w:rsidRPr="0071721C" w:rsidRDefault="00C94001" w:rsidP="0071721C">
            <w:pPr>
              <w:pStyle w:val="Default"/>
              <w:rPr>
                <w:sz w:val="18"/>
                <w:szCs w:val="18"/>
                <w:lang w:val="en-US"/>
              </w:rPr>
            </w:pPr>
            <w:r w:rsidRPr="00156AC6">
              <w:rPr>
                <w:i/>
                <w:iCs/>
                <w:sz w:val="18"/>
                <w:szCs w:val="18"/>
                <w:lang w:val="en-US"/>
              </w:rPr>
              <w:t xml:space="preserve">Total amount of approved funding for developing countries to promote the development, transfer, dissemination and diffusion of environmentally sound technologies </w:t>
            </w:r>
          </w:p>
        </w:tc>
        <w:tc>
          <w:tcPr>
            <w:tcW w:w="1418" w:type="dxa"/>
            <w:shd w:val="clear" w:color="auto" w:fill="auto"/>
          </w:tcPr>
          <w:p w14:paraId="19B4C8A3" w14:textId="77777777" w:rsidR="00C94001" w:rsidRDefault="00156AC6" w:rsidP="00156AC6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C6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UNEP</w:t>
            </w:r>
          </w:p>
          <w:p w14:paraId="4DDFCAA4" w14:textId="29EC7B48" w:rsidR="005E5D3D" w:rsidRDefault="005E5D3D" w:rsidP="00156AC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134" w:type="dxa"/>
            <w:shd w:val="clear" w:color="auto" w:fill="auto"/>
          </w:tcPr>
          <w:p w14:paraId="1D6DC1C8" w14:textId="149613E6" w:rsidR="00C94001" w:rsidRPr="005E5D3D" w:rsidRDefault="005E5D3D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69" w:type="dxa"/>
            <w:shd w:val="clear" w:color="auto" w:fill="auto"/>
          </w:tcPr>
          <w:p w14:paraId="16AFE515" w14:textId="77777777" w:rsidR="00C94001" w:rsidRPr="004F7374" w:rsidRDefault="00C94001" w:rsidP="00C940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07AE5CE6" w:rsidR="00C94001" w:rsidRPr="005E5D3D" w:rsidRDefault="00C94001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5D3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0D8CB51B" w14:textId="77777777" w:rsidR="00C94001" w:rsidRPr="005E5D3D" w:rsidRDefault="00C94001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3B8CDB75" w:rsidR="00C94001" w:rsidRPr="005E5D3D" w:rsidRDefault="005E5D3D" w:rsidP="00C94001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5E5D3D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SDG 17.7.1</w:t>
            </w:r>
          </w:p>
        </w:tc>
      </w:tr>
      <w:tr w:rsidR="00C94001" w:rsidRPr="004F7374" w14:paraId="2C8E0E11" w14:textId="77777777" w:rsidTr="0071721C">
        <w:trPr>
          <w:trHeight w:val="236"/>
        </w:trPr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14:paraId="3828B6CA" w14:textId="77777777" w:rsidR="00C94001" w:rsidRDefault="00C94001" w:rsidP="00C9400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0CF93E80" w14:textId="0705E9AF" w:rsidR="00C94001" w:rsidRPr="00200F4E" w:rsidRDefault="00C94001" w:rsidP="00C9400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00F4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scientific cooperation</w:t>
            </w:r>
          </w:p>
        </w:tc>
        <w:tc>
          <w:tcPr>
            <w:tcW w:w="2090" w:type="dxa"/>
            <w:shd w:val="clear" w:color="auto" w:fill="auto"/>
          </w:tcPr>
          <w:p w14:paraId="50DF632E" w14:textId="54B035D0" w:rsidR="00C94001" w:rsidRPr="00200F4E" w:rsidRDefault="00C94001" w:rsidP="00C94001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00F4E">
              <w:rPr>
                <w:i/>
                <w:iCs/>
                <w:sz w:val="18"/>
                <w:szCs w:val="18"/>
                <w:lang w:val="en-US"/>
              </w:rPr>
              <w:t>Dollar value of financial and technical assistance (including through north-South, South-South and triangular cooperation) committed to developing countries</w:t>
            </w:r>
          </w:p>
        </w:tc>
        <w:tc>
          <w:tcPr>
            <w:tcW w:w="1418" w:type="dxa"/>
            <w:shd w:val="clear" w:color="auto" w:fill="auto"/>
          </w:tcPr>
          <w:p w14:paraId="24ECBBC5" w14:textId="6F533EEE" w:rsidR="00C94001" w:rsidRPr="00916CF3" w:rsidRDefault="00200F4E" w:rsidP="00200F4E">
            <w:pPr>
              <w:pStyle w:val="Default"/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>
              <w:rPr>
                <w:rFonts w:eastAsia="Arial"/>
                <w:i/>
                <w:iCs/>
                <w:sz w:val="18"/>
                <w:szCs w:val="18"/>
              </w:rPr>
              <w:t>OECD</w:t>
            </w:r>
          </w:p>
        </w:tc>
        <w:tc>
          <w:tcPr>
            <w:tcW w:w="1134" w:type="dxa"/>
            <w:shd w:val="clear" w:color="auto" w:fill="auto"/>
          </w:tcPr>
          <w:p w14:paraId="28EC492A" w14:textId="5E826541" w:rsidR="00C94001" w:rsidRDefault="00200F4E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9" w:type="dxa"/>
            <w:shd w:val="clear" w:color="auto" w:fill="auto"/>
          </w:tcPr>
          <w:p w14:paraId="0BBF8682" w14:textId="77777777" w:rsidR="00C94001" w:rsidRPr="004F7374" w:rsidRDefault="00C94001" w:rsidP="00C940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D97F02F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8E61570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DD145C7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06E9FD6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EF6A598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773B6B51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D90FDFC" w14:textId="4513A92B" w:rsidR="00C94001" w:rsidRPr="00916CF3" w:rsidRDefault="00C94001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highlight w:val="green"/>
              </w:rPr>
            </w:pPr>
            <w:r w:rsidRPr="00200F4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7E6C7440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1B4B4F0" w14:textId="427D32A0" w:rsidR="00C94001" w:rsidRPr="004F7374" w:rsidRDefault="00200F4E" w:rsidP="00C940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5E5D3D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SDG 17.</w:t>
            </w: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9</w:t>
            </w:r>
            <w:r w:rsidRPr="005E5D3D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.1</w:t>
            </w:r>
          </w:p>
        </w:tc>
      </w:tr>
      <w:tr w:rsidR="00C94001" w:rsidRPr="004F7374" w14:paraId="4ACEA2F4" w14:textId="77777777" w:rsidTr="0071721C">
        <w:trPr>
          <w:trHeight w:val="236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92FC2D7" w14:textId="56FCFFB9" w:rsidR="00C94001" w:rsidRPr="00CC7EE2" w:rsidRDefault="00C94001" w:rsidP="00C94001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CC7EE2">
              <w:rPr>
                <w:i/>
                <w:iCs/>
                <w:sz w:val="18"/>
                <w:szCs w:val="18"/>
                <w:lang w:val="en-US"/>
              </w:rPr>
              <w:t>D2. Sufficient capacity building, technology transfer and scientific cooperation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85260CA" w14:textId="311C36D1" w:rsidR="00C94001" w:rsidRPr="00CC7EE2" w:rsidRDefault="00C94001" w:rsidP="00C9400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CC7EE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scientific cooperation</w:t>
            </w:r>
          </w:p>
        </w:tc>
        <w:tc>
          <w:tcPr>
            <w:tcW w:w="2090" w:type="dxa"/>
            <w:shd w:val="clear" w:color="auto" w:fill="auto"/>
          </w:tcPr>
          <w:p w14:paraId="5B57DF14" w14:textId="59B27B99" w:rsidR="00C94001" w:rsidRPr="00CC7EE2" w:rsidRDefault="00C94001" w:rsidP="00C94001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CC7EE2">
              <w:rPr>
                <w:i/>
                <w:iCs/>
                <w:sz w:val="18"/>
                <w:szCs w:val="18"/>
                <w:lang w:val="en-US"/>
              </w:rPr>
              <w:t>Number of countries with mechanisms in place to enhance policy coherence of sustainable development (SDG indicator 17.14)</w:t>
            </w:r>
          </w:p>
        </w:tc>
        <w:tc>
          <w:tcPr>
            <w:tcW w:w="1418" w:type="dxa"/>
            <w:shd w:val="clear" w:color="auto" w:fill="auto"/>
          </w:tcPr>
          <w:p w14:paraId="1BEDDE5D" w14:textId="77777777" w:rsidR="00CC7EE2" w:rsidRDefault="00CC7EE2" w:rsidP="00CC7EE2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C6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UNEP</w:t>
            </w:r>
          </w:p>
          <w:p w14:paraId="5515D6DC" w14:textId="5CCC127B" w:rsidR="00C94001" w:rsidRDefault="00C94001" w:rsidP="00C94001">
            <w:pPr>
              <w:pStyle w:val="Default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1E09289" w14:textId="423B725D" w:rsidR="00C94001" w:rsidRPr="00127B20" w:rsidRDefault="00CC7EE2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69" w:type="dxa"/>
            <w:shd w:val="clear" w:color="auto" w:fill="auto"/>
          </w:tcPr>
          <w:p w14:paraId="5F6258BA" w14:textId="77777777" w:rsidR="00C94001" w:rsidRPr="004F7374" w:rsidRDefault="00C94001" w:rsidP="00C940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AF2B1EF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BA0F9EA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9A0428C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425EC11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DDE4800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37D23B6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2CFAC65" w14:textId="421EB0A1" w:rsidR="00C94001" w:rsidRDefault="00C94001" w:rsidP="00C9400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highlight w:val="green"/>
              </w:rPr>
            </w:pPr>
            <w:r w:rsidRPr="00CC7EE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24159023" w14:textId="77777777" w:rsidR="00C94001" w:rsidRDefault="00C94001" w:rsidP="00C94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47427D" w14:textId="15168640" w:rsidR="00C94001" w:rsidRPr="004F7374" w:rsidRDefault="00CC7EE2" w:rsidP="00C9400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5E5D3D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SDG 17.</w:t>
            </w: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14</w:t>
            </w:r>
          </w:p>
        </w:tc>
      </w:tr>
      <w:bookmarkEnd w:id="1"/>
    </w:tbl>
    <w:p w14:paraId="52C75AC9" w14:textId="3A35F143" w:rsidR="00DF1B98" w:rsidRDefault="00DF1B98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14537E67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6224F2C8" w14:textId="77777777" w:rsidR="0071721C" w:rsidRDefault="0071721C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2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3A07D8" w:rsidRPr="004F7374" w14:paraId="34A5B795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405B6BDD" w14:textId="05214AFE" w:rsidR="003A07D8" w:rsidRPr="003A07D8" w:rsidRDefault="003A07D8" w:rsidP="00FD031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A07D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T1.2. Prevention of reduction and fragmentation of natural habitats due to land/sea use change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E45C7FE" w14:textId="48954820" w:rsidR="003A07D8" w:rsidRPr="003A07D8" w:rsidRDefault="003A07D8" w:rsidP="003A07D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A07D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extent and rate of change of other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A07D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marine and coastal ecosystems</w:t>
            </w:r>
          </w:p>
        </w:tc>
        <w:tc>
          <w:tcPr>
            <w:tcW w:w="1787" w:type="dxa"/>
            <w:shd w:val="clear" w:color="auto" w:fill="auto"/>
          </w:tcPr>
          <w:p w14:paraId="2616126C" w14:textId="21600AEE" w:rsidR="003A07D8" w:rsidRPr="005D6764" w:rsidRDefault="003A07D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highlight w:val="green"/>
              </w:rPr>
            </w:pPr>
            <w:r w:rsidRPr="003A07D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Number of countries using ecosystem-based approaches to manage marine areas</w:t>
            </w:r>
          </w:p>
        </w:tc>
        <w:tc>
          <w:tcPr>
            <w:tcW w:w="1489" w:type="dxa"/>
            <w:shd w:val="clear" w:color="auto" w:fill="auto"/>
          </w:tcPr>
          <w:p w14:paraId="37CD8716" w14:textId="110BF8EE" w:rsidR="003A07D8" w:rsidRPr="005D6764" w:rsidRDefault="003A07D8" w:rsidP="003A07D8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highlight w:val="green"/>
              </w:rPr>
            </w:pPr>
            <w:r w:rsidRPr="003A07D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UNEP</w:t>
            </w:r>
          </w:p>
        </w:tc>
        <w:tc>
          <w:tcPr>
            <w:tcW w:w="1194" w:type="dxa"/>
            <w:shd w:val="clear" w:color="auto" w:fill="auto"/>
          </w:tcPr>
          <w:p w14:paraId="62C42644" w14:textId="135978C9" w:rsidR="003A07D8" w:rsidRPr="00815CD8" w:rsidRDefault="003A07D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highlight w:val="green"/>
              </w:rPr>
            </w:pPr>
            <w:r w:rsidRPr="003A07D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19FCDF4A" w14:textId="77777777" w:rsidR="003A07D8" w:rsidRPr="007D6F80" w:rsidRDefault="003A07D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50ED288" w14:textId="77777777" w:rsidR="003A07D8" w:rsidRPr="007D6F80" w:rsidRDefault="003A07D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74AF6B2B" w14:textId="77777777" w:rsidR="003A07D8" w:rsidRPr="007D6F80" w:rsidRDefault="003A07D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8AF4091" w14:textId="77777777" w:rsidR="003A07D8" w:rsidRPr="00815CD8" w:rsidRDefault="003A07D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640" w:type="dxa"/>
            <w:shd w:val="clear" w:color="auto" w:fill="auto"/>
          </w:tcPr>
          <w:p w14:paraId="464CBC8A" w14:textId="77777777" w:rsidR="003A07D8" w:rsidRPr="007D6F80" w:rsidRDefault="003A07D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8E9C703" w14:textId="77777777" w:rsidR="003A07D8" w:rsidRPr="007D6F80" w:rsidRDefault="003A07D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B847F81" w14:textId="77777777" w:rsidR="003A07D8" w:rsidRPr="007D6F80" w:rsidRDefault="003A07D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51C414A" w14:textId="6A7B84F1" w:rsidR="003A07D8" w:rsidRPr="007D6F80" w:rsidRDefault="003A07D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5801B462" w14:textId="77777777" w:rsidR="003A07D8" w:rsidRPr="007D6F80" w:rsidRDefault="003A07D8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720139" w14:textId="5FA16804" w:rsidR="003A07D8" w:rsidRPr="00292092" w:rsidRDefault="003A07D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SDG 14.2.1</w:t>
            </w: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63F23673" w:rsidR="00B346BD" w:rsidRPr="006A5D93" w:rsidRDefault="005C34B8" w:rsidP="005C34B8">
            <w:pPr>
              <w:pStyle w:val="Default"/>
              <w:rPr>
                <w:rFonts w:eastAsia="Arial"/>
                <w:sz w:val="18"/>
                <w:szCs w:val="18"/>
                <w:lang w:val="en-US"/>
              </w:rPr>
            </w:pPr>
            <w:r w:rsidRPr="006A5D93">
              <w:rPr>
                <w:i/>
                <w:iCs/>
                <w:sz w:val="18"/>
                <w:szCs w:val="18"/>
                <w:lang w:val="en-US"/>
              </w:rPr>
              <w:t xml:space="preserve">T6.2. Reduction of pollution from biocides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AD321F2" w14:textId="77777777" w:rsidR="005C34B8" w:rsidRPr="006A5D93" w:rsidRDefault="005C34B8" w:rsidP="005C34B8">
            <w:pPr>
              <w:pStyle w:val="Default"/>
              <w:rPr>
                <w:sz w:val="18"/>
                <w:szCs w:val="18"/>
                <w:lang w:val="en-US"/>
              </w:rPr>
            </w:pPr>
            <w:r w:rsidRPr="006A5D93">
              <w:rPr>
                <w:i/>
                <w:iCs/>
                <w:sz w:val="18"/>
                <w:szCs w:val="18"/>
                <w:lang w:val="en-US"/>
              </w:rPr>
              <w:t xml:space="preserve">Trends in levels of pollution from excess pesticides </w:t>
            </w:r>
          </w:p>
          <w:p w14:paraId="39B7204B" w14:textId="77777777" w:rsidR="00B346BD" w:rsidRPr="006A5D93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70AE5EE" w14:textId="77777777" w:rsidR="005C34B8" w:rsidRPr="006A5D93" w:rsidRDefault="005C34B8" w:rsidP="005C34B8">
            <w:pPr>
              <w:pStyle w:val="Default"/>
              <w:rPr>
                <w:sz w:val="18"/>
                <w:szCs w:val="18"/>
                <w:lang w:val="en-US"/>
              </w:rPr>
            </w:pPr>
            <w:r w:rsidRPr="006A5D93">
              <w:rPr>
                <w:i/>
                <w:iCs/>
                <w:sz w:val="18"/>
                <w:szCs w:val="18"/>
                <w:lang w:val="en-US"/>
              </w:rPr>
              <w:t xml:space="preserve">Amount of pesticide use per hectare </w:t>
            </w:r>
          </w:p>
          <w:p w14:paraId="415EBAE8" w14:textId="77777777" w:rsidR="00B346BD" w:rsidRPr="006A5D93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A77CC45" w14:textId="77777777" w:rsidR="00B346BD" w:rsidRDefault="006A5D93" w:rsidP="006A5D93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  <w:p w14:paraId="6A353211" w14:textId="29F88DFA" w:rsidR="006A5D93" w:rsidRPr="005C34B8" w:rsidRDefault="006A5D93" w:rsidP="006A5D93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194" w:type="dxa"/>
            <w:shd w:val="clear" w:color="auto" w:fill="auto"/>
          </w:tcPr>
          <w:p w14:paraId="15CEA393" w14:textId="0178A3B3" w:rsidR="00B346BD" w:rsidRPr="005C34B8" w:rsidRDefault="005C34B8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A5D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3F6B7FD8" w:rsidR="00B346BD" w:rsidRPr="006A5D93" w:rsidRDefault="006A5D93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A5D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7C4D527D" w14:textId="77777777" w:rsidR="00B346BD" w:rsidRDefault="00B346BD" w:rsidP="006A5D93">
            <w:pPr>
              <w:pStyle w:val="Default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262B54" w:rsidRPr="004F7374" w14:paraId="5B023030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9B8E18" w14:textId="48138AA3" w:rsidR="00262B54" w:rsidRPr="006A5D93" w:rsidRDefault="00262B54" w:rsidP="00262B54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T10.1. Regulation of air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62B54">
              <w:rPr>
                <w:i/>
                <w:iCs/>
                <w:sz w:val="18"/>
                <w:szCs w:val="18"/>
                <w:lang w:val="en-US"/>
              </w:rPr>
              <w:t>quality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FA7143F" w14:textId="3BC472D3" w:rsidR="00262B54" w:rsidRPr="00262B54" w:rsidRDefault="00262B54" w:rsidP="005C34B8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Trends in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62B54">
              <w:rPr>
                <w:i/>
                <w:iCs/>
                <w:sz w:val="18"/>
                <w:szCs w:val="18"/>
                <w:lang w:val="en-US"/>
              </w:rPr>
              <w:t>ecosystems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62B54">
              <w:rPr>
                <w:i/>
                <w:iCs/>
                <w:sz w:val="18"/>
                <w:szCs w:val="18"/>
                <w:lang w:val="en-US"/>
              </w:rPr>
              <w:t>contributing to air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62B54">
              <w:rPr>
                <w:i/>
                <w:iCs/>
                <w:sz w:val="18"/>
                <w:szCs w:val="18"/>
                <w:lang w:val="en-US"/>
              </w:rPr>
              <w:t>quality</w:t>
            </w:r>
          </w:p>
        </w:tc>
        <w:tc>
          <w:tcPr>
            <w:tcW w:w="1787" w:type="dxa"/>
            <w:shd w:val="clear" w:color="auto" w:fill="auto"/>
          </w:tcPr>
          <w:p w14:paraId="07C09373" w14:textId="27ADA661" w:rsidR="00262B54" w:rsidRPr="006A5D93" w:rsidRDefault="00262B54" w:rsidP="005C34B8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Air pollution emissions accounts</w:t>
            </w:r>
          </w:p>
        </w:tc>
        <w:tc>
          <w:tcPr>
            <w:tcW w:w="1489" w:type="dxa"/>
            <w:shd w:val="clear" w:color="auto" w:fill="auto"/>
          </w:tcPr>
          <w:p w14:paraId="01E55F19" w14:textId="3B1B4426" w:rsidR="00262B54" w:rsidRDefault="00262B54" w:rsidP="006A5D93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194" w:type="dxa"/>
            <w:shd w:val="clear" w:color="auto" w:fill="auto"/>
          </w:tcPr>
          <w:p w14:paraId="577DFE06" w14:textId="20123861" w:rsidR="00262B54" w:rsidRPr="006A5D93" w:rsidRDefault="00262B54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17871203" w14:textId="77777777" w:rsidR="00262B54" w:rsidRPr="004F7374" w:rsidRDefault="00262B5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CAC1CD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04799E9B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8C65E93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D270511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CFA4AF2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91A03CE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461099CD" w14:textId="76099B28" w:rsidR="00262B54" w:rsidRPr="006A5D93" w:rsidRDefault="00262B54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05E92E82" w14:textId="77777777" w:rsidR="00262B54" w:rsidRPr="00262B54" w:rsidRDefault="00262B54" w:rsidP="006A5D93">
            <w:pPr>
              <w:pStyle w:val="Default"/>
              <w:jc w:val="center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14:paraId="5DA9ED51" w14:textId="77777777" w:rsidR="00262B54" w:rsidRPr="004F7374" w:rsidRDefault="00262B5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262B54" w:rsidRPr="004F7374" w14:paraId="3A44B63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F51596E" w14:textId="77777777" w:rsidR="00262B54" w:rsidRPr="00262B54" w:rsidRDefault="00262B54" w:rsidP="00262B54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T11.2. Contributions of</w:t>
            </w:r>
          </w:p>
          <w:p w14:paraId="5EE0A64D" w14:textId="77777777" w:rsidR="00262B54" w:rsidRPr="00262B54" w:rsidRDefault="00262B54" w:rsidP="00262B54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biodiversity to human health</w:t>
            </w:r>
          </w:p>
          <w:p w14:paraId="0D3657B3" w14:textId="6B58D3E7" w:rsidR="00262B54" w:rsidRPr="00262B54" w:rsidRDefault="00262B54" w:rsidP="00262B54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and well-being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952EE93" w14:textId="77777777" w:rsidR="00262B54" w:rsidRPr="00262B54" w:rsidRDefault="00262B54" w:rsidP="00262B54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Trends in contributions to human health and</w:t>
            </w:r>
          </w:p>
          <w:p w14:paraId="78CF19EF" w14:textId="6D9753F1" w:rsidR="00262B54" w:rsidRPr="00262B54" w:rsidRDefault="00262B54" w:rsidP="00262B54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well-being from forest ecosystems</w:t>
            </w:r>
          </w:p>
        </w:tc>
        <w:tc>
          <w:tcPr>
            <w:tcW w:w="1787" w:type="dxa"/>
            <w:shd w:val="clear" w:color="auto" w:fill="auto"/>
          </w:tcPr>
          <w:p w14:paraId="3C22D099" w14:textId="7B23F6E5" w:rsidR="00262B54" w:rsidRPr="00262B54" w:rsidRDefault="00262B54" w:rsidP="005C34B8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262B54">
              <w:rPr>
                <w:i/>
                <w:iCs/>
                <w:sz w:val="18"/>
                <w:szCs w:val="18"/>
                <w:lang w:val="en-US"/>
              </w:rPr>
              <w:t>Average share of the built-up area of cities that is open space for public use for all, by sex, age and persons with disabilities</w:t>
            </w:r>
          </w:p>
        </w:tc>
        <w:tc>
          <w:tcPr>
            <w:tcW w:w="1489" w:type="dxa"/>
            <w:shd w:val="clear" w:color="auto" w:fill="auto"/>
          </w:tcPr>
          <w:p w14:paraId="1EA95147" w14:textId="3740D216" w:rsidR="00262B54" w:rsidRDefault="00262B54" w:rsidP="006A5D93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62B54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UN-HABITAT</w:t>
            </w:r>
          </w:p>
        </w:tc>
        <w:tc>
          <w:tcPr>
            <w:tcW w:w="1194" w:type="dxa"/>
            <w:shd w:val="clear" w:color="auto" w:fill="auto"/>
          </w:tcPr>
          <w:p w14:paraId="609FE682" w14:textId="4CC87274" w:rsidR="00262B54" w:rsidRDefault="00262B54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15B01A2" w14:textId="77777777" w:rsidR="00262B54" w:rsidRPr="004F7374" w:rsidRDefault="00262B5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B5AA015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EBC25C2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3018567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C67990F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D67A9B8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CE6C672" w14:textId="77777777" w:rsidR="00262B54" w:rsidRDefault="00262B5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C57CBA5" w14:textId="40DBAB86" w:rsidR="00262B54" w:rsidRDefault="00262B54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3F2C56AD" w14:textId="77777777" w:rsidR="00262B54" w:rsidRPr="00262B54" w:rsidRDefault="00262B54" w:rsidP="006A5D93">
            <w:pPr>
              <w:pStyle w:val="Default"/>
              <w:jc w:val="center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14:paraId="23060D9B" w14:textId="2FC24974" w:rsidR="00262B54" w:rsidRPr="004F7374" w:rsidRDefault="00262B5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SDG 14.7.1</w:t>
            </w:r>
          </w:p>
        </w:tc>
      </w:tr>
      <w:tr w:rsidR="00364212" w:rsidRPr="004F7374" w14:paraId="1037614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212DCE0" w14:textId="50559C47" w:rsidR="00364212" w:rsidRPr="00262B54" w:rsidRDefault="00364212" w:rsidP="00364212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364212">
              <w:rPr>
                <w:i/>
                <w:iCs/>
                <w:sz w:val="18"/>
                <w:szCs w:val="18"/>
                <w:lang w:val="en-US"/>
              </w:rPr>
              <w:t>T18.4. Implementation of the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64212">
              <w:rPr>
                <w:i/>
                <w:iCs/>
                <w:sz w:val="18"/>
                <w:szCs w:val="18"/>
                <w:lang w:val="en-US"/>
              </w:rPr>
              <w:t>strategy for capacity -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64212">
              <w:rPr>
                <w:i/>
                <w:iCs/>
                <w:sz w:val="18"/>
                <w:szCs w:val="18"/>
                <w:lang w:val="en-US"/>
              </w:rPr>
              <w:t>building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8B06BAC" w14:textId="75225E71" w:rsidR="00364212" w:rsidRPr="00364212" w:rsidRDefault="00364212" w:rsidP="00262B54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364212">
              <w:rPr>
                <w:i/>
                <w:iCs/>
                <w:sz w:val="18"/>
                <w:szCs w:val="18"/>
                <w:lang w:val="en-US"/>
              </w:rPr>
              <w:t>Trends in support to capacity building</w:t>
            </w:r>
          </w:p>
        </w:tc>
        <w:tc>
          <w:tcPr>
            <w:tcW w:w="1787" w:type="dxa"/>
            <w:shd w:val="clear" w:color="auto" w:fill="auto"/>
          </w:tcPr>
          <w:p w14:paraId="731F6758" w14:textId="3443E9F9" w:rsidR="00364212" w:rsidRPr="00364212" w:rsidRDefault="00364212" w:rsidP="005C34B8">
            <w:pPr>
              <w:pStyle w:val="Default"/>
              <w:rPr>
                <w:i/>
                <w:iCs/>
                <w:sz w:val="18"/>
                <w:szCs w:val="18"/>
                <w:lang w:val="en-US"/>
              </w:rPr>
            </w:pPr>
            <w:r w:rsidRPr="00364212">
              <w:rPr>
                <w:i/>
                <w:iCs/>
                <w:sz w:val="18"/>
                <w:szCs w:val="18"/>
                <w:lang w:val="en-US"/>
              </w:rPr>
              <w:t>Dollar value of all resources made available to strength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en </w:t>
            </w:r>
            <w:r w:rsidRPr="00364212">
              <w:rPr>
                <w:i/>
                <w:iCs/>
                <w:sz w:val="18"/>
                <w:szCs w:val="18"/>
                <w:lang w:val="en-US"/>
              </w:rPr>
              <w:t>statistical capacity in developing countries</w:t>
            </w:r>
          </w:p>
        </w:tc>
        <w:tc>
          <w:tcPr>
            <w:tcW w:w="1489" w:type="dxa"/>
            <w:shd w:val="clear" w:color="auto" w:fill="auto"/>
          </w:tcPr>
          <w:p w14:paraId="3EBE6665" w14:textId="77777777" w:rsidR="00364212" w:rsidRDefault="00364212" w:rsidP="006A5D93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PARIS21</w:t>
            </w:r>
          </w:p>
          <w:p w14:paraId="16CC8E36" w14:textId="755D42DA" w:rsidR="00364212" w:rsidRPr="00262B54" w:rsidRDefault="00364212" w:rsidP="006A5D93">
            <w:pPr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194" w:type="dxa"/>
            <w:shd w:val="clear" w:color="auto" w:fill="auto"/>
          </w:tcPr>
          <w:p w14:paraId="40786F2E" w14:textId="764A018B" w:rsidR="00364212" w:rsidRDefault="00364212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74E0F13" w14:textId="77777777" w:rsidR="00364212" w:rsidRPr="004F7374" w:rsidRDefault="00364212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8A5442A" w14:textId="77777777" w:rsidR="00364212" w:rsidRDefault="00364212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734C731" w14:textId="77777777" w:rsidR="00364212" w:rsidRDefault="00364212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ECA64A9" w14:textId="77777777" w:rsidR="00364212" w:rsidRDefault="00364212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5849AA3" w14:textId="77777777" w:rsidR="00364212" w:rsidRDefault="00364212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B2D20C7" w14:textId="77777777" w:rsidR="00364212" w:rsidRDefault="00364212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D4F49A9" w14:textId="77777777" w:rsidR="00364212" w:rsidRDefault="00364212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5C9AA4A" w14:textId="2C73C75B" w:rsidR="00364212" w:rsidRDefault="00364212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</w:tcPr>
          <w:p w14:paraId="5496C72D" w14:textId="77777777" w:rsidR="00364212" w:rsidRPr="00262B54" w:rsidRDefault="00364212" w:rsidP="006A5D93">
            <w:pPr>
              <w:pStyle w:val="Default"/>
              <w:jc w:val="center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</w:tcPr>
          <w:p w14:paraId="3763F193" w14:textId="09A5F97E" w:rsidR="00364212" w:rsidRDefault="00364212" w:rsidP="00B346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SDG 17.19.1</w:t>
            </w:r>
          </w:p>
        </w:tc>
      </w:tr>
    </w:tbl>
    <w:p w14:paraId="6E95A3EB" w14:textId="694E4727" w:rsidR="007861DC" w:rsidRPr="00085C87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sectPr w:rsidR="007861DC" w:rsidRPr="00085C87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A9FE" w14:textId="77777777" w:rsidR="00397D2C" w:rsidRDefault="00397D2C" w:rsidP="00371075">
      <w:pPr>
        <w:spacing w:after="0" w:line="240" w:lineRule="auto"/>
      </w:pPr>
      <w:r>
        <w:separator/>
      </w:r>
    </w:p>
  </w:endnote>
  <w:endnote w:type="continuationSeparator" w:id="0">
    <w:p w14:paraId="43403D7B" w14:textId="77777777" w:rsidR="00397D2C" w:rsidRDefault="00397D2C" w:rsidP="00371075">
      <w:pPr>
        <w:spacing w:after="0" w:line="240" w:lineRule="auto"/>
      </w:pPr>
      <w:r>
        <w:continuationSeparator/>
      </w:r>
    </w:p>
  </w:endnote>
  <w:endnote w:type="continuationNotice" w:id="1">
    <w:p w14:paraId="59D1BA64" w14:textId="77777777" w:rsidR="00397D2C" w:rsidRDefault="00397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58878" w14:textId="77777777" w:rsidR="00397D2C" w:rsidRDefault="00397D2C" w:rsidP="00371075">
      <w:pPr>
        <w:spacing w:after="0" w:line="240" w:lineRule="auto"/>
      </w:pPr>
      <w:r>
        <w:separator/>
      </w:r>
    </w:p>
  </w:footnote>
  <w:footnote w:type="continuationSeparator" w:id="0">
    <w:p w14:paraId="0A4C0DFF" w14:textId="77777777" w:rsidR="00397D2C" w:rsidRDefault="00397D2C" w:rsidP="00371075">
      <w:pPr>
        <w:spacing w:after="0" w:line="240" w:lineRule="auto"/>
      </w:pPr>
      <w:r>
        <w:continuationSeparator/>
      </w:r>
    </w:p>
  </w:footnote>
  <w:footnote w:type="continuationNotice" w:id="1">
    <w:p w14:paraId="7CA37E49" w14:textId="77777777" w:rsidR="00397D2C" w:rsidRDefault="00397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5C87"/>
    <w:rsid w:val="0008731A"/>
    <w:rsid w:val="00090F15"/>
    <w:rsid w:val="00091F5B"/>
    <w:rsid w:val="000935CF"/>
    <w:rsid w:val="00094A3E"/>
    <w:rsid w:val="0009648F"/>
    <w:rsid w:val="000A073C"/>
    <w:rsid w:val="000A0901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32DB"/>
    <w:rsid w:val="000D624A"/>
    <w:rsid w:val="000D63B2"/>
    <w:rsid w:val="000D65ED"/>
    <w:rsid w:val="000D7041"/>
    <w:rsid w:val="000D754C"/>
    <w:rsid w:val="000D7785"/>
    <w:rsid w:val="000E1396"/>
    <w:rsid w:val="000E1790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1464"/>
    <w:rsid w:val="0012453B"/>
    <w:rsid w:val="001246BA"/>
    <w:rsid w:val="00124C1E"/>
    <w:rsid w:val="00124F8E"/>
    <w:rsid w:val="001269C5"/>
    <w:rsid w:val="00127B20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AC6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B7887"/>
    <w:rsid w:val="001C121B"/>
    <w:rsid w:val="001C237E"/>
    <w:rsid w:val="001C6C76"/>
    <w:rsid w:val="001C74FB"/>
    <w:rsid w:val="001D268A"/>
    <w:rsid w:val="001D2990"/>
    <w:rsid w:val="001D3F1F"/>
    <w:rsid w:val="001D5495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0F4E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47625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2B54"/>
    <w:rsid w:val="0026308D"/>
    <w:rsid w:val="002632F6"/>
    <w:rsid w:val="00270815"/>
    <w:rsid w:val="0027223E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5BFF"/>
    <w:rsid w:val="002B64E0"/>
    <w:rsid w:val="002B6873"/>
    <w:rsid w:val="002B7D9A"/>
    <w:rsid w:val="002C0A95"/>
    <w:rsid w:val="002C115E"/>
    <w:rsid w:val="002C1174"/>
    <w:rsid w:val="002C4BF1"/>
    <w:rsid w:val="002C56D7"/>
    <w:rsid w:val="002C587D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3E00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212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97D2C"/>
    <w:rsid w:val="003A04E1"/>
    <w:rsid w:val="003A07D8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224C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17F8A"/>
    <w:rsid w:val="0052157D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5511"/>
    <w:rsid w:val="005A69F1"/>
    <w:rsid w:val="005B26C3"/>
    <w:rsid w:val="005B2C0F"/>
    <w:rsid w:val="005B2DEF"/>
    <w:rsid w:val="005C1111"/>
    <w:rsid w:val="005C34B8"/>
    <w:rsid w:val="005C6341"/>
    <w:rsid w:val="005C7F7D"/>
    <w:rsid w:val="005D19E6"/>
    <w:rsid w:val="005D256F"/>
    <w:rsid w:val="005D2994"/>
    <w:rsid w:val="005D4214"/>
    <w:rsid w:val="005D6764"/>
    <w:rsid w:val="005D686B"/>
    <w:rsid w:val="005E1940"/>
    <w:rsid w:val="005E2435"/>
    <w:rsid w:val="005E2993"/>
    <w:rsid w:val="005E2F80"/>
    <w:rsid w:val="005E3001"/>
    <w:rsid w:val="005E3798"/>
    <w:rsid w:val="005E402D"/>
    <w:rsid w:val="005E5D3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373FE"/>
    <w:rsid w:val="00642604"/>
    <w:rsid w:val="006437FF"/>
    <w:rsid w:val="00644045"/>
    <w:rsid w:val="00645727"/>
    <w:rsid w:val="00645F95"/>
    <w:rsid w:val="00647633"/>
    <w:rsid w:val="006522A3"/>
    <w:rsid w:val="00653AF9"/>
    <w:rsid w:val="00653D66"/>
    <w:rsid w:val="006568E8"/>
    <w:rsid w:val="00657826"/>
    <w:rsid w:val="0066052B"/>
    <w:rsid w:val="0066148B"/>
    <w:rsid w:val="00661CAC"/>
    <w:rsid w:val="00662DA1"/>
    <w:rsid w:val="00663377"/>
    <w:rsid w:val="00664763"/>
    <w:rsid w:val="00666780"/>
    <w:rsid w:val="00667212"/>
    <w:rsid w:val="006673CA"/>
    <w:rsid w:val="00670C49"/>
    <w:rsid w:val="0067702D"/>
    <w:rsid w:val="00677D60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5D93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1C3"/>
    <w:rsid w:val="007159EF"/>
    <w:rsid w:val="007168A3"/>
    <w:rsid w:val="00716967"/>
    <w:rsid w:val="0071721C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B5E"/>
    <w:rsid w:val="007D5CC7"/>
    <w:rsid w:val="007D6F80"/>
    <w:rsid w:val="007F2904"/>
    <w:rsid w:val="007F2C37"/>
    <w:rsid w:val="007F5BD7"/>
    <w:rsid w:val="007F7230"/>
    <w:rsid w:val="00800588"/>
    <w:rsid w:val="008012D0"/>
    <w:rsid w:val="00802835"/>
    <w:rsid w:val="00802E2D"/>
    <w:rsid w:val="00804771"/>
    <w:rsid w:val="00805000"/>
    <w:rsid w:val="0080744C"/>
    <w:rsid w:val="0081005A"/>
    <w:rsid w:val="00812CF1"/>
    <w:rsid w:val="00815CD8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3AED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25F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6CF3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0B34"/>
    <w:rsid w:val="009841C7"/>
    <w:rsid w:val="009852BD"/>
    <w:rsid w:val="009857A8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0EBD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146"/>
    <w:rsid w:val="00A94D39"/>
    <w:rsid w:val="00A97F65"/>
    <w:rsid w:val="00AA05C7"/>
    <w:rsid w:val="00AA35FF"/>
    <w:rsid w:val="00AB15EA"/>
    <w:rsid w:val="00AB3EF0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779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26D47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66AB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7D1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16C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3E2E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94001"/>
    <w:rsid w:val="00C94F7D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C7EE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0D52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1B98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5B90"/>
    <w:rsid w:val="00E5634F"/>
    <w:rsid w:val="00E56683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0C8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68A9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E59CB"/>
    <w:rsid w:val="00FF2D9C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4D1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Default">
    <w:name w:val="Default"/>
    <w:rsid w:val="000A0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Default">
    <w:name w:val="Default"/>
    <w:rsid w:val="000A0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www.cbd.int/sbstta/sbstta-24/post2020-monitoring-en.pdf" TargetMode="External"/><Relationship Id="rId21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hyperlink" Target="https://www.cbd.int/sbstta/sbstta-24/post2020-monitoring-en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cbd.int/sbstta/sbstta-24/post2020-monitoring-en.pdf" TargetMode="External"/><Relationship Id="rId13" Type="http://schemas.openxmlformats.org/officeDocument/2006/relationships/hyperlink" Target="https://www.cbd.int/sbstta/sbstta-24/post2020-monitoring-en.pdf" TargetMode="External"/><Relationship Id="rId14" Type="http://schemas.openxmlformats.org/officeDocument/2006/relationships/hyperlink" Target="https://www.cbd.int/sbstta/sbstta-24/post2020-monitoring-en.pdf" TargetMode="External"/><Relationship Id="rId15" Type="http://schemas.openxmlformats.org/officeDocument/2006/relationships/hyperlink" Target="https://www.cbd.int/sbstta/sbstta-24/post2020-monitoring-en.pdf" TargetMode="External"/><Relationship Id="rId16" Type="http://schemas.openxmlformats.org/officeDocument/2006/relationships/hyperlink" Target="mailto:secretariat@cbd.in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A1504-DB06-9B47-8AEF-F3472C5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7794</Characters>
  <Application>Microsoft Macintosh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lu L</cp:lastModifiedBy>
  <cp:revision>2</cp:revision>
  <dcterms:created xsi:type="dcterms:W3CDTF">2020-08-10T15:56:00Z</dcterms:created>
  <dcterms:modified xsi:type="dcterms:W3CDTF">2020-08-10T15:56:00Z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