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35B91" w14:textId="6A3A0EA5" w:rsidR="00A31AA9" w:rsidRPr="00515F18" w:rsidRDefault="00A31AA9" w:rsidP="00515F18">
      <w:pPr>
        <w:spacing w:after="120" w:line="240" w:lineRule="auto"/>
        <w:rPr>
          <w:rFonts w:cstheme="minorHAnsi"/>
        </w:rPr>
      </w:pPr>
    </w:p>
    <w:p w14:paraId="7D5C62DD" w14:textId="72186B70" w:rsidR="002B4A59" w:rsidRPr="00515F18" w:rsidRDefault="00E058C6" w:rsidP="00515F18">
      <w:pPr>
        <w:spacing w:after="120" w:line="240" w:lineRule="auto"/>
        <w:jc w:val="center"/>
        <w:rPr>
          <w:rFonts w:cstheme="minorHAnsi"/>
          <w:b/>
          <w:bCs/>
        </w:rPr>
      </w:pPr>
      <w:r w:rsidRPr="00515F18">
        <w:rPr>
          <w:rFonts w:cstheme="minorHAnsi"/>
          <w:b/>
          <w:bCs/>
        </w:rPr>
        <w:t>Review Comment Template for the document on i</w:t>
      </w:r>
      <w:r w:rsidR="00C45007" w:rsidRPr="00515F18">
        <w:rPr>
          <w:rFonts w:cstheme="minorHAnsi"/>
          <w:b/>
          <w:bCs/>
        </w:rPr>
        <w:t xml:space="preserve">ndicators for the </w:t>
      </w:r>
      <w:r w:rsidR="00CE226C" w:rsidRPr="00515F18">
        <w:rPr>
          <w:rFonts w:cstheme="minorHAnsi"/>
          <w:b/>
          <w:bCs/>
        </w:rPr>
        <w:t xml:space="preserve">draft </w:t>
      </w:r>
      <w:r w:rsidR="398F6C2E" w:rsidRPr="00515F18">
        <w:rPr>
          <w:rFonts w:cstheme="minorHAnsi"/>
          <w:b/>
          <w:bCs/>
        </w:rPr>
        <w:t xml:space="preserve">goals and </w:t>
      </w:r>
      <w:r w:rsidR="00CE226C" w:rsidRPr="00515F18">
        <w:rPr>
          <w:rFonts w:cstheme="minorHAnsi"/>
          <w:b/>
          <w:bCs/>
        </w:rPr>
        <w:t xml:space="preserve">targets of the </w:t>
      </w:r>
      <w:r w:rsidR="725E5524" w:rsidRPr="00515F18">
        <w:rPr>
          <w:rFonts w:cstheme="minorHAnsi"/>
          <w:b/>
          <w:bCs/>
        </w:rPr>
        <w:t>p</w:t>
      </w:r>
      <w:r w:rsidR="00C45007" w:rsidRPr="00515F18">
        <w:rPr>
          <w:rFonts w:cstheme="minorHAnsi"/>
          <w:b/>
          <w:bCs/>
        </w:rPr>
        <w:t>ost-2020 global biodiversity framework</w:t>
      </w:r>
    </w:p>
    <w:p w14:paraId="4216ACFC" w14:textId="6801109E" w:rsidR="00C45007" w:rsidRPr="00515F18" w:rsidRDefault="00C45007" w:rsidP="00515F18">
      <w:pPr>
        <w:spacing w:after="120" w:line="240" w:lineRule="auto"/>
        <w:rPr>
          <w:rFonts w:cstheme="minorHAnsi"/>
          <w:b/>
          <w:bCs/>
        </w:rPr>
      </w:pPr>
    </w:p>
    <w:p w14:paraId="331D1700" w14:textId="48C23EEF" w:rsidR="00A71D34" w:rsidRPr="00515F18" w:rsidRDefault="002020EE" w:rsidP="00515F18">
      <w:pPr>
        <w:spacing w:after="120" w:line="240" w:lineRule="auto"/>
        <w:rPr>
          <w:rFonts w:cstheme="minorHAnsi"/>
        </w:rPr>
      </w:pPr>
      <w:r w:rsidRPr="00515F18">
        <w:rPr>
          <w:rFonts w:cstheme="minorHAnsi"/>
        </w:rPr>
        <w:t>Parties and stakeholders</w:t>
      </w:r>
      <w:r w:rsidR="00C45007" w:rsidRPr="00515F18">
        <w:rPr>
          <w:rFonts w:cstheme="minorHAnsi"/>
        </w:rPr>
        <w:t xml:space="preserve"> are invited to make </w:t>
      </w:r>
      <w:r w:rsidRPr="00515F18">
        <w:rPr>
          <w:rFonts w:cstheme="minorHAnsi"/>
        </w:rPr>
        <w:t xml:space="preserve">suggestions </w:t>
      </w:r>
      <w:r w:rsidR="00C45007" w:rsidRPr="00515F18">
        <w:rPr>
          <w:rFonts w:cstheme="minorHAnsi"/>
        </w:rPr>
        <w:t xml:space="preserve">of </w:t>
      </w:r>
      <w:r w:rsidR="00F44095" w:rsidRPr="00515F18">
        <w:rPr>
          <w:rFonts w:cstheme="minorHAnsi"/>
        </w:rPr>
        <w:t>indicators</w:t>
      </w:r>
      <w:r w:rsidR="7C0CD5A3" w:rsidRPr="00515F18">
        <w:rPr>
          <w:rFonts w:cstheme="minorHAnsi"/>
        </w:rPr>
        <w:t xml:space="preserve"> (</w:t>
      </w:r>
      <w:r w:rsidR="2ABE030D" w:rsidRPr="00515F18">
        <w:rPr>
          <w:rFonts w:cstheme="minorHAnsi"/>
        </w:rPr>
        <w:t xml:space="preserve">currently </w:t>
      </w:r>
      <w:r w:rsidR="7C0CD5A3" w:rsidRPr="00515F18">
        <w:rPr>
          <w:rFonts w:cstheme="minorHAnsi"/>
        </w:rPr>
        <w:t>available or under development)</w:t>
      </w:r>
      <w:r w:rsidR="00F44095" w:rsidRPr="00515F18">
        <w:rPr>
          <w:rFonts w:cstheme="minorHAnsi"/>
        </w:rPr>
        <w:t xml:space="preserve"> t</w:t>
      </w:r>
      <w:r w:rsidR="006A4B1D" w:rsidRPr="00515F18">
        <w:rPr>
          <w:rFonts w:cstheme="minorHAnsi"/>
        </w:rPr>
        <w:t xml:space="preserve">hat may be used to </w:t>
      </w:r>
      <w:r w:rsidR="00173DD9" w:rsidRPr="00515F18">
        <w:rPr>
          <w:rFonts w:cstheme="minorHAnsi"/>
        </w:rPr>
        <w:t>measure progress towards</w:t>
      </w:r>
      <w:r w:rsidR="00C007D0" w:rsidRPr="00515F18">
        <w:rPr>
          <w:rFonts w:cstheme="minorHAnsi"/>
        </w:rPr>
        <w:t xml:space="preserve"> the post-2020 framework</w:t>
      </w:r>
      <w:r w:rsidR="00C45007" w:rsidRPr="00515F18">
        <w:rPr>
          <w:rFonts w:cstheme="minorHAnsi"/>
        </w:rPr>
        <w:t xml:space="preserve">. </w:t>
      </w:r>
      <w:r w:rsidR="001F0812" w:rsidRPr="00515F18">
        <w:rPr>
          <w:rFonts w:cstheme="minorHAnsi"/>
        </w:rPr>
        <w:t>The draft</w:t>
      </w:r>
      <w:r w:rsidR="4967D3D8" w:rsidRPr="00515F18">
        <w:rPr>
          <w:rFonts w:cstheme="minorHAnsi"/>
        </w:rPr>
        <w:t xml:space="preserve"> components and</w:t>
      </w:r>
      <w:r w:rsidR="001F0812" w:rsidRPr="00515F18">
        <w:rPr>
          <w:rFonts w:cstheme="minorHAnsi"/>
        </w:rPr>
        <w:t xml:space="preserve"> elements of the monitoring framework for the post-2020 global biodiversity framework are based on updated </w:t>
      </w:r>
      <w:r w:rsidR="56A86137" w:rsidRPr="00515F18">
        <w:rPr>
          <w:rFonts w:cstheme="minorHAnsi"/>
        </w:rPr>
        <w:t xml:space="preserve">draft </w:t>
      </w:r>
      <w:r w:rsidR="001F0812" w:rsidRPr="00515F18">
        <w:rPr>
          <w:rFonts w:cstheme="minorHAnsi"/>
        </w:rPr>
        <w:t xml:space="preserve">goals and targets, as was requested by the second meeting of the OEWG, and presented in document </w:t>
      </w:r>
      <w:hyperlink r:id="rId11" w:history="1">
        <w:r w:rsidR="00A13D99" w:rsidRPr="00515F18">
          <w:rPr>
            <w:rStyle w:val="Hyperlink"/>
            <w:rFonts w:cstheme="minorHAnsi"/>
          </w:rPr>
          <w:t>https://www.cbd.int/sbstta/sbstta-24/post2020-monitoring-en.pdf</w:t>
        </w:r>
      </w:hyperlink>
      <w:r w:rsidR="001F0812" w:rsidRPr="00515F18">
        <w:rPr>
          <w:rFonts w:cstheme="minorHAnsi"/>
        </w:rPr>
        <w:t xml:space="preserve">. </w:t>
      </w:r>
    </w:p>
    <w:p w14:paraId="3BF5EB01" w14:textId="03015997" w:rsidR="4209DCDD" w:rsidRPr="00515F18" w:rsidRDefault="616397F5" w:rsidP="00515F18">
      <w:pPr>
        <w:spacing w:after="120" w:line="240" w:lineRule="auto"/>
        <w:rPr>
          <w:rFonts w:eastAsia="Arial" w:cstheme="minorHAnsi"/>
          <w:color w:val="000000" w:themeColor="text1"/>
        </w:rPr>
      </w:pPr>
      <w:r w:rsidRPr="00515F18">
        <w:rPr>
          <w:rFonts w:eastAsia="Arial" w:cstheme="minorHAnsi"/>
          <w:color w:val="000000" w:themeColor="text1"/>
        </w:rPr>
        <w:t>Please note: t</w:t>
      </w:r>
      <w:r w:rsidR="4209DCDD" w:rsidRPr="00515F18">
        <w:rPr>
          <w:rFonts w:eastAsia="Arial" w:cstheme="minorHAnsi"/>
          <w:color w:val="000000" w:themeColor="text1"/>
        </w:rPr>
        <w:t>here are two tables in th</w:t>
      </w:r>
      <w:r w:rsidR="1D34F20A" w:rsidRPr="00515F18">
        <w:rPr>
          <w:rFonts w:eastAsia="Arial" w:cstheme="minorHAnsi"/>
          <w:color w:val="000000" w:themeColor="text1"/>
        </w:rPr>
        <w:t>i</w:t>
      </w:r>
      <w:r w:rsidR="4209DCDD" w:rsidRPr="00515F18">
        <w:rPr>
          <w:rFonts w:eastAsia="Arial" w:cstheme="minorHAnsi"/>
          <w:color w:val="000000" w:themeColor="text1"/>
        </w:rPr>
        <w:t xml:space="preserve">s document, one for suggestions </w:t>
      </w:r>
      <w:r w:rsidR="7B8CB64C" w:rsidRPr="00515F18">
        <w:rPr>
          <w:rFonts w:eastAsia="Arial" w:cstheme="minorHAnsi"/>
          <w:color w:val="000000" w:themeColor="text1"/>
        </w:rPr>
        <w:t>for indicators for</w:t>
      </w:r>
      <w:r w:rsidR="4209DCDD" w:rsidRPr="00515F18">
        <w:rPr>
          <w:rFonts w:eastAsia="Arial" w:cstheme="minorHAnsi"/>
          <w:color w:val="000000" w:themeColor="text1"/>
        </w:rPr>
        <w:t xml:space="preserve"> the draft</w:t>
      </w:r>
      <w:r w:rsidR="42E66373" w:rsidRPr="00515F18">
        <w:rPr>
          <w:rFonts w:eastAsia="Arial" w:cstheme="minorHAnsi"/>
          <w:color w:val="000000" w:themeColor="text1"/>
        </w:rPr>
        <w:t xml:space="preserve"> </w:t>
      </w:r>
      <w:r w:rsidR="00884A53" w:rsidRPr="00515F18">
        <w:rPr>
          <w:rFonts w:eastAsia="Arial" w:cstheme="minorHAnsi"/>
          <w:color w:val="000000" w:themeColor="text1"/>
        </w:rPr>
        <w:t xml:space="preserve">monitoring </w:t>
      </w:r>
      <w:r w:rsidR="42E66373" w:rsidRPr="00515F18">
        <w:rPr>
          <w:rFonts w:eastAsia="Arial" w:cstheme="minorHAnsi"/>
          <w:color w:val="000000" w:themeColor="text1"/>
        </w:rPr>
        <w:t>elements of</w:t>
      </w:r>
      <w:r w:rsidR="4209DCDD" w:rsidRPr="00515F18">
        <w:rPr>
          <w:rFonts w:eastAsia="Arial" w:cstheme="minorHAnsi"/>
          <w:color w:val="000000" w:themeColor="text1"/>
        </w:rPr>
        <w:t xml:space="preserve"> </w:t>
      </w:r>
      <w:r w:rsidR="724308D8" w:rsidRPr="00515F18">
        <w:rPr>
          <w:rFonts w:eastAsia="Arial" w:cstheme="minorHAnsi"/>
          <w:color w:val="000000" w:themeColor="text1"/>
          <w:u w:val="single"/>
        </w:rPr>
        <w:t>goals</w:t>
      </w:r>
      <w:r w:rsidR="7C11CAD0" w:rsidRPr="00515F18">
        <w:rPr>
          <w:rFonts w:eastAsia="Arial" w:cstheme="minorHAnsi"/>
          <w:color w:val="000000" w:themeColor="text1"/>
        </w:rPr>
        <w:t>,</w:t>
      </w:r>
      <w:r w:rsidR="724308D8" w:rsidRPr="00515F18">
        <w:rPr>
          <w:rFonts w:eastAsia="Arial" w:cstheme="minorHAnsi"/>
          <w:color w:val="000000" w:themeColor="text1"/>
        </w:rPr>
        <w:t xml:space="preserve"> </w:t>
      </w:r>
      <w:r w:rsidR="4209DCDD" w:rsidRPr="00515F18">
        <w:rPr>
          <w:rFonts w:eastAsia="Arial" w:cstheme="minorHAnsi"/>
          <w:color w:val="000000" w:themeColor="text1"/>
        </w:rPr>
        <w:t xml:space="preserve">and </w:t>
      </w:r>
      <w:r w:rsidR="1C866B82" w:rsidRPr="00515F18">
        <w:rPr>
          <w:rFonts w:eastAsia="Arial" w:cstheme="minorHAnsi"/>
          <w:color w:val="000000" w:themeColor="text1"/>
        </w:rPr>
        <w:t xml:space="preserve">another table </w:t>
      </w:r>
      <w:r w:rsidR="4209DCDD" w:rsidRPr="00515F18">
        <w:rPr>
          <w:rFonts w:eastAsia="Arial" w:cstheme="minorHAnsi"/>
          <w:color w:val="000000" w:themeColor="text1"/>
        </w:rPr>
        <w:t>for</w:t>
      </w:r>
      <w:r w:rsidR="003A04E1" w:rsidRPr="00515F18">
        <w:rPr>
          <w:rFonts w:eastAsia="Arial" w:cstheme="minorHAnsi"/>
          <w:color w:val="000000" w:themeColor="text1"/>
        </w:rPr>
        <w:t xml:space="preserve"> </w:t>
      </w:r>
      <w:r w:rsidR="30548604" w:rsidRPr="00515F18">
        <w:rPr>
          <w:rFonts w:eastAsia="Arial" w:cstheme="minorHAnsi"/>
          <w:color w:val="000000" w:themeColor="text1"/>
        </w:rPr>
        <w:t xml:space="preserve">indicators for </w:t>
      </w:r>
      <w:r w:rsidR="4209DCDD" w:rsidRPr="00515F18">
        <w:rPr>
          <w:rFonts w:eastAsia="Arial" w:cstheme="minorHAnsi"/>
          <w:color w:val="000000" w:themeColor="text1"/>
        </w:rPr>
        <w:t xml:space="preserve">the </w:t>
      </w:r>
      <w:r w:rsidR="2ABED588" w:rsidRPr="00515F18">
        <w:rPr>
          <w:rFonts w:eastAsia="Arial" w:cstheme="minorHAnsi"/>
          <w:color w:val="000000" w:themeColor="text1"/>
        </w:rPr>
        <w:t>draft</w:t>
      </w:r>
      <w:r w:rsidR="218F0558" w:rsidRPr="00515F18">
        <w:rPr>
          <w:rFonts w:eastAsia="Arial" w:cstheme="minorHAnsi"/>
          <w:color w:val="000000" w:themeColor="text1"/>
        </w:rPr>
        <w:t xml:space="preserve"> monitoring elements of </w:t>
      </w:r>
      <w:r w:rsidR="2ABED588" w:rsidRPr="00515F18">
        <w:rPr>
          <w:rFonts w:eastAsia="Arial" w:cstheme="minorHAnsi"/>
          <w:color w:val="000000" w:themeColor="text1"/>
          <w:u w:val="single"/>
        </w:rPr>
        <w:t>targets</w:t>
      </w:r>
      <w:r w:rsidR="2ABED588" w:rsidRPr="00515F18">
        <w:rPr>
          <w:rFonts w:eastAsia="Arial" w:cstheme="minorHAnsi"/>
          <w:color w:val="000000" w:themeColor="text1"/>
        </w:rPr>
        <w:t xml:space="preserve"> </w:t>
      </w:r>
    </w:p>
    <w:p w14:paraId="3A3F2301" w14:textId="77777777" w:rsidR="000A073C" w:rsidRPr="00515F18" w:rsidRDefault="000A073C" w:rsidP="00515F18">
      <w:pPr>
        <w:spacing w:after="120" w:line="240" w:lineRule="auto"/>
        <w:jc w:val="center"/>
        <w:rPr>
          <w:rFonts w:cstheme="minorHAnsi"/>
        </w:rPr>
      </w:pPr>
    </w:p>
    <w:p w14:paraId="232EBA80" w14:textId="5759CB6F" w:rsidR="000A073C" w:rsidRPr="00515F18" w:rsidRDefault="000A073C" w:rsidP="00515F18">
      <w:pPr>
        <w:spacing w:after="120" w:line="240" w:lineRule="auto"/>
        <w:rPr>
          <w:rFonts w:cstheme="minorHAnsi"/>
          <w:b/>
          <w:bCs/>
        </w:rPr>
      </w:pPr>
      <w:r w:rsidRPr="00515F18">
        <w:rPr>
          <w:rFonts w:cstheme="minorHAnsi"/>
          <w:b/>
          <w:bCs/>
        </w:rPr>
        <w:t xml:space="preserve">Instructions for </w:t>
      </w:r>
      <w:r w:rsidR="11723042" w:rsidRPr="00515F18">
        <w:rPr>
          <w:rFonts w:cstheme="minorHAnsi"/>
          <w:b/>
          <w:bCs/>
        </w:rPr>
        <w:t xml:space="preserve">providing input on indicators and </w:t>
      </w:r>
      <w:r w:rsidRPr="00515F18">
        <w:rPr>
          <w:rFonts w:cstheme="minorHAnsi"/>
          <w:b/>
          <w:bCs/>
        </w:rPr>
        <w:t xml:space="preserve">completion of </w:t>
      </w:r>
      <w:r w:rsidR="3F6964F8" w:rsidRPr="00515F18">
        <w:rPr>
          <w:rFonts w:cstheme="minorHAnsi"/>
          <w:b/>
          <w:bCs/>
        </w:rPr>
        <w:t>indicator</w:t>
      </w:r>
      <w:r w:rsidRPr="00515F18">
        <w:rPr>
          <w:rFonts w:cstheme="minorHAnsi"/>
          <w:b/>
          <w:bCs/>
        </w:rPr>
        <w:t xml:space="preserve"> tables</w:t>
      </w:r>
      <w:r w:rsidR="300D661C" w:rsidRPr="00515F18">
        <w:rPr>
          <w:rFonts w:cstheme="minorHAnsi"/>
          <w:b/>
          <w:bCs/>
        </w:rPr>
        <w:t xml:space="preserve"> (for goals and targets)</w:t>
      </w:r>
      <w:r w:rsidRPr="00515F18">
        <w:rPr>
          <w:rFonts w:cstheme="minorHAnsi"/>
          <w:b/>
          <w:bCs/>
        </w:rPr>
        <w:t>:</w:t>
      </w:r>
    </w:p>
    <w:p w14:paraId="158939CE" w14:textId="4C7B5CD1" w:rsidR="008300A7" w:rsidRPr="00515F18" w:rsidRDefault="008300A7" w:rsidP="00515F18">
      <w:pPr>
        <w:spacing w:after="120" w:line="240" w:lineRule="auto"/>
        <w:rPr>
          <w:rFonts w:cstheme="minorHAnsi"/>
          <w:b/>
          <w:bCs/>
          <w:color w:val="FF0000"/>
        </w:rPr>
      </w:pPr>
    </w:p>
    <w:p w14:paraId="799D7F3E" w14:textId="482D15CA" w:rsidR="00912847" w:rsidRPr="00515F18" w:rsidRDefault="00912847" w:rsidP="00515F18">
      <w:pPr>
        <w:pStyle w:val="ListParagraph"/>
        <w:numPr>
          <w:ilvl w:val="0"/>
          <w:numId w:val="14"/>
        </w:numPr>
        <w:spacing w:after="120" w:line="240" w:lineRule="auto"/>
        <w:ind w:left="0"/>
        <w:rPr>
          <w:rFonts w:cstheme="minorHAnsi"/>
        </w:rPr>
      </w:pPr>
      <w:r w:rsidRPr="00515F18">
        <w:rPr>
          <w:rFonts w:cstheme="minorHAnsi"/>
        </w:rPr>
        <w:t xml:space="preserve">Please </w:t>
      </w:r>
      <w:r w:rsidR="009B3665" w:rsidRPr="00515F18">
        <w:rPr>
          <w:rFonts w:cstheme="minorHAnsi"/>
        </w:rPr>
        <w:t xml:space="preserve">do not </w:t>
      </w:r>
      <w:r w:rsidRPr="00515F18">
        <w:rPr>
          <w:rFonts w:cstheme="minorHAnsi"/>
        </w:rPr>
        <w:t xml:space="preserve">add columns to </w:t>
      </w:r>
      <w:r w:rsidR="009B3665" w:rsidRPr="00515F18">
        <w:rPr>
          <w:rFonts w:cstheme="minorHAnsi"/>
        </w:rPr>
        <w:t>the</w:t>
      </w:r>
      <w:r w:rsidRPr="00515F18">
        <w:rPr>
          <w:rFonts w:cstheme="minorHAnsi"/>
        </w:rPr>
        <w:t xml:space="preserve"> table</w:t>
      </w:r>
      <w:r w:rsidR="0037414D" w:rsidRPr="00515F18">
        <w:rPr>
          <w:rFonts w:cstheme="minorHAnsi"/>
        </w:rPr>
        <w:t>s</w:t>
      </w:r>
      <w:r w:rsidR="009B3665" w:rsidRPr="00515F18">
        <w:rPr>
          <w:rFonts w:cstheme="minorHAnsi"/>
        </w:rPr>
        <w:t xml:space="preserve"> below</w:t>
      </w:r>
    </w:p>
    <w:p w14:paraId="1ABE10E7" w14:textId="26731377" w:rsidR="00912847" w:rsidRPr="00515F18" w:rsidRDefault="00EB6D54" w:rsidP="00515F18">
      <w:pPr>
        <w:pStyle w:val="ListParagraph"/>
        <w:numPr>
          <w:ilvl w:val="0"/>
          <w:numId w:val="14"/>
        </w:numPr>
        <w:spacing w:after="120" w:line="240" w:lineRule="auto"/>
        <w:ind w:left="0"/>
        <w:rPr>
          <w:rFonts w:cstheme="minorHAnsi"/>
        </w:rPr>
      </w:pPr>
      <w:r w:rsidRPr="00515F18">
        <w:rPr>
          <w:rFonts w:cstheme="minorHAnsi"/>
        </w:rPr>
        <w:t>Please add rows</w:t>
      </w:r>
      <w:r w:rsidR="0069081E" w:rsidRPr="00515F18">
        <w:rPr>
          <w:rFonts w:cstheme="minorHAnsi"/>
        </w:rPr>
        <w:t xml:space="preserve"> for additional indicators </w:t>
      </w:r>
      <w:r w:rsidR="00F70739" w:rsidRPr="00515F18">
        <w:rPr>
          <w:rFonts w:cstheme="minorHAnsi"/>
        </w:rPr>
        <w:t>related to</w:t>
      </w:r>
      <w:r w:rsidR="0069081E" w:rsidRPr="00515F18">
        <w:rPr>
          <w:rFonts w:cstheme="minorHAnsi"/>
        </w:rPr>
        <w:t xml:space="preserve"> </w:t>
      </w:r>
      <w:r w:rsidR="003A04E1" w:rsidRPr="00515F18">
        <w:rPr>
          <w:rFonts w:cstheme="minorHAnsi"/>
        </w:rPr>
        <w:t>m</w:t>
      </w:r>
      <w:r w:rsidR="0069081E" w:rsidRPr="00515F18">
        <w:rPr>
          <w:rFonts w:cstheme="minorHAnsi"/>
        </w:rPr>
        <w:t xml:space="preserve">onitoring </w:t>
      </w:r>
      <w:r w:rsidR="003A04E1" w:rsidRPr="00515F18">
        <w:rPr>
          <w:rFonts w:cstheme="minorHAnsi"/>
        </w:rPr>
        <w:t>e</w:t>
      </w:r>
      <w:r w:rsidR="0069081E" w:rsidRPr="00515F18">
        <w:rPr>
          <w:rFonts w:cstheme="minorHAnsi"/>
        </w:rPr>
        <w:t>lement</w:t>
      </w:r>
      <w:r w:rsidR="00F70739" w:rsidRPr="00515F18">
        <w:rPr>
          <w:rFonts w:cstheme="minorHAnsi"/>
        </w:rPr>
        <w:t>s</w:t>
      </w:r>
      <w:r w:rsidR="0069081E" w:rsidRPr="00515F18">
        <w:rPr>
          <w:rFonts w:cstheme="minorHAnsi"/>
        </w:rPr>
        <w:t xml:space="preserve"> for</w:t>
      </w:r>
      <w:r w:rsidR="00F70739" w:rsidRPr="00515F18">
        <w:rPr>
          <w:rFonts w:cstheme="minorHAnsi"/>
        </w:rPr>
        <w:t xml:space="preserve"> specific </w:t>
      </w:r>
      <w:r w:rsidR="003A04E1" w:rsidRPr="00515F18">
        <w:rPr>
          <w:rFonts w:cstheme="minorHAnsi"/>
        </w:rPr>
        <w:t>c</w:t>
      </w:r>
      <w:r w:rsidR="04E61A0F" w:rsidRPr="00515F18">
        <w:rPr>
          <w:rFonts w:cstheme="minorHAnsi"/>
        </w:rPr>
        <w:t xml:space="preserve">omponents from </w:t>
      </w:r>
      <w:r w:rsidR="00F70739" w:rsidRPr="00515F18">
        <w:rPr>
          <w:rFonts w:cstheme="minorHAnsi"/>
        </w:rPr>
        <w:t>goals</w:t>
      </w:r>
      <w:r w:rsidR="0037414D" w:rsidRPr="00515F18">
        <w:rPr>
          <w:rFonts w:cstheme="minorHAnsi"/>
        </w:rPr>
        <w:t xml:space="preserve"> (table 1)</w:t>
      </w:r>
      <w:r w:rsidR="00F70739" w:rsidRPr="00515F18">
        <w:rPr>
          <w:rFonts w:cstheme="minorHAnsi"/>
        </w:rPr>
        <w:t xml:space="preserve"> and </w:t>
      </w:r>
      <w:r w:rsidR="4AFCA3BD" w:rsidRPr="00515F18">
        <w:rPr>
          <w:rFonts w:cstheme="minorHAnsi"/>
        </w:rPr>
        <w:t>components</w:t>
      </w:r>
      <w:r w:rsidR="00F70739" w:rsidRPr="00515F18">
        <w:rPr>
          <w:rFonts w:cstheme="minorHAnsi"/>
        </w:rPr>
        <w:t xml:space="preserve"> </w:t>
      </w:r>
      <w:r w:rsidR="4AFCA3BD" w:rsidRPr="00515F18">
        <w:rPr>
          <w:rFonts w:cstheme="minorHAnsi"/>
        </w:rPr>
        <w:t>from</w:t>
      </w:r>
      <w:r w:rsidR="00F70739" w:rsidRPr="00515F18">
        <w:rPr>
          <w:rFonts w:cstheme="minorHAnsi"/>
        </w:rPr>
        <w:t xml:space="preserve"> targets</w:t>
      </w:r>
      <w:r w:rsidR="0037414D" w:rsidRPr="00515F18">
        <w:rPr>
          <w:rFonts w:cstheme="minorHAnsi"/>
        </w:rPr>
        <w:t xml:space="preserve"> (table 2)</w:t>
      </w:r>
      <w:r w:rsidR="00884A53" w:rsidRPr="00515F18">
        <w:rPr>
          <w:rFonts w:cstheme="minorHAnsi"/>
        </w:rPr>
        <w:t>. The information of draft components and monitoring elements for goals and targets is</w:t>
      </w:r>
      <w:r w:rsidR="0037414D" w:rsidRPr="00515F18">
        <w:rPr>
          <w:rFonts w:cstheme="minorHAnsi"/>
        </w:rPr>
        <w:t xml:space="preserve"> </w:t>
      </w:r>
      <w:r w:rsidR="00884A53" w:rsidRPr="00515F18">
        <w:rPr>
          <w:rFonts w:cstheme="minorHAnsi"/>
        </w:rPr>
        <w:t>available</w:t>
      </w:r>
      <w:r w:rsidR="00F70739" w:rsidRPr="00515F18">
        <w:rPr>
          <w:rFonts w:cstheme="minorHAnsi"/>
        </w:rPr>
        <w:t xml:space="preserve"> in document </w:t>
      </w:r>
      <w:hyperlink r:id="rId12" w:history="1">
        <w:r w:rsidR="00DD789A" w:rsidRPr="00515F18">
          <w:rPr>
            <w:rStyle w:val="Hyperlink"/>
            <w:rFonts w:cstheme="minorHAnsi"/>
          </w:rPr>
          <w:t>https://www.cbd.int/sbstta/sbstta-24/post2020-monitoring-en.pdf</w:t>
        </w:r>
      </w:hyperlink>
    </w:p>
    <w:p w14:paraId="247C837E" w14:textId="11C9267F" w:rsidR="0069081E" w:rsidRPr="00515F18" w:rsidRDefault="0069081E" w:rsidP="00515F18">
      <w:pPr>
        <w:pStyle w:val="ListParagraph"/>
        <w:numPr>
          <w:ilvl w:val="0"/>
          <w:numId w:val="14"/>
        </w:numPr>
        <w:spacing w:after="120" w:line="240" w:lineRule="auto"/>
        <w:ind w:left="0"/>
        <w:rPr>
          <w:rFonts w:cstheme="minorHAnsi"/>
        </w:rPr>
      </w:pPr>
      <w:r w:rsidRPr="00515F18">
        <w:rPr>
          <w:rFonts w:cstheme="minorHAnsi"/>
        </w:rPr>
        <w:t xml:space="preserve">To add </w:t>
      </w:r>
      <w:r w:rsidR="00F70739" w:rsidRPr="00515F18">
        <w:rPr>
          <w:rFonts w:cstheme="minorHAnsi"/>
        </w:rPr>
        <w:t>an</w:t>
      </w:r>
      <w:r w:rsidRPr="00515F18">
        <w:rPr>
          <w:rFonts w:cstheme="minorHAnsi"/>
        </w:rPr>
        <w:t xml:space="preserve"> indicator </w:t>
      </w:r>
      <w:r w:rsidR="00F70739" w:rsidRPr="00515F18">
        <w:rPr>
          <w:rFonts w:cstheme="minorHAnsi"/>
        </w:rPr>
        <w:t>for</w:t>
      </w:r>
      <w:r w:rsidRPr="00515F18">
        <w:rPr>
          <w:rFonts w:cstheme="minorHAnsi"/>
        </w:rPr>
        <w:t xml:space="preserve"> </w:t>
      </w:r>
      <w:r w:rsidR="63D71E75" w:rsidRPr="00515F18">
        <w:rPr>
          <w:rFonts w:cstheme="minorHAnsi"/>
        </w:rPr>
        <w:t>specific</w:t>
      </w:r>
      <w:r w:rsidR="00884A53" w:rsidRPr="00515F18">
        <w:rPr>
          <w:rFonts w:cstheme="minorHAnsi"/>
        </w:rPr>
        <w:t xml:space="preserve"> </w:t>
      </w:r>
      <w:r w:rsidRPr="00515F18">
        <w:rPr>
          <w:rFonts w:cstheme="minorHAnsi"/>
        </w:rPr>
        <w:t>monitoring elements</w:t>
      </w:r>
      <w:r w:rsidR="00912847" w:rsidRPr="00515F18">
        <w:rPr>
          <w:rFonts w:cstheme="minorHAnsi"/>
        </w:rPr>
        <w:t xml:space="preserve">, </w:t>
      </w:r>
      <w:r w:rsidR="00F70739" w:rsidRPr="00515F18">
        <w:rPr>
          <w:rFonts w:cstheme="minorHAnsi"/>
        </w:rPr>
        <w:t>please provide the following information</w:t>
      </w:r>
      <w:r w:rsidR="00912847" w:rsidRPr="00515F18">
        <w:rPr>
          <w:rFonts w:cstheme="minorHAnsi"/>
        </w:rPr>
        <w:t>:</w:t>
      </w:r>
    </w:p>
    <w:p w14:paraId="565E11F6" w14:textId="5909F621" w:rsidR="00F70739" w:rsidRPr="00515F18" w:rsidRDefault="00F70739" w:rsidP="00515F18">
      <w:pPr>
        <w:pStyle w:val="ListParagraph"/>
        <w:numPr>
          <w:ilvl w:val="1"/>
          <w:numId w:val="14"/>
        </w:numPr>
        <w:spacing w:after="120" w:line="240" w:lineRule="auto"/>
        <w:ind w:left="0"/>
        <w:rPr>
          <w:rFonts w:cstheme="minorHAnsi"/>
        </w:rPr>
      </w:pPr>
      <w:r w:rsidRPr="00515F18">
        <w:rPr>
          <w:rFonts w:cstheme="minorHAnsi"/>
        </w:rPr>
        <w:t xml:space="preserve">Column 1: </w:t>
      </w:r>
      <w:r w:rsidR="633D8926" w:rsidRPr="00515F18">
        <w:rPr>
          <w:rFonts w:cstheme="minorHAnsi"/>
        </w:rPr>
        <w:t xml:space="preserve">copy/paste </w:t>
      </w:r>
      <w:r w:rsidRPr="00515F18">
        <w:rPr>
          <w:rFonts w:cstheme="minorHAnsi"/>
        </w:rPr>
        <w:t xml:space="preserve">the component of the </w:t>
      </w:r>
      <w:r w:rsidR="00432EEA" w:rsidRPr="00515F18">
        <w:rPr>
          <w:rFonts w:cstheme="minorHAnsi"/>
        </w:rPr>
        <w:t>g</w:t>
      </w:r>
      <w:r w:rsidRPr="00515F18">
        <w:rPr>
          <w:rFonts w:cstheme="minorHAnsi"/>
        </w:rPr>
        <w:t>oal</w:t>
      </w:r>
      <w:r w:rsidR="00432EEA" w:rsidRPr="00515F18">
        <w:rPr>
          <w:rFonts w:cstheme="minorHAnsi"/>
        </w:rPr>
        <w:t xml:space="preserve"> (enter information in table 1) or t</w:t>
      </w:r>
      <w:r w:rsidRPr="00515F18">
        <w:rPr>
          <w:rFonts w:cstheme="minorHAnsi"/>
        </w:rPr>
        <w:t>arget</w:t>
      </w:r>
      <w:r w:rsidR="00432EEA" w:rsidRPr="00515F18">
        <w:rPr>
          <w:rFonts w:cstheme="minorHAnsi"/>
        </w:rPr>
        <w:t xml:space="preserve"> (</w:t>
      </w:r>
      <w:r w:rsidR="00EB1F56" w:rsidRPr="00515F18">
        <w:rPr>
          <w:rFonts w:cstheme="minorHAnsi"/>
        </w:rPr>
        <w:t xml:space="preserve">enter information in </w:t>
      </w:r>
      <w:r w:rsidR="00432EEA" w:rsidRPr="00515F18">
        <w:rPr>
          <w:rFonts w:cstheme="minorHAnsi"/>
        </w:rPr>
        <w:t>table 2)</w:t>
      </w:r>
      <w:r w:rsidR="67EA7176" w:rsidRPr="00515F18">
        <w:rPr>
          <w:rFonts w:cstheme="minorHAnsi"/>
        </w:rPr>
        <w:t xml:space="preserve"> from </w:t>
      </w:r>
      <w:hyperlink r:id="rId13" w:history="1">
        <w:r w:rsidR="00DD789A" w:rsidRPr="00515F18">
          <w:rPr>
            <w:rStyle w:val="Hyperlink"/>
            <w:rFonts w:cstheme="minorHAnsi"/>
          </w:rPr>
          <w:t>https://www.cbd.int/sbstta/sbstta-24/post2020-monitoring-en.pdf</w:t>
        </w:r>
      </w:hyperlink>
      <w:r w:rsidRPr="00515F18">
        <w:rPr>
          <w:rFonts w:cstheme="minorHAnsi"/>
        </w:rPr>
        <w:t>, which the indicator can be used for. This MUST be provided</w:t>
      </w:r>
    </w:p>
    <w:p w14:paraId="6B2E9705" w14:textId="3B867715" w:rsidR="00F70739" w:rsidRPr="00515F18" w:rsidRDefault="00F70739" w:rsidP="00515F18">
      <w:pPr>
        <w:pStyle w:val="ListParagraph"/>
        <w:numPr>
          <w:ilvl w:val="1"/>
          <w:numId w:val="14"/>
        </w:numPr>
        <w:spacing w:after="120" w:line="240" w:lineRule="auto"/>
        <w:ind w:left="0"/>
        <w:rPr>
          <w:rFonts w:eastAsiaTheme="minorEastAsia" w:cstheme="minorHAnsi"/>
        </w:rPr>
      </w:pPr>
      <w:r w:rsidRPr="00515F18">
        <w:rPr>
          <w:rFonts w:cstheme="minorHAnsi"/>
        </w:rPr>
        <w:t>Column 2:</w:t>
      </w:r>
      <w:r w:rsidR="00432EEA" w:rsidRPr="00515F18">
        <w:rPr>
          <w:rFonts w:cstheme="minorHAnsi"/>
        </w:rPr>
        <w:t xml:space="preserve"> copy/paste</w:t>
      </w:r>
      <w:r w:rsidRPr="00515F18">
        <w:rPr>
          <w:rFonts w:cstheme="minorHAnsi"/>
        </w:rPr>
        <w:t xml:space="preserve"> the specific monitoring element of the goal</w:t>
      </w:r>
      <w:r w:rsidR="00432EEA" w:rsidRPr="00515F18">
        <w:rPr>
          <w:rFonts w:cstheme="minorHAnsi"/>
        </w:rPr>
        <w:t xml:space="preserve"> (</w:t>
      </w:r>
      <w:r w:rsidR="00EB1F56" w:rsidRPr="00515F18">
        <w:rPr>
          <w:rFonts w:cstheme="minorHAnsi"/>
        </w:rPr>
        <w:t>enter information in table 1) or target (enter information in table 2)</w:t>
      </w:r>
      <w:r w:rsidRPr="00515F18">
        <w:rPr>
          <w:rFonts w:cstheme="minorHAnsi"/>
        </w:rPr>
        <w:t>, which the indicator can be used for</w:t>
      </w:r>
      <w:r w:rsidR="141ED1DA" w:rsidRPr="00515F18">
        <w:rPr>
          <w:rFonts w:cstheme="minorHAnsi"/>
        </w:rPr>
        <w:t xml:space="preserve"> from </w:t>
      </w:r>
      <w:hyperlink r:id="rId14" w:history="1">
        <w:r w:rsidR="00DD789A" w:rsidRPr="00515F18">
          <w:rPr>
            <w:rStyle w:val="Hyperlink"/>
            <w:rFonts w:cstheme="minorHAnsi"/>
          </w:rPr>
          <w:t>https://www.cbd.int/sbstta/sbstta-24/post2020-monitoring-en.pdf</w:t>
        </w:r>
      </w:hyperlink>
      <w:r w:rsidRPr="00515F18">
        <w:rPr>
          <w:rFonts w:cstheme="minorHAnsi"/>
        </w:rPr>
        <w:t>. This MUST be provided</w:t>
      </w:r>
    </w:p>
    <w:p w14:paraId="425227E5" w14:textId="15D7F5B4" w:rsidR="00912847" w:rsidRPr="00515F18" w:rsidRDefault="004010D4" w:rsidP="00515F18">
      <w:pPr>
        <w:pStyle w:val="ListParagraph"/>
        <w:numPr>
          <w:ilvl w:val="1"/>
          <w:numId w:val="14"/>
        </w:numPr>
        <w:spacing w:after="120" w:line="240" w:lineRule="auto"/>
        <w:ind w:left="0"/>
        <w:rPr>
          <w:rFonts w:cstheme="minorHAnsi"/>
        </w:rPr>
      </w:pPr>
      <w:r w:rsidRPr="00515F18">
        <w:rPr>
          <w:rFonts w:cstheme="minorHAnsi"/>
        </w:rPr>
        <w:t xml:space="preserve">Column 3: </w:t>
      </w:r>
      <w:r w:rsidR="0F059678" w:rsidRPr="00515F18">
        <w:rPr>
          <w:rFonts w:cstheme="minorHAnsi"/>
        </w:rPr>
        <w:t>t</w:t>
      </w:r>
      <w:r w:rsidR="007C0D05" w:rsidRPr="00515F18">
        <w:rPr>
          <w:rFonts w:cstheme="minorHAnsi"/>
        </w:rPr>
        <w:t>he</w:t>
      </w:r>
      <w:r w:rsidRPr="00515F18">
        <w:rPr>
          <w:rFonts w:cstheme="minorHAnsi"/>
        </w:rPr>
        <w:t xml:space="preserve"> </w:t>
      </w:r>
      <w:r w:rsidR="1DD88FE5" w:rsidRPr="00515F18">
        <w:rPr>
          <w:rFonts w:cstheme="minorHAnsi"/>
        </w:rPr>
        <w:t xml:space="preserve">published or accepted </w:t>
      </w:r>
      <w:r w:rsidR="00294F8B" w:rsidRPr="00515F18">
        <w:rPr>
          <w:rFonts w:cstheme="minorHAnsi"/>
        </w:rPr>
        <w:t>n</w:t>
      </w:r>
      <w:r w:rsidRPr="00515F18">
        <w:rPr>
          <w:rFonts w:cstheme="minorHAnsi"/>
        </w:rPr>
        <w:t xml:space="preserve">ame of the </w:t>
      </w:r>
      <w:r w:rsidR="00F70739" w:rsidRPr="00515F18">
        <w:rPr>
          <w:rFonts w:cstheme="minorHAnsi"/>
        </w:rPr>
        <w:t>i</w:t>
      </w:r>
      <w:r w:rsidRPr="00515F18">
        <w:rPr>
          <w:rFonts w:cstheme="minorHAnsi"/>
        </w:rPr>
        <w:t>ndicator</w:t>
      </w:r>
      <w:r w:rsidR="00295354" w:rsidRPr="00515F18">
        <w:rPr>
          <w:rFonts w:cstheme="minorHAnsi"/>
        </w:rPr>
        <w:t>. This MUST be provided</w:t>
      </w:r>
    </w:p>
    <w:p w14:paraId="7C6E32E4" w14:textId="0E9AD7DE" w:rsidR="00C45007" w:rsidRPr="00515F18" w:rsidRDefault="004010D4" w:rsidP="00515F18">
      <w:pPr>
        <w:pStyle w:val="ListParagraph"/>
        <w:numPr>
          <w:ilvl w:val="1"/>
          <w:numId w:val="14"/>
        </w:numPr>
        <w:spacing w:after="120" w:line="240" w:lineRule="auto"/>
        <w:ind w:left="0"/>
        <w:rPr>
          <w:rFonts w:cstheme="minorHAnsi"/>
        </w:rPr>
      </w:pPr>
      <w:r w:rsidRPr="00515F18">
        <w:rPr>
          <w:rFonts w:cstheme="minorHAnsi"/>
        </w:rPr>
        <w:t>Column 4</w:t>
      </w:r>
      <w:r w:rsidR="00E95DC8" w:rsidRPr="00515F18">
        <w:rPr>
          <w:rFonts w:cstheme="minorHAnsi"/>
        </w:rPr>
        <w:t>:</w:t>
      </w:r>
      <w:r w:rsidRPr="00515F18">
        <w:rPr>
          <w:rFonts w:cstheme="minorHAnsi"/>
        </w:rPr>
        <w:t xml:space="preserve"> </w:t>
      </w:r>
      <w:r w:rsidR="552BF4CF" w:rsidRPr="00515F18">
        <w:rPr>
          <w:rFonts w:cstheme="minorHAnsi"/>
        </w:rPr>
        <w:t>t</w:t>
      </w:r>
      <w:r w:rsidRPr="00515F18">
        <w:rPr>
          <w:rFonts w:cstheme="minorHAnsi"/>
        </w:rPr>
        <w:t xml:space="preserve">he name of </w:t>
      </w:r>
      <w:r w:rsidR="007B0530" w:rsidRPr="00515F18">
        <w:rPr>
          <w:rFonts w:cstheme="minorHAnsi"/>
        </w:rPr>
        <w:t>the organisation</w:t>
      </w:r>
      <w:r w:rsidR="00294F8B" w:rsidRPr="00515F18">
        <w:rPr>
          <w:rFonts w:cstheme="minorHAnsi"/>
        </w:rPr>
        <w:t>(s)</w:t>
      </w:r>
      <w:r w:rsidR="007B0530" w:rsidRPr="00515F18">
        <w:rPr>
          <w:rFonts w:cstheme="minorHAnsi"/>
        </w:rPr>
        <w:t xml:space="preserve"> responsible for producing the indicator and keeping it up to date</w:t>
      </w:r>
      <w:r w:rsidR="00295354" w:rsidRPr="00515F18">
        <w:rPr>
          <w:rFonts w:cstheme="minorHAnsi"/>
        </w:rPr>
        <w:t>. This MUST be provided</w:t>
      </w:r>
      <w:r w:rsidR="511D45EF" w:rsidRPr="00515F18">
        <w:rPr>
          <w:rFonts w:cstheme="minorHAnsi"/>
        </w:rPr>
        <w:t xml:space="preserve"> </w:t>
      </w:r>
    </w:p>
    <w:p w14:paraId="7AA79054" w14:textId="3760CF40" w:rsidR="007B0530" w:rsidRPr="00515F18" w:rsidRDefault="007B0530" w:rsidP="00515F18">
      <w:pPr>
        <w:pStyle w:val="ListParagraph"/>
        <w:numPr>
          <w:ilvl w:val="1"/>
          <w:numId w:val="14"/>
        </w:numPr>
        <w:spacing w:after="120" w:line="240" w:lineRule="auto"/>
        <w:ind w:left="0"/>
        <w:rPr>
          <w:rFonts w:cstheme="minorHAnsi"/>
        </w:rPr>
      </w:pPr>
      <w:r w:rsidRPr="00515F18">
        <w:rPr>
          <w:rFonts w:cstheme="minorHAnsi"/>
        </w:rPr>
        <w:t xml:space="preserve">Column </w:t>
      </w:r>
      <w:r w:rsidR="00E95DC8" w:rsidRPr="00515F18">
        <w:rPr>
          <w:rFonts w:cstheme="minorHAnsi"/>
        </w:rPr>
        <w:t>5:</w:t>
      </w:r>
      <w:r w:rsidRPr="00515F18">
        <w:rPr>
          <w:rFonts w:cstheme="minorHAnsi"/>
        </w:rPr>
        <w:t xml:space="preserve"> </w:t>
      </w:r>
      <w:r w:rsidR="01B748F0" w:rsidRPr="00515F18">
        <w:rPr>
          <w:rFonts w:cstheme="minorHAnsi"/>
        </w:rPr>
        <w:t>p</w:t>
      </w:r>
      <w:r w:rsidRPr="00515F18">
        <w:rPr>
          <w:rFonts w:cstheme="minorHAnsi"/>
        </w:rPr>
        <w:t xml:space="preserve">lease </w:t>
      </w:r>
      <w:r w:rsidR="00F21EDB" w:rsidRPr="00515F18">
        <w:rPr>
          <w:rFonts w:cstheme="minorHAnsi"/>
        </w:rPr>
        <w:t>state whether the indicator is ready for use today (with an X) or if is still under development</w:t>
      </w:r>
      <w:r w:rsidR="00383712" w:rsidRPr="00515F18">
        <w:rPr>
          <w:rFonts w:cstheme="minorHAnsi"/>
        </w:rPr>
        <w:t xml:space="preserve"> (Y)</w:t>
      </w:r>
      <w:r w:rsidR="00295354" w:rsidRPr="00515F18">
        <w:rPr>
          <w:rFonts w:cstheme="minorHAnsi"/>
        </w:rPr>
        <w:t>. This MUST be provided</w:t>
      </w:r>
    </w:p>
    <w:p w14:paraId="5953A675" w14:textId="0342016A" w:rsidR="00F21EDB" w:rsidRPr="00515F18" w:rsidRDefault="00F73631" w:rsidP="00515F18">
      <w:pPr>
        <w:pStyle w:val="ListParagraph"/>
        <w:numPr>
          <w:ilvl w:val="1"/>
          <w:numId w:val="14"/>
        </w:numPr>
        <w:spacing w:after="120" w:line="240" w:lineRule="auto"/>
        <w:ind w:left="0"/>
        <w:rPr>
          <w:rFonts w:cstheme="minorHAnsi"/>
        </w:rPr>
      </w:pPr>
      <w:r w:rsidRPr="00515F18">
        <w:rPr>
          <w:rFonts w:cstheme="minorHAnsi"/>
        </w:rPr>
        <w:t>Column</w:t>
      </w:r>
      <w:r w:rsidR="00E95DC8" w:rsidRPr="00515F18">
        <w:rPr>
          <w:rFonts w:cstheme="minorHAnsi"/>
        </w:rPr>
        <w:t xml:space="preserve"> 6: if you are adding a new indicator that is still under development, please indicate the year </w:t>
      </w:r>
      <w:r w:rsidR="00BA58AA" w:rsidRPr="00515F18">
        <w:rPr>
          <w:rFonts w:cstheme="minorHAnsi"/>
        </w:rPr>
        <w:t>that you expect it to be available</w:t>
      </w:r>
    </w:p>
    <w:p w14:paraId="163D0352" w14:textId="6599296D" w:rsidR="00BA58AA" w:rsidRPr="00515F18" w:rsidRDefault="00BA58AA" w:rsidP="00515F18">
      <w:pPr>
        <w:pStyle w:val="ListParagraph"/>
        <w:numPr>
          <w:ilvl w:val="1"/>
          <w:numId w:val="14"/>
        </w:numPr>
        <w:spacing w:after="120" w:line="240" w:lineRule="auto"/>
        <w:ind w:left="0"/>
        <w:rPr>
          <w:rFonts w:cstheme="minorHAnsi"/>
        </w:rPr>
      </w:pPr>
      <w:r w:rsidRPr="00515F18">
        <w:rPr>
          <w:rFonts w:cstheme="minorHAnsi"/>
        </w:rPr>
        <w:t>Column 7: for any existing indicator, please add the year of the last updat</w:t>
      </w:r>
      <w:r w:rsidR="00383712" w:rsidRPr="00515F18">
        <w:rPr>
          <w:rFonts w:cstheme="minorHAnsi"/>
        </w:rPr>
        <w:t>e</w:t>
      </w:r>
    </w:p>
    <w:p w14:paraId="3FD7315C" w14:textId="58E983A4" w:rsidR="00383712" w:rsidRPr="00515F18" w:rsidRDefault="00383712" w:rsidP="00515F18">
      <w:pPr>
        <w:pStyle w:val="ListParagraph"/>
        <w:numPr>
          <w:ilvl w:val="1"/>
          <w:numId w:val="14"/>
        </w:numPr>
        <w:spacing w:after="120" w:line="240" w:lineRule="auto"/>
        <w:ind w:left="0"/>
        <w:rPr>
          <w:rFonts w:cstheme="minorHAnsi"/>
        </w:rPr>
      </w:pPr>
      <w:r w:rsidRPr="00515F18">
        <w:rPr>
          <w:rFonts w:cstheme="minorHAnsi"/>
        </w:rPr>
        <w:t xml:space="preserve">Column 8: </w:t>
      </w:r>
      <w:r w:rsidR="4DD7AB45" w:rsidRPr="00515F18">
        <w:rPr>
          <w:rFonts w:cstheme="minorHAnsi"/>
        </w:rPr>
        <w:t>p</w:t>
      </w:r>
      <w:r w:rsidR="00D70874" w:rsidRPr="00515F18">
        <w:rPr>
          <w:rFonts w:cstheme="minorHAnsi"/>
        </w:rPr>
        <w:t xml:space="preserve">lease provide </w:t>
      </w:r>
      <w:r w:rsidR="4F553219" w:rsidRPr="00515F18">
        <w:rPr>
          <w:rFonts w:cstheme="minorHAnsi"/>
        </w:rPr>
        <w:t>the time series</w:t>
      </w:r>
      <w:r w:rsidR="00D70874" w:rsidRPr="00515F18">
        <w:rPr>
          <w:rFonts w:cstheme="minorHAnsi"/>
        </w:rPr>
        <w:t xml:space="preserve"> for </w:t>
      </w:r>
      <w:r w:rsidR="002C115E" w:rsidRPr="00515F18">
        <w:rPr>
          <w:rFonts w:cstheme="minorHAnsi"/>
        </w:rPr>
        <w:t xml:space="preserve">the </w:t>
      </w:r>
      <w:r w:rsidR="00D70874" w:rsidRPr="00515F18">
        <w:rPr>
          <w:rFonts w:cstheme="minorHAnsi"/>
        </w:rPr>
        <w:t>indicator and frequency of update (e.g. 19</w:t>
      </w:r>
      <w:r w:rsidR="61C00473" w:rsidRPr="00515F18">
        <w:rPr>
          <w:rFonts w:cstheme="minorHAnsi"/>
        </w:rPr>
        <w:t>90-2020</w:t>
      </w:r>
      <w:r w:rsidR="00D70874" w:rsidRPr="00515F18">
        <w:rPr>
          <w:rFonts w:cstheme="minorHAnsi"/>
        </w:rPr>
        <w:t xml:space="preserve">, available every 5 years).  </w:t>
      </w:r>
    </w:p>
    <w:p w14:paraId="02C5EC30" w14:textId="5196B983" w:rsidR="00232BA3" w:rsidRPr="00515F18" w:rsidRDefault="00383712" w:rsidP="00515F18">
      <w:pPr>
        <w:pStyle w:val="ListParagraph"/>
        <w:numPr>
          <w:ilvl w:val="1"/>
          <w:numId w:val="14"/>
        </w:numPr>
        <w:spacing w:after="120" w:line="240" w:lineRule="auto"/>
        <w:ind w:left="0"/>
        <w:rPr>
          <w:rFonts w:cstheme="minorHAnsi"/>
        </w:rPr>
      </w:pPr>
      <w:r w:rsidRPr="00515F18">
        <w:rPr>
          <w:rFonts w:cstheme="minorHAnsi"/>
        </w:rPr>
        <w:t xml:space="preserve">Column 9: please state (Y or N) whether </w:t>
      </w:r>
      <w:r w:rsidR="00B97725" w:rsidRPr="00515F18">
        <w:rPr>
          <w:rFonts w:cstheme="minorHAnsi"/>
        </w:rPr>
        <w:t>there is a published methodology</w:t>
      </w:r>
      <w:r w:rsidR="00295354" w:rsidRPr="00515F18">
        <w:rPr>
          <w:rFonts w:cstheme="minorHAnsi"/>
        </w:rPr>
        <w:t xml:space="preserve"> for application </w:t>
      </w:r>
      <w:r w:rsidR="5E5A3573" w:rsidRPr="00515F18">
        <w:rPr>
          <w:rFonts w:cstheme="minorHAnsi"/>
        </w:rPr>
        <w:t>of the indicator at</w:t>
      </w:r>
      <w:r w:rsidR="00295354" w:rsidRPr="00515F18">
        <w:rPr>
          <w:rFonts w:cstheme="minorHAnsi"/>
        </w:rPr>
        <w:t xml:space="preserve"> </w:t>
      </w:r>
      <w:r w:rsidR="25FD500B" w:rsidRPr="00515F18">
        <w:rPr>
          <w:rFonts w:cstheme="minorHAnsi"/>
        </w:rPr>
        <w:t>the</w:t>
      </w:r>
      <w:r w:rsidR="00295354" w:rsidRPr="00515F18">
        <w:rPr>
          <w:rFonts w:cstheme="minorHAnsi"/>
        </w:rPr>
        <w:t xml:space="preserve"> national level</w:t>
      </w:r>
    </w:p>
    <w:p w14:paraId="5894C4BB" w14:textId="5348E312" w:rsidR="00383712" w:rsidRPr="00515F18" w:rsidRDefault="008B1665" w:rsidP="00515F18">
      <w:pPr>
        <w:pStyle w:val="ListParagraph"/>
        <w:numPr>
          <w:ilvl w:val="1"/>
          <w:numId w:val="14"/>
        </w:numPr>
        <w:spacing w:after="120" w:line="240" w:lineRule="auto"/>
        <w:ind w:left="0"/>
        <w:rPr>
          <w:rFonts w:cstheme="minorHAnsi"/>
        </w:rPr>
      </w:pPr>
      <w:r w:rsidRPr="00515F18">
        <w:rPr>
          <w:rFonts w:cstheme="minorHAnsi"/>
        </w:rPr>
        <w:t>Column 10: please state (Y</w:t>
      </w:r>
      <w:r w:rsidR="00E9038C" w:rsidRPr="00515F18">
        <w:rPr>
          <w:rFonts w:cstheme="minorHAnsi"/>
        </w:rPr>
        <w:t xml:space="preserve"> </w:t>
      </w:r>
      <w:r w:rsidR="00232BA3" w:rsidRPr="00515F18">
        <w:rPr>
          <w:rFonts w:cstheme="minorHAnsi"/>
        </w:rPr>
        <w:t xml:space="preserve">or N) </w:t>
      </w:r>
      <w:r w:rsidR="008771B2" w:rsidRPr="00515F18">
        <w:rPr>
          <w:rFonts w:cstheme="minorHAnsi"/>
        </w:rPr>
        <w:t xml:space="preserve">whether any new or existing indicator can be disaggregated at the national level for use by Parties </w:t>
      </w:r>
    </w:p>
    <w:p w14:paraId="5F35E169" w14:textId="280D8A1A" w:rsidR="00315F76" w:rsidRPr="00515F18" w:rsidRDefault="00433E90" w:rsidP="00515F18">
      <w:pPr>
        <w:pStyle w:val="ListParagraph"/>
        <w:numPr>
          <w:ilvl w:val="1"/>
          <w:numId w:val="14"/>
        </w:numPr>
        <w:spacing w:after="120" w:line="240" w:lineRule="auto"/>
        <w:ind w:left="0"/>
        <w:rPr>
          <w:rFonts w:cstheme="minorHAnsi"/>
        </w:rPr>
      </w:pPr>
      <w:r w:rsidRPr="00515F18">
        <w:rPr>
          <w:rFonts w:cstheme="minorHAnsi"/>
        </w:rPr>
        <w:t>Column 11: please state (Y or N)</w:t>
      </w:r>
      <w:r w:rsidR="00106023" w:rsidRPr="00515F18">
        <w:rPr>
          <w:rFonts w:cstheme="minorHAnsi"/>
        </w:rPr>
        <w:t xml:space="preserve"> </w:t>
      </w:r>
      <w:r w:rsidR="00B136E1" w:rsidRPr="00515F18">
        <w:rPr>
          <w:rFonts w:cstheme="minorHAnsi"/>
        </w:rPr>
        <w:t>whether the indicator is aggregated from data that is collected at the national level (</w:t>
      </w:r>
      <w:r w:rsidR="009C220F" w:rsidRPr="00515F18">
        <w:rPr>
          <w:rFonts w:cstheme="minorHAnsi"/>
        </w:rPr>
        <w:t>e.g.</w:t>
      </w:r>
      <w:r w:rsidR="00B136E1" w:rsidRPr="00515F18">
        <w:rPr>
          <w:rFonts w:cstheme="minorHAnsi"/>
        </w:rPr>
        <w:t xml:space="preserve"> with data from national institutions)</w:t>
      </w:r>
    </w:p>
    <w:p w14:paraId="4FF5B83A" w14:textId="6280D337" w:rsidR="00AD6B56" w:rsidRPr="00515F18" w:rsidRDefault="00931F44" w:rsidP="00515F18">
      <w:pPr>
        <w:pStyle w:val="ListParagraph"/>
        <w:numPr>
          <w:ilvl w:val="1"/>
          <w:numId w:val="14"/>
        </w:numPr>
        <w:spacing w:after="120" w:line="240" w:lineRule="auto"/>
        <w:ind w:left="0"/>
        <w:rPr>
          <w:rFonts w:cstheme="minorHAnsi"/>
        </w:rPr>
      </w:pPr>
      <w:r w:rsidRPr="00515F18">
        <w:rPr>
          <w:rFonts w:cstheme="minorHAnsi"/>
        </w:rPr>
        <w:t xml:space="preserve">Column 12: please state (Y or N) whether any indicator has been used in the </w:t>
      </w:r>
      <w:r w:rsidR="00A75DB7" w:rsidRPr="00515F18">
        <w:rPr>
          <w:rFonts w:cstheme="minorHAnsi"/>
        </w:rPr>
        <w:t>4</w:t>
      </w:r>
      <w:r w:rsidRPr="00515F18">
        <w:rPr>
          <w:rFonts w:cstheme="minorHAnsi"/>
          <w:vertAlign w:val="superscript"/>
        </w:rPr>
        <w:t>th</w:t>
      </w:r>
      <w:r w:rsidRPr="00515F18">
        <w:rPr>
          <w:rFonts w:cstheme="minorHAnsi"/>
        </w:rPr>
        <w:t xml:space="preserve"> Edition of the Global Biodiversity Outlook</w:t>
      </w:r>
      <w:r w:rsidR="3D318297" w:rsidRPr="00515F18">
        <w:rPr>
          <w:rFonts w:cstheme="minorHAnsi"/>
        </w:rPr>
        <w:t xml:space="preserve"> (GBO-4)</w:t>
      </w:r>
      <w:r w:rsidR="00E5634F" w:rsidRPr="00515F18">
        <w:rPr>
          <w:rFonts w:cstheme="minorHAnsi"/>
        </w:rPr>
        <w:t>.</w:t>
      </w:r>
    </w:p>
    <w:p w14:paraId="40A3FECB" w14:textId="07B10420" w:rsidR="00E13652" w:rsidRPr="00515F18" w:rsidRDefault="00E13652" w:rsidP="00515F18">
      <w:pPr>
        <w:pStyle w:val="ListParagraph"/>
        <w:numPr>
          <w:ilvl w:val="1"/>
          <w:numId w:val="14"/>
        </w:numPr>
        <w:spacing w:after="120" w:line="240" w:lineRule="auto"/>
        <w:ind w:left="0"/>
        <w:rPr>
          <w:rFonts w:cstheme="minorHAnsi"/>
        </w:rPr>
      </w:pPr>
      <w:r w:rsidRPr="00515F18">
        <w:rPr>
          <w:rFonts w:cstheme="minorHAnsi"/>
        </w:rPr>
        <w:t>Column 1</w:t>
      </w:r>
      <w:r w:rsidR="00C53C3A" w:rsidRPr="00515F18">
        <w:rPr>
          <w:rFonts w:cstheme="minorHAnsi"/>
        </w:rPr>
        <w:t>3</w:t>
      </w:r>
      <w:r w:rsidRPr="00515F18">
        <w:rPr>
          <w:rFonts w:cstheme="minorHAnsi"/>
        </w:rPr>
        <w:t xml:space="preserve">: please state (Y or N) whether the </w:t>
      </w:r>
      <w:r w:rsidR="6F3743F4" w:rsidRPr="00515F18">
        <w:rPr>
          <w:rFonts w:cstheme="minorHAnsi"/>
        </w:rPr>
        <w:t>indicator</w:t>
      </w:r>
      <w:r w:rsidR="135D9A89" w:rsidRPr="00515F18">
        <w:rPr>
          <w:rFonts w:cstheme="minorHAnsi"/>
        </w:rPr>
        <w:t xml:space="preserve"> </w:t>
      </w:r>
      <w:r w:rsidR="00AD6B56" w:rsidRPr="00515F18">
        <w:rPr>
          <w:rFonts w:cstheme="minorHAnsi"/>
        </w:rPr>
        <w:t xml:space="preserve">is currently included in the SDG indicator framework </w:t>
      </w:r>
      <w:r w:rsidR="6B830F9E" w:rsidRPr="00515F18">
        <w:rPr>
          <w:rFonts w:cstheme="minorHAnsi"/>
        </w:rPr>
        <w:t>and provide the SDG indicator number</w:t>
      </w:r>
    </w:p>
    <w:p w14:paraId="62A0C794" w14:textId="40ADB42A" w:rsidR="00E13652" w:rsidRPr="00515F18" w:rsidRDefault="00C53C3A" w:rsidP="00515F18">
      <w:pPr>
        <w:pStyle w:val="ListParagraph"/>
        <w:numPr>
          <w:ilvl w:val="1"/>
          <w:numId w:val="14"/>
        </w:numPr>
        <w:spacing w:after="120" w:line="240" w:lineRule="auto"/>
        <w:ind w:left="0"/>
        <w:rPr>
          <w:rFonts w:cstheme="minorHAnsi"/>
        </w:rPr>
      </w:pPr>
      <w:r w:rsidRPr="00515F18">
        <w:rPr>
          <w:rFonts w:cstheme="minorHAnsi"/>
        </w:rPr>
        <w:t>Column 1</w:t>
      </w:r>
      <w:r w:rsidR="00F70739" w:rsidRPr="00515F18">
        <w:rPr>
          <w:rFonts w:cstheme="minorHAnsi"/>
        </w:rPr>
        <w:t>4</w:t>
      </w:r>
      <w:r w:rsidRPr="00515F18">
        <w:rPr>
          <w:rFonts w:cstheme="minorHAnsi"/>
        </w:rPr>
        <w:t xml:space="preserve">: please state </w:t>
      </w:r>
      <w:r w:rsidR="00F33292" w:rsidRPr="00515F18">
        <w:rPr>
          <w:rFonts w:cstheme="minorHAnsi"/>
        </w:rPr>
        <w:t xml:space="preserve">whether an indicator is used </w:t>
      </w:r>
      <w:r w:rsidR="00283425" w:rsidRPr="00515F18">
        <w:rPr>
          <w:rFonts w:cstheme="minorHAnsi"/>
        </w:rPr>
        <w:t>for</w:t>
      </w:r>
      <w:r w:rsidR="00F33292" w:rsidRPr="00515F18">
        <w:rPr>
          <w:rFonts w:cstheme="minorHAnsi"/>
        </w:rPr>
        <w:t xml:space="preserve"> any Multi-Lateral Environmental Agreements </w:t>
      </w:r>
      <w:r w:rsidR="007B5ECC" w:rsidRPr="00515F18">
        <w:rPr>
          <w:rFonts w:cstheme="minorHAnsi"/>
        </w:rPr>
        <w:t>other than the CBD (e.g. Ramsar</w:t>
      </w:r>
      <w:r w:rsidR="29F7114E" w:rsidRPr="00515F18">
        <w:rPr>
          <w:rFonts w:cstheme="minorHAnsi"/>
        </w:rPr>
        <w:t xml:space="preserve"> Convention</w:t>
      </w:r>
      <w:r w:rsidR="007B5ECC" w:rsidRPr="00515F18">
        <w:rPr>
          <w:rFonts w:cstheme="minorHAnsi"/>
        </w:rPr>
        <w:t xml:space="preserve">, CMS) or is used as </w:t>
      </w:r>
      <w:r w:rsidR="007C0D05" w:rsidRPr="00515F18">
        <w:rPr>
          <w:rFonts w:cstheme="minorHAnsi"/>
        </w:rPr>
        <w:t>an</w:t>
      </w:r>
      <w:r w:rsidR="007B5ECC" w:rsidRPr="00515F18">
        <w:rPr>
          <w:rFonts w:cstheme="minorHAnsi"/>
        </w:rPr>
        <w:t xml:space="preserve"> indicator by IPBES, by writing the abbreviated name of the MEA or process</w:t>
      </w:r>
    </w:p>
    <w:p w14:paraId="5F26985A" w14:textId="764FCA9D" w:rsidR="00CE01C7" w:rsidRPr="00515F18" w:rsidRDefault="00CE01C7" w:rsidP="00515F18">
      <w:pPr>
        <w:pStyle w:val="ListParagraph"/>
        <w:numPr>
          <w:ilvl w:val="1"/>
          <w:numId w:val="14"/>
        </w:numPr>
        <w:spacing w:after="120" w:line="240" w:lineRule="auto"/>
        <w:ind w:left="0"/>
        <w:rPr>
          <w:rFonts w:cstheme="minorHAnsi"/>
        </w:rPr>
      </w:pPr>
      <w:r w:rsidRPr="00515F18">
        <w:rPr>
          <w:rFonts w:cstheme="minorHAnsi"/>
        </w:rPr>
        <w:t>Column 15: please enter any further information or relevant links</w:t>
      </w:r>
    </w:p>
    <w:p w14:paraId="16847D9A" w14:textId="486D4469" w:rsidR="0037414D" w:rsidRPr="00515F18" w:rsidRDefault="0037414D" w:rsidP="00515F18">
      <w:pPr>
        <w:pStyle w:val="ListParagraph"/>
        <w:numPr>
          <w:ilvl w:val="0"/>
          <w:numId w:val="14"/>
        </w:numPr>
        <w:spacing w:after="120" w:line="240" w:lineRule="auto"/>
        <w:ind w:left="0"/>
        <w:rPr>
          <w:rFonts w:cstheme="minorHAnsi"/>
        </w:rPr>
      </w:pPr>
      <w:r w:rsidRPr="00515F18">
        <w:rPr>
          <w:rFonts w:cstheme="minorHAnsi"/>
        </w:rPr>
        <w:t>Example entries</w:t>
      </w:r>
      <w:r w:rsidR="00EB1F56" w:rsidRPr="00515F18">
        <w:rPr>
          <w:rFonts w:cstheme="minorHAnsi"/>
        </w:rPr>
        <w:t xml:space="preserve"> </w:t>
      </w:r>
      <w:r w:rsidRPr="00515F18">
        <w:rPr>
          <w:rFonts w:cstheme="minorHAnsi"/>
        </w:rPr>
        <w:t>have been provided</w:t>
      </w:r>
      <w:r w:rsidR="3443FA59" w:rsidRPr="00515F18">
        <w:rPr>
          <w:rFonts w:cstheme="minorHAnsi"/>
        </w:rPr>
        <w:t xml:space="preserve"> in the tables below for goals and targets, please follow the same format</w:t>
      </w:r>
      <w:r w:rsidR="6FABAFF2" w:rsidRPr="00515F18">
        <w:rPr>
          <w:rFonts w:cstheme="minorHAnsi"/>
        </w:rPr>
        <w:t xml:space="preserve"> for each indicator entry</w:t>
      </w:r>
    </w:p>
    <w:p w14:paraId="7A8B395E" w14:textId="097791F8" w:rsidR="006D0214" w:rsidRPr="00515F18" w:rsidRDefault="006D0214" w:rsidP="00515F18">
      <w:pPr>
        <w:pStyle w:val="ListParagraph"/>
        <w:numPr>
          <w:ilvl w:val="0"/>
          <w:numId w:val="14"/>
        </w:numPr>
        <w:spacing w:after="120" w:line="240" w:lineRule="auto"/>
        <w:ind w:left="0"/>
        <w:jc w:val="both"/>
        <w:rPr>
          <w:rFonts w:cstheme="minorHAnsi"/>
          <w:i/>
        </w:rPr>
      </w:pPr>
      <w:r w:rsidRPr="00515F18">
        <w:rPr>
          <w:rFonts w:cstheme="minorHAnsi"/>
        </w:rPr>
        <w:t>Inputs should be sent by e-mail to</w:t>
      </w:r>
      <w:r w:rsidRPr="00515F18">
        <w:rPr>
          <w:rFonts w:cstheme="minorHAnsi"/>
          <w:i/>
        </w:rPr>
        <w:t xml:space="preserve"> </w:t>
      </w:r>
      <w:hyperlink r:id="rId15" w:history="1">
        <w:r w:rsidRPr="00515F18">
          <w:rPr>
            <w:rStyle w:val="Hyperlink"/>
            <w:rFonts w:cstheme="minorHAnsi"/>
            <w:i/>
          </w:rPr>
          <w:t>secretariat@cbd.int</w:t>
        </w:r>
      </w:hyperlink>
      <w:r w:rsidRPr="00515F18">
        <w:rPr>
          <w:rFonts w:cstheme="minorHAnsi"/>
          <w:i/>
        </w:rPr>
        <w:t xml:space="preserve"> </w:t>
      </w:r>
      <w:r w:rsidRPr="00515F18">
        <w:rPr>
          <w:rFonts w:cstheme="minorHAnsi"/>
        </w:rPr>
        <w:t xml:space="preserve">no later than </w:t>
      </w:r>
      <w:r w:rsidR="009B3665" w:rsidRPr="00515F18">
        <w:rPr>
          <w:rFonts w:cstheme="minorHAnsi"/>
        </w:rPr>
        <w:t>25 July 2020</w:t>
      </w:r>
    </w:p>
    <w:p w14:paraId="3E75F44C" w14:textId="4E29EDBC" w:rsidR="007861DC" w:rsidRPr="00515F18" w:rsidRDefault="007861DC" w:rsidP="00515F18">
      <w:pPr>
        <w:pStyle w:val="ListParagraph"/>
        <w:spacing w:after="120" w:line="240" w:lineRule="auto"/>
        <w:ind w:left="0"/>
        <w:jc w:val="both"/>
        <w:rPr>
          <w:rFonts w:cstheme="minorHAnsi"/>
          <w:iCs/>
        </w:rPr>
      </w:pPr>
    </w:p>
    <w:p w14:paraId="39114D3C" w14:textId="29F6EB3E" w:rsidR="007861DC" w:rsidRPr="00515F18" w:rsidRDefault="007861DC" w:rsidP="00515F18">
      <w:pPr>
        <w:spacing w:after="120" w:line="240" w:lineRule="auto"/>
        <w:rPr>
          <w:rFonts w:cstheme="minorHAnsi"/>
          <w:b/>
          <w:bCs/>
        </w:rPr>
      </w:pPr>
      <w:r w:rsidRPr="00515F18">
        <w:rPr>
          <w:rFonts w:cstheme="minorHAnsi"/>
          <w:b/>
          <w:bCs/>
        </w:rPr>
        <w:t>For general comments please use the template provided in page 2 below</w:t>
      </w:r>
    </w:p>
    <w:p w14:paraId="3992353E" w14:textId="77777777" w:rsidR="007861DC" w:rsidRPr="00515F18" w:rsidRDefault="007861DC" w:rsidP="00515F18">
      <w:pPr>
        <w:pStyle w:val="ListParagraph"/>
        <w:spacing w:after="120" w:line="240" w:lineRule="auto"/>
        <w:ind w:left="0"/>
        <w:jc w:val="both"/>
        <w:rPr>
          <w:rFonts w:cstheme="minorHAnsi"/>
          <w:iCs/>
        </w:rPr>
      </w:pPr>
    </w:p>
    <w:p w14:paraId="18A6B862" w14:textId="77777777" w:rsidR="007861DC" w:rsidRPr="00515F18" w:rsidRDefault="007861DC" w:rsidP="00515F18">
      <w:pPr>
        <w:pStyle w:val="ListParagraph"/>
        <w:spacing w:after="120" w:line="240" w:lineRule="auto"/>
        <w:ind w:left="0"/>
        <w:jc w:val="both"/>
        <w:rPr>
          <w:rFonts w:cstheme="minorHAnsi"/>
          <w:i/>
        </w:rPr>
      </w:pPr>
    </w:p>
    <w:p w14:paraId="22E65D04" w14:textId="77777777" w:rsidR="006D0214" w:rsidRPr="00515F18" w:rsidRDefault="006D0214" w:rsidP="00515F18">
      <w:pPr>
        <w:pStyle w:val="ListParagraph"/>
        <w:spacing w:after="120" w:line="240" w:lineRule="auto"/>
        <w:ind w:left="0"/>
        <w:rPr>
          <w:rFonts w:cstheme="minorHAnsi"/>
        </w:rPr>
      </w:pPr>
    </w:p>
    <w:p w14:paraId="1742C87C" w14:textId="7B30156B" w:rsidR="009D4B90" w:rsidRPr="00515F18" w:rsidRDefault="009D4B90" w:rsidP="00515F18">
      <w:pPr>
        <w:spacing w:after="120" w:line="240" w:lineRule="auto"/>
        <w:rPr>
          <w:rFonts w:cstheme="minorHAnsi"/>
        </w:rPr>
      </w:pPr>
    </w:p>
    <w:p w14:paraId="2AA34B97" w14:textId="55B33163" w:rsidR="00C45007" w:rsidRPr="00515F18" w:rsidRDefault="00C45007" w:rsidP="00515F18">
      <w:pPr>
        <w:spacing w:after="120" w:line="240" w:lineRule="auto"/>
        <w:rPr>
          <w:rFonts w:cstheme="minorHAnsi"/>
        </w:rPr>
      </w:pPr>
    </w:p>
    <w:p w14:paraId="0399F8A3" w14:textId="1B2141F6" w:rsidR="00D0549A" w:rsidRPr="00515F18" w:rsidRDefault="00D0549A" w:rsidP="00515F18">
      <w:pPr>
        <w:spacing w:after="120" w:line="240" w:lineRule="auto"/>
        <w:rPr>
          <w:rFonts w:cstheme="minorHAnsi"/>
        </w:rPr>
        <w:sectPr w:rsidR="00D0549A" w:rsidRPr="00515F18" w:rsidSect="00D0549A">
          <w:headerReference w:type="default" r:id="rId16"/>
          <w:footerReference w:type="default" r:id="rId17"/>
          <w:pgSz w:w="16838" w:h="23811" w:code="8"/>
          <w:pgMar w:top="1440" w:right="1440" w:bottom="1440" w:left="1440" w:header="709" w:footer="709" w:gutter="0"/>
          <w:cols w:space="708"/>
          <w:docGrid w:linePitch="360"/>
        </w:sectPr>
      </w:pPr>
    </w:p>
    <w:p w14:paraId="553BA13E" w14:textId="635F542C" w:rsidR="00FC6E3F" w:rsidRPr="00515F18" w:rsidRDefault="007D5CC7" w:rsidP="00515F18">
      <w:pPr>
        <w:tabs>
          <w:tab w:val="left" w:pos="2943"/>
          <w:tab w:val="left" w:pos="6912"/>
          <w:tab w:val="left" w:pos="10314"/>
        </w:tabs>
        <w:spacing w:after="120" w:line="240" w:lineRule="auto"/>
        <w:rPr>
          <w:rFonts w:eastAsia="Arial" w:cstheme="minorHAnsi"/>
          <w:b/>
          <w:bCs/>
        </w:rPr>
      </w:pPr>
      <w:r w:rsidRPr="00515F18">
        <w:rPr>
          <w:rFonts w:eastAsia="Arial" w:cstheme="minorHAnsi"/>
          <w:b/>
          <w:bCs/>
        </w:rPr>
        <w:t xml:space="preserve">Table 1. </w:t>
      </w:r>
      <w:r w:rsidR="537B4EE1" w:rsidRPr="00515F18">
        <w:rPr>
          <w:rFonts w:eastAsia="Arial" w:cstheme="minorHAnsi"/>
          <w:b/>
          <w:bCs/>
        </w:rPr>
        <w:t>I</w:t>
      </w:r>
      <w:r w:rsidRPr="00515F18">
        <w:rPr>
          <w:rFonts w:eastAsia="Arial" w:cstheme="minorHAnsi"/>
          <w:b/>
          <w:bCs/>
        </w:rPr>
        <w:t xml:space="preserve">ndicators for monitoring elements of the </w:t>
      </w:r>
      <w:r w:rsidR="6B5A6514" w:rsidRPr="00515F18">
        <w:rPr>
          <w:rFonts w:eastAsia="Arial" w:cstheme="minorHAnsi"/>
          <w:b/>
          <w:bCs/>
        </w:rPr>
        <w:t>draft</w:t>
      </w:r>
      <w:r w:rsidRPr="00515F18">
        <w:rPr>
          <w:rFonts w:eastAsia="Arial" w:cstheme="minorHAnsi"/>
          <w:b/>
          <w:bCs/>
        </w:rPr>
        <w:t xml:space="preserve"> goals</w:t>
      </w:r>
      <w:r w:rsidR="00CE01C7" w:rsidRPr="00515F18">
        <w:rPr>
          <w:rFonts w:eastAsia="Arial" w:cstheme="minorHAnsi"/>
          <w:b/>
          <w:bCs/>
        </w:rPr>
        <w:t xml:space="preserve"> (wit</w:t>
      </w:r>
      <w:r w:rsidR="56487702" w:rsidRPr="00515F18">
        <w:rPr>
          <w:rFonts w:eastAsia="Arial" w:cstheme="minorHAnsi"/>
          <w:b/>
          <w:bCs/>
        </w:rPr>
        <w:t>h</w:t>
      </w:r>
      <w:r w:rsidR="00CE01C7" w:rsidRPr="00515F18">
        <w:rPr>
          <w:rFonts w:eastAsia="Arial" w:cstheme="minorHAnsi"/>
          <w:b/>
          <w:bCs/>
        </w:rPr>
        <w:t xml:space="preserve"> example entries)</w:t>
      </w:r>
    </w:p>
    <w:tbl>
      <w:tblPr>
        <w:tblStyle w:val="TableGrid"/>
        <w:tblW w:w="21803" w:type="dxa"/>
        <w:tblLayout w:type="fixed"/>
        <w:tblLook w:val="04A0" w:firstRow="1" w:lastRow="0" w:firstColumn="1" w:lastColumn="0" w:noHBand="0" w:noVBand="1"/>
      </w:tblPr>
      <w:tblGrid>
        <w:gridCol w:w="1781"/>
        <w:gridCol w:w="1936"/>
        <w:gridCol w:w="1787"/>
        <w:gridCol w:w="1489"/>
        <w:gridCol w:w="1194"/>
        <w:gridCol w:w="1341"/>
        <w:gridCol w:w="1042"/>
        <w:gridCol w:w="1193"/>
        <w:gridCol w:w="1340"/>
        <w:gridCol w:w="1640"/>
        <w:gridCol w:w="1340"/>
        <w:gridCol w:w="1166"/>
        <w:gridCol w:w="966"/>
        <w:gridCol w:w="1794"/>
        <w:gridCol w:w="1794"/>
      </w:tblGrid>
      <w:tr w:rsidR="00FC6E3F" w:rsidRPr="00515F18" w14:paraId="0932054A" w14:textId="77777777" w:rsidTr="001D764F">
        <w:trPr>
          <w:trHeight w:val="280"/>
          <w:tblHeader/>
        </w:trPr>
        <w:tc>
          <w:tcPr>
            <w:tcW w:w="1781" w:type="dxa"/>
            <w:shd w:val="clear" w:color="auto" w:fill="BFBFBF" w:themeFill="background1" w:themeFillShade="BF"/>
            <w:vAlign w:val="center"/>
          </w:tcPr>
          <w:p w14:paraId="45169585" w14:textId="77777777" w:rsidR="00FC6E3F" w:rsidRPr="00515F18" w:rsidRDefault="00FC6E3F" w:rsidP="00515F18">
            <w:pPr>
              <w:spacing w:after="120"/>
              <w:jc w:val="center"/>
              <w:rPr>
                <w:rFonts w:cstheme="minorHAnsi"/>
                <w:b/>
              </w:rPr>
            </w:pPr>
            <w:bookmarkStart w:id="0" w:name="_Hlk43808610"/>
            <w:r w:rsidRPr="00515F18">
              <w:rPr>
                <w:rFonts w:cstheme="minorHAnsi"/>
                <w:b/>
              </w:rPr>
              <w:t>1</w:t>
            </w:r>
          </w:p>
        </w:tc>
        <w:tc>
          <w:tcPr>
            <w:tcW w:w="1936" w:type="dxa"/>
            <w:shd w:val="clear" w:color="auto" w:fill="BFBFBF" w:themeFill="background1" w:themeFillShade="BF"/>
            <w:vAlign w:val="center"/>
          </w:tcPr>
          <w:p w14:paraId="0E72E2A4" w14:textId="77777777" w:rsidR="00FC6E3F" w:rsidRPr="00515F18" w:rsidRDefault="00FC6E3F" w:rsidP="00515F18">
            <w:pPr>
              <w:spacing w:after="120"/>
              <w:ind w:firstLine="171"/>
              <w:jc w:val="center"/>
              <w:rPr>
                <w:rFonts w:cstheme="minorHAnsi"/>
                <w:b/>
              </w:rPr>
            </w:pPr>
            <w:r w:rsidRPr="00515F18">
              <w:rPr>
                <w:rFonts w:cstheme="minorHAnsi"/>
                <w:b/>
              </w:rPr>
              <w:t>2</w:t>
            </w:r>
          </w:p>
        </w:tc>
        <w:tc>
          <w:tcPr>
            <w:tcW w:w="1787" w:type="dxa"/>
            <w:shd w:val="clear" w:color="auto" w:fill="BFBFBF" w:themeFill="background1" w:themeFillShade="BF"/>
            <w:vAlign w:val="center"/>
          </w:tcPr>
          <w:p w14:paraId="686D6074" w14:textId="77777777" w:rsidR="00FC6E3F" w:rsidRPr="00515F18" w:rsidRDefault="00FC6E3F" w:rsidP="00515F18">
            <w:pPr>
              <w:spacing w:after="120"/>
              <w:ind w:firstLine="171"/>
              <w:jc w:val="center"/>
              <w:rPr>
                <w:rFonts w:cstheme="minorHAnsi"/>
                <w:b/>
              </w:rPr>
            </w:pPr>
            <w:r w:rsidRPr="00515F18">
              <w:rPr>
                <w:rFonts w:cstheme="minorHAnsi"/>
                <w:b/>
              </w:rPr>
              <w:t>3</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1A28CB" w14:textId="77777777" w:rsidR="00FC6E3F" w:rsidRPr="00515F18" w:rsidRDefault="00FC6E3F" w:rsidP="00515F18">
            <w:pPr>
              <w:spacing w:after="120"/>
              <w:jc w:val="center"/>
              <w:rPr>
                <w:rFonts w:cstheme="minorHAnsi"/>
                <w:b/>
              </w:rPr>
            </w:pPr>
            <w:r w:rsidRPr="00515F18">
              <w:rPr>
                <w:rFonts w:cstheme="minorHAnsi"/>
                <w:b/>
              </w:rPr>
              <w:t>4</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9BC7BD"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5</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4A8F40" w14:textId="77777777" w:rsidR="00FC6E3F" w:rsidRPr="00515F18" w:rsidRDefault="00FC6E3F" w:rsidP="00515F18">
            <w:pPr>
              <w:spacing w:after="120"/>
              <w:jc w:val="center"/>
              <w:rPr>
                <w:rFonts w:cstheme="minorHAnsi"/>
                <w:b/>
              </w:rPr>
            </w:pPr>
            <w:r w:rsidRPr="00515F18">
              <w:rPr>
                <w:rFonts w:cstheme="minorHAnsi"/>
                <w:b/>
              </w:rPr>
              <w:t>6</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66722D" w14:textId="77777777" w:rsidR="00FC6E3F" w:rsidRPr="00515F18" w:rsidRDefault="00FC6E3F" w:rsidP="00515F18">
            <w:pPr>
              <w:spacing w:after="120"/>
              <w:jc w:val="center"/>
              <w:rPr>
                <w:rFonts w:cstheme="minorHAnsi"/>
                <w:b/>
              </w:rPr>
            </w:pPr>
            <w:r w:rsidRPr="00515F18">
              <w:rPr>
                <w:rFonts w:cstheme="minorHAnsi"/>
                <w:b/>
              </w:rPr>
              <w:t>7</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36FFB7"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8</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FCE160"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9</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5F0E2C"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10</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AF6FD9"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11</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62A4B6"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12</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559B87"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13</w:t>
            </w:r>
          </w:p>
        </w:tc>
        <w:tc>
          <w:tcPr>
            <w:tcW w:w="1794" w:type="dxa"/>
            <w:shd w:val="clear" w:color="auto" w:fill="BFBFBF" w:themeFill="background1" w:themeFillShade="BF"/>
            <w:vAlign w:val="center"/>
          </w:tcPr>
          <w:p w14:paraId="083C79D7" w14:textId="77777777" w:rsidR="00FC6E3F" w:rsidRPr="00515F18" w:rsidRDefault="00FC6E3F" w:rsidP="00515F18">
            <w:pPr>
              <w:spacing w:after="120"/>
              <w:jc w:val="center"/>
              <w:rPr>
                <w:rFonts w:cstheme="minorHAnsi"/>
                <w:b/>
              </w:rPr>
            </w:pPr>
            <w:r w:rsidRPr="00515F18">
              <w:rPr>
                <w:rFonts w:cstheme="minorHAnsi"/>
                <w:b/>
              </w:rPr>
              <w:t>14</w:t>
            </w:r>
          </w:p>
        </w:tc>
        <w:tc>
          <w:tcPr>
            <w:tcW w:w="1794" w:type="dxa"/>
            <w:shd w:val="clear" w:color="auto" w:fill="BFBFBF" w:themeFill="background1" w:themeFillShade="BF"/>
          </w:tcPr>
          <w:p w14:paraId="131AE0E2" w14:textId="77777777" w:rsidR="00FC6E3F" w:rsidRPr="00515F18" w:rsidRDefault="00FC6E3F" w:rsidP="00515F18">
            <w:pPr>
              <w:spacing w:after="120"/>
              <w:jc w:val="center"/>
              <w:rPr>
                <w:rFonts w:cstheme="minorHAnsi"/>
                <w:b/>
              </w:rPr>
            </w:pPr>
            <w:r w:rsidRPr="00515F18">
              <w:rPr>
                <w:rFonts w:cstheme="minorHAnsi"/>
                <w:b/>
              </w:rPr>
              <w:t>15</w:t>
            </w:r>
          </w:p>
        </w:tc>
      </w:tr>
      <w:tr w:rsidR="00FC6E3F" w:rsidRPr="00515F18" w14:paraId="15B24120" w14:textId="77777777" w:rsidTr="001D764F">
        <w:trPr>
          <w:trHeight w:val="1041"/>
          <w:tblHeader/>
        </w:trPr>
        <w:tc>
          <w:tcPr>
            <w:tcW w:w="1781" w:type="dxa"/>
            <w:shd w:val="clear" w:color="auto" w:fill="BFBFBF" w:themeFill="background1" w:themeFillShade="BF"/>
            <w:vAlign w:val="center"/>
          </w:tcPr>
          <w:p w14:paraId="5F018A6C" w14:textId="2BFD58B7" w:rsidR="00FC6E3F" w:rsidRPr="00515F18" w:rsidRDefault="00FC6E3F" w:rsidP="00515F18">
            <w:pPr>
              <w:pStyle w:val="ListParagraph"/>
              <w:spacing w:after="120"/>
              <w:ind w:left="0"/>
              <w:jc w:val="center"/>
              <w:rPr>
                <w:rFonts w:cstheme="minorHAnsi"/>
                <w:b/>
                <w:bCs/>
              </w:rPr>
            </w:pPr>
            <w:r w:rsidRPr="00515F18">
              <w:rPr>
                <w:rFonts w:cstheme="minorHAnsi"/>
                <w:b/>
              </w:rPr>
              <w:t xml:space="preserve">Components of the </w:t>
            </w:r>
            <w:r w:rsidR="2496F773" w:rsidRPr="00515F18">
              <w:rPr>
                <w:rFonts w:cstheme="minorHAnsi"/>
                <w:b/>
                <w:bCs/>
              </w:rPr>
              <w:t>draft</w:t>
            </w:r>
            <w:r w:rsidRPr="00515F18">
              <w:rPr>
                <w:rFonts w:cstheme="minorHAnsi"/>
                <w:b/>
              </w:rPr>
              <w:t xml:space="preserve"> </w:t>
            </w:r>
            <w:r w:rsidRPr="00515F18">
              <w:rPr>
                <w:rFonts w:cstheme="minorHAnsi"/>
                <w:b/>
                <w:bCs/>
              </w:rPr>
              <w:t>Goal</w:t>
            </w:r>
            <w:r w:rsidR="3C9B3B10" w:rsidRPr="00515F18">
              <w:rPr>
                <w:rFonts w:cstheme="minorHAnsi"/>
                <w:b/>
                <w:bCs/>
              </w:rPr>
              <w:t>s</w:t>
            </w:r>
          </w:p>
          <w:p w14:paraId="314137BA" w14:textId="77777777" w:rsidR="007A15AD" w:rsidRPr="00515F18" w:rsidRDefault="007A15AD" w:rsidP="00515F18">
            <w:pPr>
              <w:pStyle w:val="ListParagraph"/>
              <w:spacing w:after="120"/>
              <w:ind w:left="0"/>
              <w:jc w:val="center"/>
              <w:rPr>
                <w:rFonts w:cstheme="minorHAnsi"/>
                <w:b/>
                <w:bCs/>
              </w:rPr>
            </w:pPr>
          </w:p>
          <w:p w14:paraId="10E767FF" w14:textId="122CB5BE" w:rsidR="007A15AD" w:rsidRPr="00515F18" w:rsidRDefault="007A15AD" w:rsidP="00515F18">
            <w:pPr>
              <w:pStyle w:val="ListParagraph"/>
              <w:spacing w:after="120"/>
              <w:ind w:left="0"/>
              <w:rPr>
                <w:rFonts w:cstheme="minorHAnsi"/>
                <w:b/>
                <w:bCs/>
              </w:rPr>
            </w:pPr>
            <w:r w:rsidRPr="00515F18">
              <w:rPr>
                <w:rFonts w:cstheme="minorHAnsi"/>
                <w:b/>
                <w:bCs/>
              </w:rPr>
              <w:t xml:space="preserve">(copy/paste text from </w:t>
            </w:r>
            <w:hyperlink r:id="rId18" w:history="1">
              <w:r w:rsidRPr="00515F18">
                <w:rPr>
                  <w:rStyle w:val="Hyperlink"/>
                  <w:rFonts w:cstheme="minorHAnsi"/>
                  <w:b/>
                  <w:bCs/>
                </w:rPr>
                <w:t>CBD/SBSTTA</w:t>
              </w:r>
              <w:r w:rsidR="00DD789A" w:rsidRPr="00515F18">
                <w:rPr>
                  <w:rStyle w:val="Hyperlink"/>
                  <w:rFonts w:cstheme="minorHAnsi"/>
                  <w:b/>
                  <w:bCs/>
                </w:rPr>
                <w:t>-24</w:t>
              </w:r>
              <w:r w:rsidRPr="00515F18">
                <w:rPr>
                  <w:rStyle w:val="Hyperlink"/>
                  <w:rFonts w:cstheme="minorHAnsi"/>
                  <w:b/>
                  <w:bCs/>
                </w:rPr>
                <w:t>/</w:t>
              </w:r>
              <w:r w:rsidR="00DD789A" w:rsidRPr="00515F18">
                <w:rPr>
                  <w:rStyle w:val="Hyperlink"/>
                  <w:rFonts w:cstheme="minorHAnsi"/>
                  <w:b/>
                  <w:bCs/>
                </w:rPr>
                <w:t>post-2020-monitoring.en.pdf</w:t>
              </w:r>
            </w:hyperlink>
            <w:r w:rsidRPr="00515F18">
              <w:rPr>
                <w:rFonts w:cstheme="minorHAnsi"/>
                <w:b/>
                <w:bCs/>
              </w:rPr>
              <w:t>)</w:t>
            </w:r>
          </w:p>
          <w:p w14:paraId="59284752" w14:textId="77777777" w:rsidR="00FC6E3F" w:rsidRPr="00515F18" w:rsidRDefault="00FC6E3F" w:rsidP="00515F18">
            <w:pPr>
              <w:spacing w:after="120"/>
              <w:ind w:firstLine="171"/>
              <w:jc w:val="center"/>
              <w:rPr>
                <w:rFonts w:cstheme="minorHAnsi"/>
              </w:rPr>
            </w:pPr>
          </w:p>
        </w:tc>
        <w:tc>
          <w:tcPr>
            <w:tcW w:w="1936" w:type="dxa"/>
            <w:shd w:val="clear" w:color="auto" w:fill="BFBFBF" w:themeFill="background1" w:themeFillShade="BF"/>
            <w:vAlign w:val="center"/>
          </w:tcPr>
          <w:p w14:paraId="0427E6A5" w14:textId="074A5D19" w:rsidR="00FC6E3F" w:rsidRPr="00515F18" w:rsidRDefault="027D3038" w:rsidP="00515F18">
            <w:pPr>
              <w:spacing w:after="120"/>
              <w:jc w:val="center"/>
              <w:rPr>
                <w:rFonts w:cstheme="minorHAnsi"/>
                <w:b/>
              </w:rPr>
            </w:pPr>
            <w:r w:rsidRPr="00515F18">
              <w:rPr>
                <w:rFonts w:cstheme="minorHAnsi"/>
                <w:b/>
                <w:bCs/>
              </w:rPr>
              <w:t xml:space="preserve">Goal </w:t>
            </w:r>
            <w:r w:rsidR="00FC6E3F" w:rsidRPr="00515F18">
              <w:rPr>
                <w:rFonts w:cstheme="minorHAnsi"/>
                <w:b/>
              </w:rPr>
              <w:t>Monitoring Elements</w:t>
            </w:r>
          </w:p>
          <w:p w14:paraId="4AE24CCA" w14:textId="77777777" w:rsidR="007A15AD" w:rsidRPr="00515F18" w:rsidRDefault="007A15AD" w:rsidP="00515F18">
            <w:pPr>
              <w:spacing w:after="120"/>
              <w:jc w:val="center"/>
              <w:rPr>
                <w:rFonts w:cstheme="minorHAnsi"/>
                <w:b/>
              </w:rPr>
            </w:pPr>
          </w:p>
          <w:p w14:paraId="09C7FB92" w14:textId="493A25FC" w:rsidR="007A15AD" w:rsidRPr="00515F18" w:rsidRDefault="007A15AD" w:rsidP="00515F18">
            <w:pPr>
              <w:pStyle w:val="ListParagraph"/>
              <w:spacing w:after="120"/>
              <w:ind w:left="0"/>
              <w:rPr>
                <w:rFonts w:cstheme="minorHAnsi"/>
                <w:b/>
                <w:bCs/>
              </w:rPr>
            </w:pPr>
            <w:r w:rsidRPr="00515F18">
              <w:rPr>
                <w:rFonts w:cstheme="minorHAnsi"/>
                <w:b/>
                <w:bCs/>
              </w:rPr>
              <w:t xml:space="preserve">(copy/paste text from </w:t>
            </w:r>
            <w:hyperlink r:id="rId19" w:history="1">
              <w:r w:rsidR="00DD789A" w:rsidRPr="00515F18">
                <w:rPr>
                  <w:rStyle w:val="Hyperlink"/>
                  <w:rFonts w:cstheme="minorHAnsi"/>
                  <w:b/>
                  <w:bCs/>
                </w:rPr>
                <w:t>CBD/SBSTTA-24/post-2020-monitoring.en.pdf</w:t>
              </w:r>
            </w:hyperlink>
            <w:r w:rsidR="00DD789A" w:rsidRPr="00515F18">
              <w:rPr>
                <w:rFonts w:cstheme="minorHAnsi"/>
                <w:b/>
                <w:bCs/>
              </w:rPr>
              <w:t>)</w:t>
            </w:r>
          </w:p>
          <w:p w14:paraId="7944F8D1" w14:textId="674CB0CF" w:rsidR="007A15AD" w:rsidRPr="00515F18" w:rsidRDefault="007A15AD" w:rsidP="00515F18">
            <w:pPr>
              <w:spacing w:after="120"/>
              <w:jc w:val="center"/>
              <w:rPr>
                <w:rFonts w:cstheme="minorHAnsi"/>
                <w:b/>
              </w:rPr>
            </w:pPr>
          </w:p>
        </w:tc>
        <w:tc>
          <w:tcPr>
            <w:tcW w:w="1787" w:type="dxa"/>
            <w:shd w:val="clear" w:color="auto" w:fill="BFBFBF" w:themeFill="background1" w:themeFillShade="BF"/>
            <w:vAlign w:val="center"/>
          </w:tcPr>
          <w:p w14:paraId="660A5692" w14:textId="0C0D385D" w:rsidR="00FC6E3F" w:rsidRPr="00515F18" w:rsidRDefault="2E052AC5" w:rsidP="00515F18">
            <w:pPr>
              <w:spacing w:after="120"/>
              <w:jc w:val="center"/>
              <w:rPr>
                <w:rFonts w:cstheme="minorHAnsi"/>
                <w:b/>
              </w:rPr>
            </w:pPr>
            <w:r w:rsidRPr="00515F18">
              <w:rPr>
                <w:rFonts w:cstheme="minorHAnsi"/>
                <w:b/>
                <w:bCs/>
              </w:rPr>
              <w:t>Indicator</w:t>
            </w:r>
            <w:r w:rsidR="4C2A04B9" w:rsidRPr="00515F18">
              <w:rPr>
                <w:rFonts w:cstheme="minorHAnsi"/>
                <w:b/>
                <w:bCs/>
              </w:rPr>
              <w:t xml:space="preserve"> name</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A80791" w14:textId="0DAD32EE" w:rsidR="00FC6E3F" w:rsidRPr="00515F18" w:rsidRDefault="00FC6E3F" w:rsidP="00515F18">
            <w:pPr>
              <w:spacing w:after="120"/>
              <w:jc w:val="center"/>
              <w:rPr>
                <w:rFonts w:cstheme="minorHAnsi"/>
                <w:b/>
              </w:rPr>
            </w:pPr>
            <w:r w:rsidRPr="00515F18">
              <w:rPr>
                <w:rFonts w:cstheme="minorHAnsi"/>
                <w:b/>
              </w:rPr>
              <w:t>Responsible Institution</w:t>
            </w:r>
            <w:r w:rsidR="37D47C2D" w:rsidRPr="00515F18">
              <w:rPr>
                <w:rFonts w:cstheme="minorHAnsi"/>
                <w:b/>
                <w:bCs/>
              </w:rPr>
              <w:t xml:space="preserve"> for the indicator</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370811" w14:textId="77777777" w:rsidR="00FC6E3F" w:rsidRPr="00515F18" w:rsidRDefault="00FC6E3F" w:rsidP="00515F18">
            <w:pPr>
              <w:spacing w:after="120"/>
              <w:jc w:val="center"/>
              <w:rPr>
                <w:rFonts w:cstheme="minorHAnsi"/>
                <w:b/>
              </w:rPr>
            </w:pPr>
            <w:r w:rsidRPr="00515F18">
              <w:rPr>
                <w:rFonts w:eastAsia="Times New Roman" w:cstheme="minorHAnsi"/>
                <w:b/>
                <w:bCs/>
                <w:snapToGrid w:val="0"/>
                <w:kern w:val="20"/>
              </w:rPr>
              <w:t>Available today (X) or under active development (Y)</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3D251A" w14:textId="77777777" w:rsidR="00FC6E3F" w:rsidRPr="00515F18" w:rsidRDefault="00FC6E3F" w:rsidP="00515F18">
            <w:pPr>
              <w:spacing w:after="120"/>
              <w:jc w:val="center"/>
              <w:rPr>
                <w:rFonts w:cstheme="minorHAnsi"/>
                <w:b/>
              </w:rPr>
            </w:pPr>
            <w:r w:rsidRPr="00515F18">
              <w:rPr>
                <w:rFonts w:cstheme="minorHAnsi"/>
                <w:b/>
              </w:rPr>
              <w:t>Date of availability for indicator in development (Year)</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C547BC" w14:textId="77777777" w:rsidR="00FC6E3F" w:rsidRPr="00515F18" w:rsidRDefault="00FC6E3F" w:rsidP="00515F18">
            <w:pPr>
              <w:spacing w:after="120"/>
              <w:jc w:val="center"/>
              <w:rPr>
                <w:rFonts w:cstheme="minorHAnsi"/>
                <w:b/>
              </w:rPr>
            </w:pPr>
            <w:r w:rsidRPr="00515F18">
              <w:rPr>
                <w:rFonts w:cstheme="minorHAnsi"/>
                <w:b/>
              </w:rPr>
              <w:t>Year of last update (e.g. 2019)</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5DE9B7" w14:textId="77777777" w:rsidR="00FC6E3F" w:rsidRPr="00515F18" w:rsidRDefault="00FC6E3F" w:rsidP="00515F18">
            <w:pPr>
              <w:spacing w:after="120"/>
              <w:jc w:val="center"/>
              <w:rPr>
                <w:rFonts w:eastAsia="Times New Roman" w:cstheme="minorHAnsi"/>
                <w:b/>
                <w:bCs/>
                <w:snapToGrid w:val="0"/>
                <w:kern w:val="20"/>
              </w:rPr>
            </w:pPr>
            <w:r w:rsidRPr="00515F18">
              <w:rPr>
                <w:rFonts w:eastAsia="Arial" w:cstheme="minorHAnsi"/>
                <w:b/>
              </w:rPr>
              <w:t>Time series and frequency of updates (e.g. 1985-2019, annually)</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DBD2F8"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Methodology available for national use (Y/N)</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39447E"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Global indicator can be disaggregated for national use (Y/N)</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056BCB" w14:textId="77777777" w:rsidR="00FC6E3F" w:rsidRPr="00515F18" w:rsidRDefault="00FC6E3F" w:rsidP="00515F18">
            <w:pPr>
              <w:spacing w:after="120"/>
              <w:jc w:val="center"/>
              <w:rPr>
                <w:rFonts w:cstheme="minorHAnsi"/>
                <w:b/>
              </w:rPr>
            </w:pPr>
            <w:r w:rsidRPr="00515F18">
              <w:rPr>
                <w:rFonts w:eastAsia="Times New Roman" w:cstheme="minorHAnsi"/>
                <w:b/>
                <w:bCs/>
                <w:snapToGrid w:val="0"/>
                <w:kern w:val="20"/>
              </w:rPr>
              <w:t>National data aggregated to form global indicator (Y/N)</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05124D" w14:textId="0D95591B" w:rsidR="00FC6E3F" w:rsidRPr="00515F18" w:rsidRDefault="00FC6E3F" w:rsidP="00515F18">
            <w:pPr>
              <w:spacing w:after="120"/>
              <w:jc w:val="center"/>
              <w:rPr>
                <w:rFonts w:cstheme="minorHAnsi"/>
                <w:b/>
              </w:rPr>
            </w:pPr>
            <w:r w:rsidRPr="00515F18">
              <w:rPr>
                <w:rFonts w:eastAsia="Times New Roman" w:cstheme="minorHAnsi"/>
                <w:b/>
                <w:bCs/>
                <w:snapToGrid w:val="0"/>
                <w:kern w:val="20"/>
              </w:rPr>
              <w:t>Used in GBO</w:t>
            </w:r>
            <w:r w:rsidR="562409C0" w:rsidRPr="00515F18">
              <w:rPr>
                <w:rFonts w:eastAsia="Times New Roman" w:cstheme="minorHAnsi"/>
                <w:b/>
                <w:bCs/>
                <w:snapToGrid w:val="0"/>
                <w:kern w:val="20"/>
              </w:rPr>
              <w:t>-</w:t>
            </w:r>
            <w:r w:rsidRPr="00515F18">
              <w:rPr>
                <w:rFonts w:eastAsia="Times New Roman" w:cstheme="minorHAnsi"/>
                <w:b/>
                <w:bCs/>
                <w:snapToGrid w:val="0"/>
                <w:kern w:val="20"/>
              </w:rPr>
              <w:t>4 (Y/N)</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9BFFB9" w14:textId="77777777" w:rsidR="00FC6E3F" w:rsidRPr="00515F18" w:rsidRDefault="00FC6E3F" w:rsidP="00515F18">
            <w:pPr>
              <w:spacing w:after="120"/>
              <w:jc w:val="center"/>
              <w:rPr>
                <w:rFonts w:cstheme="minorHAnsi"/>
                <w:b/>
              </w:rPr>
            </w:pPr>
            <w:r w:rsidRPr="00515F18">
              <w:rPr>
                <w:rFonts w:eastAsia="Times New Roman" w:cstheme="minorHAnsi"/>
                <w:b/>
                <w:bCs/>
                <w:snapToGrid w:val="0"/>
                <w:kern w:val="20"/>
              </w:rPr>
              <w:t>SDG indicator (Y/N)</w:t>
            </w:r>
          </w:p>
        </w:tc>
        <w:tc>
          <w:tcPr>
            <w:tcW w:w="1794" w:type="dxa"/>
            <w:shd w:val="clear" w:color="auto" w:fill="BFBFBF" w:themeFill="background1" w:themeFillShade="BF"/>
            <w:vAlign w:val="center"/>
          </w:tcPr>
          <w:p w14:paraId="6FAE1753" w14:textId="60B59248" w:rsidR="00FC6E3F" w:rsidRPr="00515F18" w:rsidRDefault="00FC6E3F" w:rsidP="00515F18">
            <w:pPr>
              <w:spacing w:after="120"/>
              <w:jc w:val="center"/>
              <w:rPr>
                <w:rFonts w:cstheme="minorHAnsi"/>
                <w:b/>
              </w:rPr>
            </w:pPr>
            <w:r w:rsidRPr="00515F18">
              <w:rPr>
                <w:rFonts w:cstheme="minorHAnsi"/>
                <w:b/>
              </w:rPr>
              <w:t>Indicator used to measure other MEAs or processes (e.g. Ramsar</w:t>
            </w:r>
            <w:r w:rsidR="4AE51243" w:rsidRPr="00515F18">
              <w:rPr>
                <w:rFonts w:cstheme="minorHAnsi"/>
                <w:b/>
                <w:bCs/>
              </w:rPr>
              <w:t xml:space="preserve">  Convention</w:t>
            </w:r>
            <w:r w:rsidRPr="00515F18">
              <w:rPr>
                <w:rFonts w:cstheme="minorHAnsi"/>
                <w:b/>
              </w:rPr>
              <w:t>, IPBES, CMS)</w:t>
            </w:r>
          </w:p>
        </w:tc>
        <w:tc>
          <w:tcPr>
            <w:tcW w:w="1794" w:type="dxa"/>
            <w:shd w:val="clear" w:color="auto" w:fill="BFBFBF" w:themeFill="background1" w:themeFillShade="BF"/>
            <w:vAlign w:val="center"/>
          </w:tcPr>
          <w:p w14:paraId="04C1B10F" w14:textId="77777777" w:rsidR="00FC6E3F" w:rsidRPr="00515F18" w:rsidRDefault="00FC6E3F" w:rsidP="00515F18">
            <w:pPr>
              <w:spacing w:after="120"/>
              <w:jc w:val="center"/>
              <w:rPr>
                <w:rFonts w:cstheme="minorHAnsi"/>
                <w:b/>
              </w:rPr>
            </w:pPr>
            <w:r w:rsidRPr="00515F18">
              <w:rPr>
                <w:rFonts w:cstheme="minorHAnsi"/>
                <w:b/>
              </w:rPr>
              <w:t>Comments</w:t>
            </w:r>
          </w:p>
        </w:tc>
      </w:tr>
      <w:tr w:rsidR="00E94979" w:rsidRPr="00515F18" w14:paraId="70161528" w14:textId="77777777" w:rsidTr="007A15AD">
        <w:trPr>
          <w:trHeight w:val="236"/>
        </w:trPr>
        <w:tc>
          <w:tcPr>
            <w:tcW w:w="1781" w:type="dxa"/>
            <w:shd w:val="clear" w:color="auto" w:fill="FFE599" w:themeFill="accent4" w:themeFillTint="66"/>
          </w:tcPr>
          <w:p w14:paraId="13487FD3" w14:textId="77777777" w:rsidR="00E94979" w:rsidRPr="00515F18" w:rsidRDefault="00E94979" w:rsidP="00515F18">
            <w:pPr>
              <w:spacing w:after="120"/>
              <w:rPr>
                <w:rFonts w:eastAsia="Arial" w:cstheme="minorHAnsi"/>
              </w:rPr>
            </w:pPr>
            <w:r w:rsidRPr="00515F18">
              <w:rPr>
                <w:rFonts w:eastAsia="Arial" w:cstheme="minorHAnsi"/>
              </w:rPr>
              <w:t>GA5. Maintain</w:t>
            </w:r>
          </w:p>
          <w:p w14:paraId="5F5C7BDF" w14:textId="77777777" w:rsidR="00E94979" w:rsidRPr="00515F18" w:rsidRDefault="00E94979" w:rsidP="00515F18">
            <w:pPr>
              <w:spacing w:after="120"/>
              <w:rPr>
                <w:rFonts w:eastAsia="Arial" w:cstheme="minorHAnsi"/>
              </w:rPr>
            </w:pPr>
            <w:r w:rsidRPr="00515F18">
              <w:rPr>
                <w:rFonts w:eastAsia="Arial" w:cstheme="minorHAnsi"/>
              </w:rPr>
              <w:t>Genetic</w:t>
            </w:r>
          </w:p>
          <w:p w14:paraId="7F3B08B9" w14:textId="7A08F904" w:rsidR="00E94979" w:rsidRPr="00515F18" w:rsidRDefault="00E94979" w:rsidP="00515F18">
            <w:pPr>
              <w:spacing w:after="120"/>
              <w:rPr>
                <w:rFonts w:cstheme="minorHAnsi"/>
              </w:rPr>
            </w:pPr>
            <w:r w:rsidRPr="00515F18">
              <w:rPr>
                <w:rFonts w:eastAsia="Arial" w:cstheme="minorHAnsi"/>
              </w:rPr>
              <w:t>diversity</w:t>
            </w:r>
          </w:p>
        </w:tc>
        <w:tc>
          <w:tcPr>
            <w:tcW w:w="1936" w:type="dxa"/>
            <w:shd w:val="clear" w:color="auto" w:fill="FFE599" w:themeFill="accent4" w:themeFillTint="66"/>
          </w:tcPr>
          <w:p w14:paraId="45461AF2" w14:textId="77777777" w:rsidR="00E94979" w:rsidRPr="00515F18" w:rsidRDefault="00E94979" w:rsidP="00515F18">
            <w:pPr>
              <w:spacing w:after="120"/>
              <w:rPr>
                <w:rFonts w:eastAsia="Arial" w:cstheme="minorHAnsi"/>
              </w:rPr>
            </w:pPr>
            <w:r w:rsidRPr="00515F18">
              <w:rPr>
                <w:rFonts w:eastAsia="Arial" w:cstheme="minorHAnsi"/>
              </w:rPr>
              <w:t>Trends in</w:t>
            </w:r>
          </w:p>
          <w:p w14:paraId="2D847F92" w14:textId="77777777" w:rsidR="00E94979" w:rsidRPr="00515F18" w:rsidRDefault="00E94979" w:rsidP="00515F18">
            <w:pPr>
              <w:spacing w:after="120"/>
              <w:rPr>
                <w:rFonts w:eastAsia="Arial" w:cstheme="minorHAnsi"/>
              </w:rPr>
            </w:pPr>
            <w:r w:rsidRPr="00515F18">
              <w:rPr>
                <w:rFonts w:eastAsia="Arial" w:cstheme="minorHAnsi"/>
              </w:rPr>
              <w:t>the diversity</w:t>
            </w:r>
          </w:p>
          <w:p w14:paraId="4F1ECCB8" w14:textId="77777777" w:rsidR="00E94979" w:rsidRPr="00515F18" w:rsidRDefault="00E94979" w:rsidP="00515F18">
            <w:pPr>
              <w:spacing w:after="120"/>
              <w:rPr>
                <w:rFonts w:eastAsia="Arial" w:cstheme="minorHAnsi"/>
              </w:rPr>
            </w:pPr>
            <w:r w:rsidRPr="00515F18">
              <w:rPr>
                <w:rFonts w:eastAsia="Arial" w:cstheme="minorHAnsi"/>
              </w:rPr>
              <w:t>of cultivated</w:t>
            </w:r>
          </w:p>
          <w:p w14:paraId="6BA09006" w14:textId="77777777" w:rsidR="00E94979" w:rsidRPr="00515F18" w:rsidRDefault="00E94979" w:rsidP="00515F18">
            <w:pPr>
              <w:spacing w:after="120"/>
              <w:rPr>
                <w:rFonts w:eastAsia="Arial" w:cstheme="minorHAnsi"/>
              </w:rPr>
            </w:pPr>
            <w:r w:rsidRPr="00515F18">
              <w:rPr>
                <w:rFonts w:eastAsia="Arial" w:cstheme="minorHAnsi"/>
              </w:rPr>
              <w:t>plants,</w:t>
            </w:r>
          </w:p>
          <w:p w14:paraId="09C22693" w14:textId="77777777" w:rsidR="00E94979" w:rsidRPr="00515F18" w:rsidRDefault="00E94979" w:rsidP="00515F18">
            <w:pPr>
              <w:spacing w:after="120"/>
              <w:rPr>
                <w:rFonts w:eastAsia="Arial" w:cstheme="minorHAnsi"/>
              </w:rPr>
            </w:pPr>
            <w:r w:rsidRPr="00515F18">
              <w:rPr>
                <w:rFonts w:eastAsia="Arial" w:cstheme="minorHAnsi"/>
              </w:rPr>
              <w:t>farmed and domesticate</w:t>
            </w:r>
          </w:p>
          <w:p w14:paraId="784E9A8F" w14:textId="77777777" w:rsidR="00E94979" w:rsidRPr="00515F18" w:rsidRDefault="00E94979" w:rsidP="00515F18">
            <w:pPr>
              <w:spacing w:after="120"/>
              <w:rPr>
                <w:rFonts w:eastAsia="Arial" w:cstheme="minorHAnsi"/>
              </w:rPr>
            </w:pPr>
            <w:r w:rsidRPr="00515F18">
              <w:rPr>
                <w:rFonts w:eastAsia="Arial" w:cstheme="minorHAnsi"/>
              </w:rPr>
              <w:t>d animals</w:t>
            </w:r>
          </w:p>
          <w:p w14:paraId="7A8C52E3" w14:textId="77777777" w:rsidR="00E94979" w:rsidRPr="00515F18" w:rsidRDefault="00E94979" w:rsidP="00515F18">
            <w:pPr>
              <w:spacing w:after="120"/>
              <w:rPr>
                <w:rFonts w:eastAsia="Arial" w:cstheme="minorHAnsi"/>
              </w:rPr>
            </w:pPr>
            <w:r w:rsidRPr="00515F18">
              <w:rPr>
                <w:rFonts w:eastAsia="Arial" w:cstheme="minorHAnsi"/>
              </w:rPr>
              <w:t>resources for</w:t>
            </w:r>
          </w:p>
          <w:p w14:paraId="7454C0E1" w14:textId="77777777" w:rsidR="00E94979" w:rsidRPr="00515F18" w:rsidRDefault="00E94979" w:rsidP="00515F18">
            <w:pPr>
              <w:spacing w:after="120"/>
              <w:rPr>
                <w:rFonts w:eastAsia="Arial" w:cstheme="minorHAnsi"/>
              </w:rPr>
            </w:pPr>
            <w:r w:rsidRPr="00515F18">
              <w:rPr>
                <w:rFonts w:eastAsia="Arial" w:cstheme="minorHAnsi"/>
              </w:rPr>
              <w:t>food and</w:t>
            </w:r>
          </w:p>
          <w:p w14:paraId="16CAADC6" w14:textId="72785FA9" w:rsidR="00E94979" w:rsidRPr="00515F18" w:rsidRDefault="00E94979" w:rsidP="00515F18">
            <w:pPr>
              <w:spacing w:after="120"/>
              <w:rPr>
                <w:rFonts w:cstheme="minorHAnsi"/>
                <w:i/>
                <w:iCs/>
              </w:rPr>
            </w:pPr>
            <w:r w:rsidRPr="00515F18">
              <w:rPr>
                <w:rFonts w:eastAsia="Arial" w:cstheme="minorHAnsi"/>
              </w:rPr>
              <w:t>agriculture</w:t>
            </w:r>
          </w:p>
        </w:tc>
        <w:tc>
          <w:tcPr>
            <w:tcW w:w="1787" w:type="dxa"/>
            <w:shd w:val="clear" w:color="auto" w:fill="auto"/>
          </w:tcPr>
          <w:p w14:paraId="0EFAD434"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Number of</w:t>
            </w:r>
          </w:p>
          <w:p w14:paraId="47AB8178"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color w:val="FF0000"/>
                <w:lang w:val="en-US"/>
              </w:rPr>
              <w:t xml:space="preserve">Plant </w:t>
            </w:r>
            <w:r w:rsidRPr="00515F18">
              <w:rPr>
                <w:rFonts w:cstheme="minorHAnsi"/>
                <w:lang w:val="en-US"/>
              </w:rPr>
              <w:t>genetic resources for</w:t>
            </w:r>
          </w:p>
          <w:p w14:paraId="1992A360"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food and</w:t>
            </w:r>
          </w:p>
          <w:p w14:paraId="299257FE"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agriculture</w:t>
            </w:r>
          </w:p>
          <w:p w14:paraId="6E467500"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secured in</w:t>
            </w:r>
          </w:p>
          <w:p w14:paraId="20037704"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medium- or</w:t>
            </w:r>
          </w:p>
          <w:p w14:paraId="3FF98B3A"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long-term</w:t>
            </w:r>
          </w:p>
          <w:p w14:paraId="635F0171"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conservation</w:t>
            </w:r>
          </w:p>
          <w:p w14:paraId="61D10D46" w14:textId="4EC72FEE" w:rsidR="00E94979" w:rsidRPr="00515F18" w:rsidRDefault="00E94979" w:rsidP="00515F18">
            <w:pPr>
              <w:spacing w:after="120"/>
              <w:rPr>
                <w:rFonts w:cstheme="minorHAnsi"/>
                <w:i/>
                <w:iCs/>
                <w:kern w:val="22"/>
              </w:rPr>
            </w:pPr>
            <w:r w:rsidRPr="00515F18">
              <w:rPr>
                <w:rFonts w:cstheme="minorHAnsi"/>
                <w:lang w:val="en-US"/>
              </w:rPr>
              <w:t>facilities</w:t>
            </w:r>
          </w:p>
        </w:tc>
        <w:tc>
          <w:tcPr>
            <w:tcW w:w="1489" w:type="dxa"/>
            <w:shd w:val="clear" w:color="auto" w:fill="auto"/>
          </w:tcPr>
          <w:p w14:paraId="4203E40C" w14:textId="4A869C2C" w:rsidR="00E94979" w:rsidRPr="00515F18" w:rsidRDefault="00E94979" w:rsidP="00515F18">
            <w:pPr>
              <w:spacing w:after="120"/>
              <w:jc w:val="center"/>
              <w:rPr>
                <w:rFonts w:cstheme="minorHAnsi"/>
                <w:i/>
                <w:iCs/>
                <w:kern w:val="22"/>
              </w:rPr>
            </w:pPr>
            <w:r w:rsidRPr="00515F18">
              <w:rPr>
                <w:rFonts w:eastAsia="Arial" w:cstheme="minorHAnsi"/>
                <w:color w:val="000000"/>
              </w:rPr>
              <w:t>FAO</w:t>
            </w:r>
          </w:p>
        </w:tc>
        <w:tc>
          <w:tcPr>
            <w:tcW w:w="1194" w:type="dxa"/>
            <w:shd w:val="clear" w:color="auto" w:fill="auto"/>
          </w:tcPr>
          <w:p w14:paraId="2A50728F" w14:textId="29220E3D" w:rsidR="00E94979" w:rsidRPr="00515F18" w:rsidRDefault="00E94979" w:rsidP="00515F18">
            <w:pPr>
              <w:spacing w:after="120"/>
              <w:jc w:val="center"/>
              <w:rPr>
                <w:rFonts w:cstheme="minorHAnsi"/>
                <w:i/>
                <w:iCs/>
                <w:kern w:val="22"/>
              </w:rPr>
            </w:pPr>
            <w:r w:rsidRPr="00515F18">
              <w:rPr>
                <w:rFonts w:eastAsia="Arial" w:cstheme="minorHAnsi"/>
              </w:rPr>
              <w:t>X</w:t>
            </w:r>
          </w:p>
        </w:tc>
        <w:tc>
          <w:tcPr>
            <w:tcW w:w="1341" w:type="dxa"/>
            <w:shd w:val="clear" w:color="auto" w:fill="auto"/>
          </w:tcPr>
          <w:p w14:paraId="6B479563" w14:textId="77777777" w:rsidR="00E94979" w:rsidRPr="00515F18" w:rsidRDefault="00E94979" w:rsidP="00515F18">
            <w:pPr>
              <w:spacing w:after="120"/>
              <w:jc w:val="center"/>
              <w:rPr>
                <w:rFonts w:cstheme="minorHAnsi"/>
                <w:i/>
                <w:iCs/>
                <w:kern w:val="22"/>
              </w:rPr>
            </w:pPr>
          </w:p>
        </w:tc>
        <w:tc>
          <w:tcPr>
            <w:tcW w:w="1042" w:type="dxa"/>
            <w:shd w:val="clear" w:color="auto" w:fill="auto"/>
          </w:tcPr>
          <w:p w14:paraId="343AF512" w14:textId="1A89143A" w:rsidR="00E94979" w:rsidRPr="00515F18" w:rsidRDefault="00E94979" w:rsidP="00515F18">
            <w:pPr>
              <w:spacing w:after="120"/>
              <w:jc w:val="center"/>
              <w:rPr>
                <w:rFonts w:cstheme="minorHAnsi"/>
                <w:i/>
                <w:iCs/>
                <w:kern w:val="22"/>
              </w:rPr>
            </w:pPr>
            <w:r w:rsidRPr="00515F18">
              <w:rPr>
                <w:rFonts w:eastAsia="Arial" w:cstheme="minorHAnsi"/>
              </w:rPr>
              <w:t>2020</w:t>
            </w:r>
          </w:p>
        </w:tc>
        <w:tc>
          <w:tcPr>
            <w:tcW w:w="1193" w:type="dxa"/>
            <w:shd w:val="clear" w:color="auto" w:fill="auto"/>
          </w:tcPr>
          <w:p w14:paraId="54D881FD" w14:textId="17D9B549" w:rsidR="00E94979" w:rsidRPr="00515F18" w:rsidRDefault="00E94979" w:rsidP="00515F18">
            <w:pPr>
              <w:spacing w:after="120"/>
              <w:jc w:val="center"/>
              <w:rPr>
                <w:rFonts w:cstheme="minorHAnsi"/>
                <w:i/>
                <w:iCs/>
                <w:kern w:val="22"/>
              </w:rPr>
            </w:pPr>
            <w:r w:rsidRPr="00515F18">
              <w:rPr>
                <w:rFonts w:eastAsia="Arial" w:cstheme="minorHAnsi"/>
              </w:rPr>
              <w:t xml:space="preserve">2000 – </w:t>
            </w:r>
            <w:r w:rsidRPr="00515F18">
              <w:rPr>
                <w:rFonts w:eastAsia="Arial" w:cstheme="minorHAnsi"/>
                <w:color w:val="FF0000"/>
              </w:rPr>
              <w:t>2019 (since 2016 updated annually)</w:t>
            </w:r>
          </w:p>
        </w:tc>
        <w:tc>
          <w:tcPr>
            <w:tcW w:w="1340" w:type="dxa"/>
            <w:shd w:val="clear" w:color="auto" w:fill="auto"/>
          </w:tcPr>
          <w:p w14:paraId="10FFA792" w14:textId="160C7E8C" w:rsidR="00E94979" w:rsidRPr="00515F18" w:rsidRDefault="00E94979" w:rsidP="00515F18">
            <w:pPr>
              <w:spacing w:after="120"/>
              <w:jc w:val="center"/>
              <w:rPr>
                <w:rFonts w:cstheme="minorHAnsi"/>
                <w:i/>
                <w:iCs/>
                <w:kern w:val="22"/>
              </w:rPr>
            </w:pPr>
            <w:r w:rsidRPr="00515F18">
              <w:rPr>
                <w:rFonts w:eastAsia="Arial" w:cstheme="minorHAnsi"/>
              </w:rPr>
              <w:t>Y</w:t>
            </w:r>
          </w:p>
        </w:tc>
        <w:tc>
          <w:tcPr>
            <w:tcW w:w="1640" w:type="dxa"/>
            <w:shd w:val="clear" w:color="auto" w:fill="auto"/>
          </w:tcPr>
          <w:p w14:paraId="3ACC4BA7" w14:textId="0253F0F3" w:rsidR="00E94979" w:rsidRPr="00515F18" w:rsidRDefault="00E94979" w:rsidP="00515F18">
            <w:pPr>
              <w:spacing w:after="120"/>
              <w:jc w:val="center"/>
              <w:rPr>
                <w:rFonts w:cstheme="minorHAnsi"/>
                <w:i/>
                <w:iCs/>
                <w:kern w:val="22"/>
              </w:rPr>
            </w:pPr>
          </w:p>
        </w:tc>
        <w:tc>
          <w:tcPr>
            <w:tcW w:w="1340" w:type="dxa"/>
            <w:shd w:val="clear" w:color="auto" w:fill="auto"/>
          </w:tcPr>
          <w:p w14:paraId="4A7F27AD" w14:textId="785F9035" w:rsidR="00E94979" w:rsidRPr="00515F18" w:rsidRDefault="00E94979" w:rsidP="00515F18">
            <w:pPr>
              <w:spacing w:after="120"/>
              <w:jc w:val="center"/>
              <w:rPr>
                <w:rFonts w:cstheme="minorHAnsi"/>
                <w:i/>
                <w:iCs/>
                <w:kern w:val="22"/>
              </w:rPr>
            </w:pPr>
            <w:r w:rsidRPr="00515F18">
              <w:rPr>
                <w:rFonts w:eastAsia="Arial" w:cstheme="minorHAnsi"/>
              </w:rPr>
              <w:t>Y</w:t>
            </w:r>
          </w:p>
        </w:tc>
        <w:tc>
          <w:tcPr>
            <w:tcW w:w="1166" w:type="dxa"/>
            <w:shd w:val="clear" w:color="auto" w:fill="auto"/>
          </w:tcPr>
          <w:p w14:paraId="0B21E1CE" w14:textId="052C28CF" w:rsidR="00E94979" w:rsidRPr="00515F18" w:rsidRDefault="00E94979" w:rsidP="00515F18">
            <w:pPr>
              <w:spacing w:after="120"/>
              <w:jc w:val="center"/>
              <w:rPr>
                <w:rFonts w:cstheme="minorHAnsi"/>
                <w:i/>
                <w:iCs/>
                <w:kern w:val="22"/>
              </w:rPr>
            </w:pPr>
            <w:r w:rsidRPr="00515F18">
              <w:rPr>
                <w:rFonts w:eastAsia="Arial" w:cstheme="minorHAnsi"/>
              </w:rPr>
              <w:t>N</w:t>
            </w:r>
          </w:p>
        </w:tc>
        <w:tc>
          <w:tcPr>
            <w:tcW w:w="966" w:type="dxa"/>
            <w:shd w:val="clear" w:color="auto" w:fill="auto"/>
          </w:tcPr>
          <w:p w14:paraId="2DE05A07" w14:textId="0A2641E1" w:rsidR="00E94979" w:rsidRPr="00515F18" w:rsidRDefault="00E94979" w:rsidP="00515F18">
            <w:pPr>
              <w:spacing w:after="120"/>
              <w:jc w:val="center"/>
              <w:rPr>
                <w:rFonts w:cstheme="minorHAnsi"/>
                <w:i/>
                <w:iCs/>
                <w:kern w:val="22"/>
              </w:rPr>
            </w:pPr>
            <w:r w:rsidRPr="00515F18">
              <w:rPr>
                <w:rFonts w:eastAsia="Arial" w:cstheme="minorHAnsi"/>
              </w:rPr>
              <w:t>Y SDG indicator 2.5.1</w:t>
            </w:r>
            <w:r w:rsidRPr="00515F18">
              <w:rPr>
                <w:rFonts w:eastAsia="Arial" w:cstheme="minorHAnsi"/>
                <w:color w:val="FF0000"/>
              </w:rPr>
              <w:t>a</w:t>
            </w:r>
          </w:p>
        </w:tc>
        <w:tc>
          <w:tcPr>
            <w:tcW w:w="1794" w:type="dxa"/>
            <w:shd w:val="clear" w:color="auto" w:fill="auto"/>
          </w:tcPr>
          <w:p w14:paraId="12EA8F3E" w14:textId="58735046" w:rsidR="00E94979" w:rsidRPr="00515F18" w:rsidRDefault="00E94979" w:rsidP="00515F18">
            <w:pPr>
              <w:spacing w:after="120"/>
              <w:jc w:val="center"/>
              <w:rPr>
                <w:rFonts w:cstheme="minorHAnsi"/>
                <w:i/>
                <w:iCs/>
                <w:kern w:val="22"/>
              </w:rPr>
            </w:pPr>
          </w:p>
        </w:tc>
        <w:tc>
          <w:tcPr>
            <w:tcW w:w="1794" w:type="dxa"/>
          </w:tcPr>
          <w:p w14:paraId="4B86090D" w14:textId="77777777" w:rsidR="00E94979" w:rsidRPr="00515F18" w:rsidRDefault="00E94979" w:rsidP="00515F18">
            <w:pPr>
              <w:spacing w:after="120"/>
              <w:jc w:val="center"/>
              <w:rPr>
                <w:rFonts w:cstheme="minorHAnsi"/>
                <w:i/>
                <w:iCs/>
                <w:kern w:val="22"/>
              </w:rPr>
            </w:pPr>
          </w:p>
        </w:tc>
      </w:tr>
      <w:tr w:rsidR="00E94979" w:rsidRPr="00515F18" w14:paraId="043E7F1C" w14:textId="77777777" w:rsidTr="00B81FDF">
        <w:trPr>
          <w:trHeight w:val="746"/>
        </w:trPr>
        <w:tc>
          <w:tcPr>
            <w:tcW w:w="1781" w:type="dxa"/>
            <w:shd w:val="clear" w:color="auto" w:fill="FFE599" w:themeFill="accent4" w:themeFillTint="66"/>
          </w:tcPr>
          <w:p w14:paraId="60760281" w14:textId="77777777" w:rsidR="00E94979" w:rsidRPr="00515F18" w:rsidRDefault="00E94979" w:rsidP="00515F18">
            <w:pPr>
              <w:spacing w:after="120"/>
              <w:rPr>
                <w:rFonts w:eastAsia="Arial" w:cstheme="minorHAnsi"/>
              </w:rPr>
            </w:pPr>
            <w:r w:rsidRPr="00515F18">
              <w:rPr>
                <w:rFonts w:eastAsia="Arial" w:cstheme="minorHAnsi"/>
              </w:rPr>
              <w:t>GA5. Maintain</w:t>
            </w:r>
          </w:p>
          <w:p w14:paraId="2A4AF345" w14:textId="77777777" w:rsidR="00E94979" w:rsidRPr="00515F18" w:rsidRDefault="00E94979" w:rsidP="00515F18">
            <w:pPr>
              <w:spacing w:after="120"/>
              <w:rPr>
                <w:rFonts w:eastAsia="Arial" w:cstheme="minorHAnsi"/>
              </w:rPr>
            </w:pPr>
            <w:r w:rsidRPr="00515F18">
              <w:rPr>
                <w:rFonts w:eastAsia="Arial" w:cstheme="minorHAnsi"/>
              </w:rPr>
              <w:t>Genetic</w:t>
            </w:r>
          </w:p>
          <w:p w14:paraId="1A368CC8" w14:textId="186360D5" w:rsidR="00E94979" w:rsidRPr="00515F18" w:rsidRDefault="00E94979" w:rsidP="00515F18">
            <w:pPr>
              <w:spacing w:after="120"/>
              <w:rPr>
                <w:rFonts w:eastAsia="Arial" w:cstheme="minorHAnsi"/>
              </w:rPr>
            </w:pPr>
            <w:r w:rsidRPr="00515F18">
              <w:rPr>
                <w:rFonts w:eastAsia="Arial" w:cstheme="minorHAnsi"/>
              </w:rPr>
              <w:t>diversity</w:t>
            </w:r>
          </w:p>
        </w:tc>
        <w:tc>
          <w:tcPr>
            <w:tcW w:w="1936" w:type="dxa"/>
            <w:shd w:val="clear" w:color="auto" w:fill="FFE599" w:themeFill="accent4" w:themeFillTint="66"/>
          </w:tcPr>
          <w:p w14:paraId="50A7312E" w14:textId="77777777" w:rsidR="00E94979" w:rsidRPr="00515F18" w:rsidRDefault="00E94979" w:rsidP="00515F18">
            <w:pPr>
              <w:spacing w:after="120"/>
              <w:rPr>
                <w:rFonts w:eastAsia="Arial" w:cstheme="minorHAnsi"/>
              </w:rPr>
            </w:pPr>
            <w:r w:rsidRPr="00515F18">
              <w:rPr>
                <w:rFonts w:eastAsia="Arial" w:cstheme="minorHAnsi"/>
              </w:rPr>
              <w:t>Trends in</w:t>
            </w:r>
          </w:p>
          <w:p w14:paraId="39167F6A" w14:textId="77777777" w:rsidR="00E94979" w:rsidRPr="00515F18" w:rsidRDefault="00E94979" w:rsidP="00515F18">
            <w:pPr>
              <w:spacing w:after="120"/>
              <w:rPr>
                <w:rFonts w:eastAsia="Arial" w:cstheme="minorHAnsi"/>
              </w:rPr>
            </w:pPr>
            <w:r w:rsidRPr="00515F18">
              <w:rPr>
                <w:rFonts w:eastAsia="Arial" w:cstheme="minorHAnsi"/>
              </w:rPr>
              <w:t>the diversity</w:t>
            </w:r>
          </w:p>
          <w:p w14:paraId="2F22C6D9" w14:textId="77777777" w:rsidR="00E94979" w:rsidRPr="00515F18" w:rsidRDefault="00E94979" w:rsidP="00515F18">
            <w:pPr>
              <w:spacing w:after="120"/>
              <w:rPr>
                <w:rFonts w:eastAsia="Arial" w:cstheme="minorHAnsi"/>
              </w:rPr>
            </w:pPr>
            <w:r w:rsidRPr="00515F18">
              <w:rPr>
                <w:rFonts w:eastAsia="Arial" w:cstheme="minorHAnsi"/>
              </w:rPr>
              <w:t>of cultivated</w:t>
            </w:r>
          </w:p>
          <w:p w14:paraId="6433354B" w14:textId="77777777" w:rsidR="00E94979" w:rsidRPr="00515F18" w:rsidRDefault="00E94979" w:rsidP="00515F18">
            <w:pPr>
              <w:spacing w:after="120"/>
              <w:rPr>
                <w:rFonts w:eastAsia="Arial" w:cstheme="minorHAnsi"/>
              </w:rPr>
            </w:pPr>
            <w:r w:rsidRPr="00515F18">
              <w:rPr>
                <w:rFonts w:eastAsia="Arial" w:cstheme="minorHAnsi"/>
              </w:rPr>
              <w:t>plants,</w:t>
            </w:r>
          </w:p>
          <w:p w14:paraId="72BD5EF9" w14:textId="5C2EE035" w:rsidR="00E94979" w:rsidRPr="00515F18" w:rsidRDefault="00E94979" w:rsidP="00515F18">
            <w:pPr>
              <w:spacing w:after="120"/>
              <w:rPr>
                <w:rFonts w:eastAsia="Arial" w:cstheme="minorHAnsi"/>
              </w:rPr>
            </w:pPr>
            <w:r w:rsidRPr="00515F18">
              <w:rPr>
                <w:rFonts w:eastAsia="Arial" w:cstheme="minorHAnsi"/>
              </w:rPr>
              <w:t>farmed and domesticate</w:t>
            </w:r>
          </w:p>
          <w:p w14:paraId="65F175FC" w14:textId="77777777" w:rsidR="00E94979" w:rsidRPr="00515F18" w:rsidRDefault="00E94979" w:rsidP="00515F18">
            <w:pPr>
              <w:spacing w:after="120"/>
              <w:rPr>
                <w:rFonts w:eastAsia="Arial" w:cstheme="minorHAnsi"/>
              </w:rPr>
            </w:pPr>
            <w:r w:rsidRPr="00515F18">
              <w:rPr>
                <w:rFonts w:eastAsia="Arial" w:cstheme="minorHAnsi"/>
              </w:rPr>
              <w:t>d animals</w:t>
            </w:r>
          </w:p>
          <w:p w14:paraId="7B482460" w14:textId="77777777" w:rsidR="00E94979" w:rsidRPr="00515F18" w:rsidRDefault="00E94979" w:rsidP="00515F18">
            <w:pPr>
              <w:spacing w:after="120"/>
              <w:rPr>
                <w:rFonts w:eastAsia="Arial" w:cstheme="minorHAnsi"/>
              </w:rPr>
            </w:pPr>
            <w:r w:rsidRPr="00515F18">
              <w:rPr>
                <w:rFonts w:eastAsia="Arial" w:cstheme="minorHAnsi"/>
              </w:rPr>
              <w:t>resources for</w:t>
            </w:r>
          </w:p>
          <w:p w14:paraId="19A8834B" w14:textId="77777777" w:rsidR="00E94979" w:rsidRPr="00515F18" w:rsidRDefault="00E94979" w:rsidP="00515F18">
            <w:pPr>
              <w:spacing w:after="120"/>
              <w:rPr>
                <w:rFonts w:eastAsia="Arial" w:cstheme="minorHAnsi"/>
              </w:rPr>
            </w:pPr>
            <w:r w:rsidRPr="00515F18">
              <w:rPr>
                <w:rFonts w:eastAsia="Arial" w:cstheme="minorHAnsi"/>
              </w:rPr>
              <w:t>food and</w:t>
            </w:r>
          </w:p>
          <w:p w14:paraId="39C381D7" w14:textId="70C19701" w:rsidR="00E94979" w:rsidRPr="00515F18" w:rsidRDefault="00E94979" w:rsidP="00515F18">
            <w:pPr>
              <w:spacing w:after="120"/>
              <w:rPr>
                <w:rFonts w:eastAsia="Arial" w:cstheme="minorHAnsi"/>
              </w:rPr>
            </w:pPr>
            <w:r w:rsidRPr="00515F18">
              <w:rPr>
                <w:rFonts w:eastAsia="Arial" w:cstheme="minorHAnsi"/>
              </w:rPr>
              <w:t>agriculture</w:t>
            </w:r>
          </w:p>
        </w:tc>
        <w:tc>
          <w:tcPr>
            <w:tcW w:w="1787" w:type="dxa"/>
            <w:shd w:val="clear" w:color="auto" w:fill="auto"/>
          </w:tcPr>
          <w:p w14:paraId="7CA079BC"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Number of</w:t>
            </w:r>
          </w:p>
          <w:p w14:paraId="67C63F04" w14:textId="3F7FF00B" w:rsidR="00E94979" w:rsidRPr="00515F18" w:rsidRDefault="00E94979" w:rsidP="00515F18">
            <w:pPr>
              <w:autoSpaceDE w:val="0"/>
              <w:autoSpaceDN w:val="0"/>
              <w:adjustRightInd w:val="0"/>
              <w:spacing w:after="120"/>
              <w:rPr>
                <w:rFonts w:cstheme="minorHAnsi"/>
                <w:lang w:val="en-US"/>
              </w:rPr>
            </w:pPr>
            <w:r w:rsidRPr="00515F18">
              <w:rPr>
                <w:rFonts w:cstheme="minorHAnsi"/>
                <w:color w:val="FF0000"/>
                <w:lang w:val="en-US"/>
              </w:rPr>
              <w:t xml:space="preserve">Animal </w:t>
            </w:r>
            <w:r w:rsidRPr="00515F18">
              <w:rPr>
                <w:rFonts w:cstheme="minorHAnsi"/>
                <w:lang w:val="en-US"/>
              </w:rPr>
              <w:t>genetic resources for</w:t>
            </w:r>
          </w:p>
          <w:p w14:paraId="3B6C602F"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food and</w:t>
            </w:r>
          </w:p>
          <w:p w14:paraId="47B2BBD9"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agriculture</w:t>
            </w:r>
          </w:p>
          <w:p w14:paraId="2EDD4654"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secured in</w:t>
            </w:r>
          </w:p>
          <w:p w14:paraId="79DFDDD4"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medium- or</w:t>
            </w:r>
          </w:p>
          <w:p w14:paraId="1C4DFBA3"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long-term</w:t>
            </w:r>
          </w:p>
          <w:p w14:paraId="76BB6C29" w14:textId="77777777" w:rsidR="00E94979" w:rsidRPr="00515F18" w:rsidRDefault="00E94979" w:rsidP="00515F18">
            <w:pPr>
              <w:autoSpaceDE w:val="0"/>
              <w:autoSpaceDN w:val="0"/>
              <w:adjustRightInd w:val="0"/>
              <w:spacing w:after="120"/>
              <w:rPr>
                <w:rFonts w:cstheme="minorHAnsi"/>
                <w:lang w:val="en-US"/>
              </w:rPr>
            </w:pPr>
            <w:r w:rsidRPr="00515F18">
              <w:rPr>
                <w:rFonts w:cstheme="minorHAnsi"/>
                <w:lang w:val="en-US"/>
              </w:rPr>
              <w:t>conservation</w:t>
            </w:r>
          </w:p>
          <w:p w14:paraId="1C58DCE4" w14:textId="0F3159D5" w:rsidR="00E94979" w:rsidRPr="00515F18" w:rsidRDefault="00E94979" w:rsidP="00515F18">
            <w:pPr>
              <w:spacing w:after="120"/>
              <w:rPr>
                <w:rFonts w:eastAsia="Arial" w:cstheme="minorHAnsi"/>
                <w:color w:val="000000"/>
              </w:rPr>
            </w:pPr>
            <w:r w:rsidRPr="00515F18">
              <w:rPr>
                <w:rFonts w:cstheme="minorHAnsi"/>
                <w:lang w:val="en-US"/>
              </w:rPr>
              <w:t>facilities</w:t>
            </w:r>
          </w:p>
        </w:tc>
        <w:tc>
          <w:tcPr>
            <w:tcW w:w="1489" w:type="dxa"/>
            <w:shd w:val="clear" w:color="auto" w:fill="auto"/>
          </w:tcPr>
          <w:p w14:paraId="181ECAC2" w14:textId="271376C5" w:rsidR="00E94979" w:rsidRPr="00515F18" w:rsidRDefault="00E94979" w:rsidP="00515F18">
            <w:pPr>
              <w:spacing w:after="120"/>
              <w:rPr>
                <w:rFonts w:eastAsia="Arial" w:cstheme="minorHAnsi"/>
                <w:color w:val="000000"/>
              </w:rPr>
            </w:pPr>
            <w:r w:rsidRPr="00515F18">
              <w:rPr>
                <w:rFonts w:eastAsia="Arial" w:cstheme="minorHAnsi"/>
                <w:color w:val="000000"/>
              </w:rPr>
              <w:t>FAO</w:t>
            </w:r>
          </w:p>
        </w:tc>
        <w:tc>
          <w:tcPr>
            <w:tcW w:w="1194" w:type="dxa"/>
            <w:shd w:val="clear" w:color="auto" w:fill="auto"/>
          </w:tcPr>
          <w:p w14:paraId="7055233B" w14:textId="7472735F" w:rsidR="00E94979" w:rsidRPr="00515F18" w:rsidRDefault="00E94979" w:rsidP="00515F18">
            <w:pPr>
              <w:spacing w:after="120"/>
              <w:jc w:val="center"/>
              <w:rPr>
                <w:rFonts w:eastAsia="Arial" w:cstheme="minorHAnsi"/>
              </w:rPr>
            </w:pPr>
            <w:r w:rsidRPr="00515F18">
              <w:rPr>
                <w:rFonts w:eastAsia="Arial" w:cstheme="minorHAnsi"/>
              </w:rPr>
              <w:t>X</w:t>
            </w:r>
          </w:p>
        </w:tc>
        <w:tc>
          <w:tcPr>
            <w:tcW w:w="1341" w:type="dxa"/>
            <w:shd w:val="clear" w:color="auto" w:fill="auto"/>
          </w:tcPr>
          <w:p w14:paraId="0D357577" w14:textId="77777777" w:rsidR="00E94979" w:rsidRPr="00515F18" w:rsidRDefault="00E94979" w:rsidP="00515F18">
            <w:pPr>
              <w:spacing w:after="120"/>
              <w:jc w:val="center"/>
              <w:rPr>
                <w:rFonts w:cstheme="minorHAnsi"/>
                <w:kern w:val="22"/>
              </w:rPr>
            </w:pPr>
          </w:p>
        </w:tc>
        <w:tc>
          <w:tcPr>
            <w:tcW w:w="1042" w:type="dxa"/>
            <w:shd w:val="clear" w:color="auto" w:fill="auto"/>
          </w:tcPr>
          <w:p w14:paraId="56E8006A" w14:textId="0256B81C" w:rsidR="00E94979" w:rsidRPr="00515F18" w:rsidRDefault="00E94979" w:rsidP="00515F18">
            <w:pPr>
              <w:spacing w:after="120"/>
              <w:jc w:val="center"/>
              <w:rPr>
                <w:rFonts w:eastAsia="Arial" w:cstheme="minorHAnsi"/>
              </w:rPr>
            </w:pPr>
            <w:r w:rsidRPr="00515F18">
              <w:rPr>
                <w:rFonts w:eastAsia="Arial" w:cstheme="minorHAnsi"/>
              </w:rPr>
              <w:t>2020</w:t>
            </w:r>
          </w:p>
        </w:tc>
        <w:tc>
          <w:tcPr>
            <w:tcW w:w="1193" w:type="dxa"/>
            <w:shd w:val="clear" w:color="auto" w:fill="auto"/>
          </w:tcPr>
          <w:p w14:paraId="1D64C677" w14:textId="6013C9B2" w:rsidR="00E94979" w:rsidRPr="00515F18" w:rsidRDefault="00E94979" w:rsidP="00515F18">
            <w:pPr>
              <w:spacing w:after="120"/>
              <w:jc w:val="center"/>
              <w:rPr>
                <w:rFonts w:eastAsia="Arial" w:cstheme="minorHAnsi"/>
              </w:rPr>
            </w:pPr>
            <w:r w:rsidRPr="00515F18">
              <w:rPr>
                <w:rFonts w:eastAsia="Arial" w:cstheme="minorHAnsi"/>
              </w:rPr>
              <w:t>2000 - 2019</w:t>
            </w:r>
          </w:p>
        </w:tc>
        <w:tc>
          <w:tcPr>
            <w:tcW w:w="1340" w:type="dxa"/>
            <w:shd w:val="clear" w:color="auto" w:fill="auto"/>
          </w:tcPr>
          <w:p w14:paraId="3E1E828C" w14:textId="6A02ACBE" w:rsidR="00E94979" w:rsidRPr="00515F18" w:rsidRDefault="00E94979" w:rsidP="00515F18">
            <w:pPr>
              <w:spacing w:after="120"/>
              <w:jc w:val="center"/>
              <w:rPr>
                <w:rFonts w:eastAsia="Arial" w:cstheme="minorHAnsi"/>
              </w:rPr>
            </w:pPr>
            <w:r w:rsidRPr="00515F18">
              <w:rPr>
                <w:rFonts w:eastAsia="Arial" w:cstheme="minorHAnsi"/>
              </w:rPr>
              <w:t>Y</w:t>
            </w:r>
          </w:p>
        </w:tc>
        <w:tc>
          <w:tcPr>
            <w:tcW w:w="1640" w:type="dxa"/>
            <w:shd w:val="clear" w:color="auto" w:fill="auto"/>
          </w:tcPr>
          <w:p w14:paraId="3382FAFE" w14:textId="77777777" w:rsidR="00E94979" w:rsidRPr="00515F18" w:rsidRDefault="00E94979" w:rsidP="00515F18">
            <w:pPr>
              <w:spacing w:after="120"/>
              <w:jc w:val="center"/>
              <w:rPr>
                <w:rFonts w:eastAsia="Arial" w:cstheme="minorHAnsi"/>
              </w:rPr>
            </w:pPr>
          </w:p>
        </w:tc>
        <w:tc>
          <w:tcPr>
            <w:tcW w:w="1340" w:type="dxa"/>
            <w:shd w:val="clear" w:color="auto" w:fill="auto"/>
          </w:tcPr>
          <w:p w14:paraId="42E3BCB6" w14:textId="26FDF237" w:rsidR="00E94979" w:rsidRPr="00515F18" w:rsidRDefault="00E94979" w:rsidP="00515F18">
            <w:pPr>
              <w:spacing w:after="120"/>
              <w:jc w:val="center"/>
              <w:rPr>
                <w:rFonts w:eastAsia="Arial" w:cstheme="minorHAnsi"/>
              </w:rPr>
            </w:pPr>
            <w:r w:rsidRPr="00515F18">
              <w:rPr>
                <w:rFonts w:eastAsia="Arial" w:cstheme="minorHAnsi"/>
              </w:rPr>
              <w:t>Y</w:t>
            </w:r>
          </w:p>
        </w:tc>
        <w:tc>
          <w:tcPr>
            <w:tcW w:w="1166" w:type="dxa"/>
            <w:shd w:val="clear" w:color="auto" w:fill="auto"/>
          </w:tcPr>
          <w:p w14:paraId="35CB752C" w14:textId="24C66D1A" w:rsidR="00E94979" w:rsidRPr="00515F18" w:rsidRDefault="00E94979" w:rsidP="00515F18">
            <w:pPr>
              <w:spacing w:after="120"/>
              <w:jc w:val="center"/>
              <w:rPr>
                <w:rFonts w:eastAsia="Arial" w:cstheme="minorHAnsi"/>
              </w:rPr>
            </w:pPr>
            <w:r w:rsidRPr="00515F18">
              <w:rPr>
                <w:rFonts w:eastAsia="Arial" w:cstheme="minorHAnsi"/>
              </w:rPr>
              <w:t>N</w:t>
            </w:r>
          </w:p>
        </w:tc>
        <w:tc>
          <w:tcPr>
            <w:tcW w:w="966" w:type="dxa"/>
            <w:shd w:val="clear" w:color="auto" w:fill="auto"/>
          </w:tcPr>
          <w:p w14:paraId="595AF7C4" w14:textId="3DE763F2" w:rsidR="00E94979" w:rsidRPr="00515F18" w:rsidRDefault="00E94979" w:rsidP="00515F18">
            <w:pPr>
              <w:spacing w:after="120"/>
              <w:jc w:val="center"/>
              <w:rPr>
                <w:rFonts w:eastAsia="Arial" w:cstheme="minorHAnsi"/>
              </w:rPr>
            </w:pPr>
            <w:r w:rsidRPr="00515F18">
              <w:rPr>
                <w:rFonts w:eastAsia="Arial" w:cstheme="minorHAnsi"/>
              </w:rPr>
              <w:t>Y SDG indicator 2.5.1</w:t>
            </w:r>
            <w:r w:rsidRPr="00515F18">
              <w:rPr>
                <w:rFonts w:eastAsia="Arial" w:cstheme="minorHAnsi"/>
                <w:color w:val="FF0000"/>
              </w:rPr>
              <w:t>b</w:t>
            </w:r>
          </w:p>
        </w:tc>
        <w:tc>
          <w:tcPr>
            <w:tcW w:w="1794" w:type="dxa"/>
            <w:shd w:val="clear" w:color="auto" w:fill="auto"/>
          </w:tcPr>
          <w:p w14:paraId="11E011CB" w14:textId="77777777" w:rsidR="00E94979" w:rsidRPr="00515F18" w:rsidRDefault="00E94979" w:rsidP="00515F18">
            <w:pPr>
              <w:spacing w:after="120"/>
              <w:jc w:val="center"/>
              <w:rPr>
                <w:rFonts w:eastAsia="Arial" w:cstheme="minorHAnsi"/>
              </w:rPr>
            </w:pPr>
          </w:p>
        </w:tc>
        <w:tc>
          <w:tcPr>
            <w:tcW w:w="1794" w:type="dxa"/>
          </w:tcPr>
          <w:p w14:paraId="5C174853" w14:textId="77777777" w:rsidR="00E94979" w:rsidRPr="00515F18" w:rsidRDefault="00E94979" w:rsidP="00515F18">
            <w:pPr>
              <w:spacing w:after="120"/>
              <w:jc w:val="center"/>
              <w:rPr>
                <w:rFonts w:cstheme="minorHAnsi"/>
                <w:kern w:val="22"/>
              </w:rPr>
            </w:pPr>
          </w:p>
        </w:tc>
      </w:tr>
      <w:tr w:rsidR="00E94979" w:rsidRPr="00515F18" w14:paraId="7B68F049" w14:textId="77777777" w:rsidTr="007A15AD">
        <w:trPr>
          <w:trHeight w:val="236"/>
        </w:trPr>
        <w:tc>
          <w:tcPr>
            <w:tcW w:w="1781" w:type="dxa"/>
            <w:shd w:val="clear" w:color="auto" w:fill="FFE599" w:themeFill="accent4" w:themeFillTint="66"/>
          </w:tcPr>
          <w:p w14:paraId="20649E32" w14:textId="77777777" w:rsidR="001413BD" w:rsidRPr="00515F18" w:rsidRDefault="001413BD" w:rsidP="00515F18">
            <w:pPr>
              <w:spacing w:after="120"/>
              <w:rPr>
                <w:rFonts w:eastAsia="Arial" w:cstheme="minorHAnsi"/>
              </w:rPr>
            </w:pPr>
            <w:r w:rsidRPr="00515F18">
              <w:rPr>
                <w:rFonts w:eastAsia="Arial" w:cstheme="minorHAnsi"/>
              </w:rPr>
              <w:t>GA5. Maintain</w:t>
            </w:r>
          </w:p>
          <w:p w14:paraId="4F15A4AE" w14:textId="77777777" w:rsidR="001413BD" w:rsidRPr="00515F18" w:rsidRDefault="001413BD" w:rsidP="00515F18">
            <w:pPr>
              <w:spacing w:after="120"/>
              <w:rPr>
                <w:rFonts w:eastAsia="Arial" w:cstheme="minorHAnsi"/>
              </w:rPr>
            </w:pPr>
            <w:r w:rsidRPr="00515F18">
              <w:rPr>
                <w:rFonts w:eastAsia="Arial" w:cstheme="minorHAnsi"/>
              </w:rPr>
              <w:t>Genetic</w:t>
            </w:r>
          </w:p>
          <w:p w14:paraId="6C9EF850" w14:textId="0C5B80C1" w:rsidR="00E94979" w:rsidRPr="00515F18" w:rsidRDefault="001413BD" w:rsidP="00515F18">
            <w:pPr>
              <w:spacing w:after="120"/>
              <w:rPr>
                <w:rFonts w:eastAsia="Arial" w:cstheme="minorHAnsi"/>
              </w:rPr>
            </w:pPr>
            <w:r w:rsidRPr="00515F18">
              <w:rPr>
                <w:rFonts w:eastAsia="Arial" w:cstheme="minorHAnsi"/>
              </w:rPr>
              <w:t>diversity</w:t>
            </w:r>
          </w:p>
        </w:tc>
        <w:tc>
          <w:tcPr>
            <w:tcW w:w="1936" w:type="dxa"/>
            <w:shd w:val="clear" w:color="auto" w:fill="FFE599" w:themeFill="accent4" w:themeFillTint="66"/>
          </w:tcPr>
          <w:p w14:paraId="3A3F6EC7" w14:textId="77777777" w:rsidR="001413BD" w:rsidRPr="00515F18" w:rsidRDefault="001413BD" w:rsidP="00515F18">
            <w:pPr>
              <w:spacing w:after="120"/>
              <w:rPr>
                <w:rFonts w:eastAsia="Arial" w:cstheme="minorHAnsi"/>
              </w:rPr>
            </w:pPr>
            <w:r w:rsidRPr="00515F18">
              <w:rPr>
                <w:rFonts w:eastAsia="Arial" w:cstheme="minorHAnsi"/>
              </w:rPr>
              <w:t>Trends in the diversity of cultivated plans,</w:t>
            </w:r>
          </w:p>
          <w:p w14:paraId="29A8F62C" w14:textId="21C3BBB3" w:rsidR="00E94979" w:rsidRPr="00515F18" w:rsidRDefault="001413BD" w:rsidP="00515F18">
            <w:pPr>
              <w:spacing w:after="120"/>
              <w:rPr>
                <w:rFonts w:eastAsia="Arial" w:cstheme="minorHAnsi"/>
              </w:rPr>
            </w:pPr>
            <w:r w:rsidRPr="00515F18">
              <w:rPr>
                <w:rFonts w:eastAsia="Arial" w:cstheme="minorHAnsi"/>
              </w:rPr>
              <w:t>farmed and domesticated animals</w:t>
            </w:r>
          </w:p>
        </w:tc>
        <w:tc>
          <w:tcPr>
            <w:tcW w:w="1787" w:type="dxa"/>
            <w:shd w:val="clear" w:color="auto" w:fill="auto"/>
          </w:tcPr>
          <w:p w14:paraId="3F1BAF24" w14:textId="77777777" w:rsidR="00E94979" w:rsidRPr="00515F18" w:rsidRDefault="00E94979" w:rsidP="00515F18">
            <w:pPr>
              <w:spacing w:after="120"/>
              <w:rPr>
                <w:rFonts w:eastAsia="Arial" w:cstheme="minorHAnsi"/>
                <w:color w:val="000000"/>
              </w:rPr>
            </w:pPr>
            <w:r w:rsidRPr="00515F18">
              <w:rPr>
                <w:rFonts w:eastAsia="Arial" w:cstheme="minorHAnsi"/>
                <w:color w:val="000000"/>
              </w:rPr>
              <w:t>Proportion of</w:t>
            </w:r>
          </w:p>
          <w:p w14:paraId="241ADECF" w14:textId="77777777" w:rsidR="00E94979" w:rsidRPr="00515F18" w:rsidRDefault="00E94979" w:rsidP="00515F18">
            <w:pPr>
              <w:spacing w:after="120"/>
              <w:rPr>
                <w:rFonts w:eastAsia="Arial" w:cstheme="minorHAnsi"/>
                <w:color w:val="000000"/>
              </w:rPr>
            </w:pPr>
            <w:r w:rsidRPr="00515F18">
              <w:rPr>
                <w:rFonts w:eastAsia="Arial" w:cstheme="minorHAnsi"/>
                <w:color w:val="000000"/>
              </w:rPr>
              <w:t>local breeds</w:t>
            </w:r>
          </w:p>
          <w:p w14:paraId="35E25FCD" w14:textId="77777777" w:rsidR="00E94979" w:rsidRPr="00515F18" w:rsidRDefault="00E94979" w:rsidP="00515F18">
            <w:pPr>
              <w:spacing w:after="120"/>
              <w:rPr>
                <w:rFonts w:eastAsia="Arial" w:cstheme="minorHAnsi"/>
                <w:color w:val="000000"/>
              </w:rPr>
            </w:pPr>
            <w:r w:rsidRPr="00515F18">
              <w:rPr>
                <w:rFonts w:eastAsia="Arial" w:cstheme="minorHAnsi"/>
                <w:color w:val="000000"/>
              </w:rPr>
              <w:t>classified as</w:t>
            </w:r>
          </w:p>
          <w:p w14:paraId="48820294" w14:textId="77777777" w:rsidR="00E94979" w:rsidRPr="00515F18" w:rsidRDefault="00E94979" w:rsidP="00515F18">
            <w:pPr>
              <w:spacing w:after="120"/>
              <w:rPr>
                <w:rFonts w:eastAsia="Arial" w:cstheme="minorHAnsi"/>
                <w:color w:val="000000"/>
              </w:rPr>
            </w:pPr>
            <w:r w:rsidRPr="00515F18">
              <w:rPr>
                <w:rFonts w:eastAsia="Arial" w:cstheme="minorHAnsi"/>
                <w:color w:val="000000"/>
              </w:rPr>
              <w:t>being at risk,</w:t>
            </w:r>
          </w:p>
          <w:p w14:paraId="3EA9D011" w14:textId="77777777" w:rsidR="00E94979" w:rsidRPr="00515F18" w:rsidRDefault="00E94979" w:rsidP="00515F18">
            <w:pPr>
              <w:spacing w:after="120"/>
              <w:rPr>
                <w:rFonts w:eastAsia="Arial" w:cstheme="minorHAnsi"/>
                <w:strike/>
                <w:color w:val="000000"/>
              </w:rPr>
            </w:pPr>
            <w:r w:rsidRPr="00515F18">
              <w:rPr>
                <w:rFonts w:eastAsia="Arial" w:cstheme="minorHAnsi"/>
                <w:strike/>
                <w:color w:val="000000"/>
              </w:rPr>
              <w:t>not at risk or at</w:t>
            </w:r>
          </w:p>
          <w:p w14:paraId="139FF006" w14:textId="77777777" w:rsidR="00E94979" w:rsidRPr="00515F18" w:rsidRDefault="00E94979" w:rsidP="00515F18">
            <w:pPr>
              <w:spacing w:after="120"/>
              <w:rPr>
                <w:rFonts w:eastAsia="Arial" w:cstheme="minorHAnsi"/>
                <w:strike/>
                <w:color w:val="000000"/>
              </w:rPr>
            </w:pPr>
            <w:r w:rsidRPr="00515F18">
              <w:rPr>
                <w:rFonts w:eastAsia="Arial" w:cstheme="minorHAnsi"/>
                <w:strike/>
                <w:color w:val="000000"/>
              </w:rPr>
              <w:t>an unknown</w:t>
            </w:r>
          </w:p>
          <w:p w14:paraId="79C7D378" w14:textId="77777777" w:rsidR="00E94979" w:rsidRPr="00515F18" w:rsidRDefault="00E94979" w:rsidP="00515F18">
            <w:pPr>
              <w:spacing w:after="120"/>
              <w:rPr>
                <w:rFonts w:eastAsia="Arial" w:cstheme="minorHAnsi"/>
                <w:color w:val="000000"/>
              </w:rPr>
            </w:pPr>
            <w:r w:rsidRPr="00515F18">
              <w:rPr>
                <w:rFonts w:eastAsia="Arial" w:cstheme="minorHAnsi"/>
                <w:strike/>
                <w:color w:val="000000"/>
              </w:rPr>
              <w:t>level of risk</w:t>
            </w:r>
            <w:r w:rsidRPr="00515F18">
              <w:rPr>
                <w:rFonts w:eastAsia="Arial" w:cstheme="minorHAnsi"/>
                <w:color w:val="000000"/>
              </w:rPr>
              <w:t xml:space="preserve"> of</w:t>
            </w:r>
          </w:p>
          <w:p w14:paraId="51F8B90B" w14:textId="020892C4" w:rsidR="00E94979" w:rsidRPr="00515F18" w:rsidRDefault="00E94979" w:rsidP="00515F18">
            <w:pPr>
              <w:spacing w:after="120"/>
              <w:rPr>
                <w:rFonts w:eastAsia="Arial" w:cstheme="minorHAnsi"/>
                <w:color w:val="000000"/>
              </w:rPr>
            </w:pPr>
            <w:r w:rsidRPr="00515F18">
              <w:rPr>
                <w:rFonts w:eastAsia="Arial" w:cstheme="minorHAnsi"/>
                <w:color w:val="000000"/>
              </w:rPr>
              <w:t>extinction.</w:t>
            </w:r>
          </w:p>
        </w:tc>
        <w:tc>
          <w:tcPr>
            <w:tcW w:w="1489" w:type="dxa"/>
            <w:shd w:val="clear" w:color="auto" w:fill="auto"/>
          </w:tcPr>
          <w:p w14:paraId="4DDFCAA4" w14:textId="0DB715D5" w:rsidR="00E94979" w:rsidRPr="00515F18" w:rsidRDefault="00E94979" w:rsidP="00515F18">
            <w:pPr>
              <w:spacing w:after="120"/>
              <w:rPr>
                <w:rFonts w:eastAsia="Arial" w:cstheme="minorHAnsi"/>
                <w:color w:val="000000"/>
              </w:rPr>
            </w:pPr>
            <w:r w:rsidRPr="00515F18">
              <w:rPr>
                <w:rFonts w:eastAsia="Arial" w:cstheme="minorHAnsi"/>
                <w:color w:val="000000"/>
              </w:rPr>
              <w:t>FAO</w:t>
            </w:r>
          </w:p>
        </w:tc>
        <w:tc>
          <w:tcPr>
            <w:tcW w:w="1194" w:type="dxa"/>
            <w:shd w:val="clear" w:color="auto" w:fill="auto"/>
          </w:tcPr>
          <w:p w14:paraId="1D6DC1C8" w14:textId="2C2A4DC8" w:rsidR="00E94979" w:rsidRPr="00515F18" w:rsidRDefault="00E94979" w:rsidP="00515F18">
            <w:pPr>
              <w:spacing w:after="120"/>
              <w:jc w:val="center"/>
              <w:rPr>
                <w:rFonts w:eastAsia="Arial" w:cstheme="minorHAnsi"/>
              </w:rPr>
            </w:pPr>
            <w:r w:rsidRPr="00515F18">
              <w:rPr>
                <w:rFonts w:eastAsia="Arial" w:cstheme="minorHAnsi"/>
              </w:rPr>
              <w:t>X</w:t>
            </w:r>
          </w:p>
        </w:tc>
        <w:tc>
          <w:tcPr>
            <w:tcW w:w="1341" w:type="dxa"/>
            <w:shd w:val="clear" w:color="auto" w:fill="auto"/>
          </w:tcPr>
          <w:p w14:paraId="16AFE515" w14:textId="77777777" w:rsidR="00E94979" w:rsidRPr="00515F18" w:rsidRDefault="00E94979" w:rsidP="00515F18">
            <w:pPr>
              <w:spacing w:after="120"/>
              <w:jc w:val="center"/>
              <w:rPr>
                <w:rFonts w:cstheme="minorHAnsi"/>
                <w:kern w:val="22"/>
              </w:rPr>
            </w:pPr>
          </w:p>
        </w:tc>
        <w:tc>
          <w:tcPr>
            <w:tcW w:w="1042" w:type="dxa"/>
            <w:shd w:val="clear" w:color="auto" w:fill="auto"/>
          </w:tcPr>
          <w:p w14:paraId="74F41EC8" w14:textId="1A4E9D8F" w:rsidR="00E94979" w:rsidRPr="00515F18" w:rsidRDefault="00E94979" w:rsidP="00515F18">
            <w:pPr>
              <w:spacing w:after="120"/>
              <w:jc w:val="center"/>
              <w:rPr>
                <w:rFonts w:eastAsia="Arial" w:cstheme="minorHAnsi"/>
              </w:rPr>
            </w:pPr>
            <w:r w:rsidRPr="00515F18">
              <w:rPr>
                <w:rFonts w:eastAsia="Arial" w:cstheme="minorHAnsi"/>
              </w:rPr>
              <w:t>2020</w:t>
            </w:r>
          </w:p>
        </w:tc>
        <w:tc>
          <w:tcPr>
            <w:tcW w:w="1193" w:type="dxa"/>
            <w:shd w:val="clear" w:color="auto" w:fill="auto"/>
          </w:tcPr>
          <w:p w14:paraId="544DDBC9" w14:textId="78E4579F" w:rsidR="00E94979" w:rsidRPr="00515F18" w:rsidRDefault="00E94979" w:rsidP="00515F18">
            <w:pPr>
              <w:spacing w:after="120"/>
              <w:jc w:val="center"/>
              <w:rPr>
                <w:rFonts w:eastAsia="Arial" w:cstheme="minorHAnsi"/>
              </w:rPr>
            </w:pPr>
            <w:r w:rsidRPr="00515F18">
              <w:rPr>
                <w:rFonts w:eastAsia="Arial" w:cstheme="minorHAnsi"/>
              </w:rPr>
              <w:t>2000 -2019</w:t>
            </w:r>
          </w:p>
        </w:tc>
        <w:tc>
          <w:tcPr>
            <w:tcW w:w="1340" w:type="dxa"/>
            <w:shd w:val="clear" w:color="auto" w:fill="auto"/>
          </w:tcPr>
          <w:p w14:paraId="49F5950C" w14:textId="4A54FAA2" w:rsidR="00E94979" w:rsidRPr="00515F18" w:rsidRDefault="00E94979" w:rsidP="00515F18">
            <w:pPr>
              <w:spacing w:after="120"/>
              <w:jc w:val="center"/>
              <w:rPr>
                <w:rFonts w:eastAsia="Arial" w:cstheme="minorHAnsi"/>
              </w:rPr>
            </w:pPr>
            <w:r w:rsidRPr="00515F18">
              <w:rPr>
                <w:rFonts w:eastAsia="Arial" w:cstheme="minorHAnsi"/>
              </w:rPr>
              <w:t>Y</w:t>
            </w:r>
          </w:p>
        </w:tc>
        <w:tc>
          <w:tcPr>
            <w:tcW w:w="1640" w:type="dxa"/>
            <w:shd w:val="clear" w:color="auto" w:fill="auto"/>
          </w:tcPr>
          <w:p w14:paraId="6D63BDD4" w14:textId="77777777" w:rsidR="00E94979" w:rsidRPr="00515F18" w:rsidRDefault="00E94979" w:rsidP="00515F18">
            <w:pPr>
              <w:spacing w:after="120"/>
              <w:jc w:val="center"/>
              <w:rPr>
                <w:rFonts w:eastAsia="Arial" w:cstheme="minorHAnsi"/>
              </w:rPr>
            </w:pPr>
          </w:p>
        </w:tc>
        <w:tc>
          <w:tcPr>
            <w:tcW w:w="1340" w:type="dxa"/>
            <w:shd w:val="clear" w:color="auto" w:fill="auto"/>
          </w:tcPr>
          <w:p w14:paraId="2676715E" w14:textId="10408FE2" w:rsidR="00E94979" w:rsidRPr="00515F18" w:rsidRDefault="00E94979" w:rsidP="00515F18">
            <w:pPr>
              <w:spacing w:after="120"/>
              <w:jc w:val="center"/>
              <w:rPr>
                <w:rFonts w:eastAsia="Arial" w:cstheme="minorHAnsi"/>
              </w:rPr>
            </w:pPr>
            <w:r w:rsidRPr="00515F18">
              <w:rPr>
                <w:rFonts w:eastAsia="Arial" w:cstheme="minorHAnsi"/>
              </w:rPr>
              <w:t>Y</w:t>
            </w:r>
          </w:p>
        </w:tc>
        <w:tc>
          <w:tcPr>
            <w:tcW w:w="1166" w:type="dxa"/>
            <w:shd w:val="clear" w:color="auto" w:fill="auto"/>
          </w:tcPr>
          <w:p w14:paraId="28E7E6A9" w14:textId="10385D41" w:rsidR="00E94979" w:rsidRPr="00515F18" w:rsidRDefault="00E94979" w:rsidP="00515F18">
            <w:pPr>
              <w:spacing w:after="120"/>
              <w:jc w:val="center"/>
              <w:rPr>
                <w:rFonts w:eastAsia="Arial" w:cstheme="minorHAnsi"/>
              </w:rPr>
            </w:pPr>
            <w:r w:rsidRPr="00515F18">
              <w:rPr>
                <w:rFonts w:eastAsia="Arial" w:cstheme="minorHAnsi"/>
              </w:rPr>
              <w:t>Y</w:t>
            </w:r>
          </w:p>
        </w:tc>
        <w:tc>
          <w:tcPr>
            <w:tcW w:w="966" w:type="dxa"/>
            <w:shd w:val="clear" w:color="auto" w:fill="auto"/>
          </w:tcPr>
          <w:p w14:paraId="6388AE1F" w14:textId="50D5796F" w:rsidR="00E94979" w:rsidRPr="00515F18" w:rsidRDefault="00E94979" w:rsidP="00515F18">
            <w:pPr>
              <w:spacing w:after="120"/>
              <w:jc w:val="center"/>
              <w:rPr>
                <w:rFonts w:eastAsia="Arial" w:cstheme="minorHAnsi"/>
              </w:rPr>
            </w:pPr>
            <w:r w:rsidRPr="00515F18">
              <w:rPr>
                <w:rFonts w:eastAsia="Arial" w:cstheme="minorHAnsi"/>
              </w:rPr>
              <w:t>Y SDG indicator 2.5.2</w:t>
            </w:r>
          </w:p>
        </w:tc>
        <w:tc>
          <w:tcPr>
            <w:tcW w:w="1794" w:type="dxa"/>
            <w:shd w:val="clear" w:color="auto" w:fill="auto"/>
          </w:tcPr>
          <w:p w14:paraId="0D8CB51B" w14:textId="77777777" w:rsidR="00E94979" w:rsidRPr="00515F18" w:rsidRDefault="00E94979" w:rsidP="00515F18">
            <w:pPr>
              <w:spacing w:after="120"/>
              <w:jc w:val="center"/>
              <w:rPr>
                <w:rFonts w:eastAsia="Arial" w:cstheme="minorHAnsi"/>
              </w:rPr>
            </w:pPr>
          </w:p>
        </w:tc>
        <w:tc>
          <w:tcPr>
            <w:tcW w:w="1794" w:type="dxa"/>
          </w:tcPr>
          <w:p w14:paraId="6A0C781D" w14:textId="59E10419" w:rsidR="00E94979" w:rsidRPr="00515F18" w:rsidRDefault="00E94979" w:rsidP="00515F18">
            <w:pPr>
              <w:spacing w:after="120"/>
              <w:jc w:val="center"/>
              <w:rPr>
                <w:rFonts w:cstheme="minorHAnsi"/>
                <w:kern w:val="22"/>
              </w:rPr>
            </w:pPr>
            <w:r w:rsidRPr="00515F18">
              <w:rPr>
                <w:rFonts w:cstheme="minorHAnsi"/>
                <w:kern w:val="22"/>
              </w:rPr>
              <w:t xml:space="preserve">Indicator name to be amended to be </w:t>
            </w:r>
            <w:r w:rsidRPr="00515F18">
              <w:rPr>
                <w:rFonts w:cstheme="minorHAnsi"/>
                <w:b/>
                <w:bCs/>
                <w:kern w:val="22"/>
              </w:rPr>
              <w:t>consistent with the corresponding SDG indicator.</w:t>
            </w:r>
          </w:p>
        </w:tc>
      </w:tr>
      <w:bookmarkEnd w:id="0"/>
    </w:tbl>
    <w:p w14:paraId="58EF590B" w14:textId="77777777" w:rsidR="00FC6E3F" w:rsidRPr="00515F18" w:rsidRDefault="00FC6E3F" w:rsidP="00515F18">
      <w:pPr>
        <w:tabs>
          <w:tab w:val="left" w:pos="2943"/>
          <w:tab w:val="left" w:pos="6912"/>
          <w:tab w:val="left" w:pos="10314"/>
        </w:tabs>
        <w:spacing w:after="120" w:line="240" w:lineRule="auto"/>
        <w:rPr>
          <w:rFonts w:eastAsia="Arial" w:cstheme="minorHAnsi"/>
          <w:b/>
          <w:bCs/>
        </w:rPr>
      </w:pPr>
    </w:p>
    <w:p w14:paraId="6349190B" w14:textId="2375D38E" w:rsidR="003B7F87" w:rsidRPr="00515F18" w:rsidRDefault="003B7F87" w:rsidP="00515F18">
      <w:pPr>
        <w:tabs>
          <w:tab w:val="left" w:pos="2943"/>
          <w:tab w:val="left" w:pos="6912"/>
          <w:tab w:val="left" w:pos="10314"/>
        </w:tabs>
        <w:spacing w:after="120" w:line="240" w:lineRule="auto"/>
        <w:rPr>
          <w:rFonts w:cstheme="minorHAnsi"/>
          <w:kern w:val="22"/>
        </w:rPr>
      </w:pPr>
    </w:p>
    <w:p w14:paraId="041B243D" w14:textId="427482C7" w:rsidR="0037414D" w:rsidRPr="00515F18" w:rsidRDefault="0037414D" w:rsidP="00515F18">
      <w:pPr>
        <w:tabs>
          <w:tab w:val="left" w:pos="2943"/>
          <w:tab w:val="left" w:pos="6912"/>
          <w:tab w:val="left" w:pos="10314"/>
        </w:tabs>
        <w:spacing w:after="120" w:line="240" w:lineRule="auto"/>
        <w:rPr>
          <w:rFonts w:eastAsia="Arial" w:cstheme="minorHAnsi"/>
          <w:b/>
          <w:bCs/>
        </w:rPr>
      </w:pPr>
      <w:r w:rsidRPr="00515F18">
        <w:rPr>
          <w:rFonts w:eastAsia="Arial" w:cstheme="minorHAnsi"/>
          <w:b/>
          <w:bCs/>
        </w:rPr>
        <w:t xml:space="preserve">Table </w:t>
      </w:r>
      <w:r w:rsidR="00FC6E3F" w:rsidRPr="00515F18">
        <w:rPr>
          <w:rFonts w:eastAsia="Arial" w:cstheme="minorHAnsi"/>
          <w:b/>
          <w:bCs/>
        </w:rPr>
        <w:t>2</w:t>
      </w:r>
      <w:r w:rsidRPr="00515F18">
        <w:rPr>
          <w:rFonts w:eastAsia="Arial" w:cstheme="minorHAnsi"/>
          <w:b/>
          <w:bCs/>
        </w:rPr>
        <w:t xml:space="preserve">. </w:t>
      </w:r>
      <w:r w:rsidR="4AC0C0B0" w:rsidRPr="00515F18">
        <w:rPr>
          <w:rFonts w:eastAsia="Arial" w:cstheme="minorHAnsi"/>
          <w:b/>
          <w:bCs/>
        </w:rPr>
        <w:t>I</w:t>
      </w:r>
      <w:r w:rsidRPr="00515F18">
        <w:rPr>
          <w:rFonts w:eastAsia="Arial" w:cstheme="minorHAnsi"/>
          <w:b/>
          <w:bCs/>
        </w:rPr>
        <w:t xml:space="preserve">ndicators for monitoring elements of the </w:t>
      </w:r>
      <w:r w:rsidR="40A01D75" w:rsidRPr="00515F18">
        <w:rPr>
          <w:rFonts w:eastAsia="Arial" w:cstheme="minorHAnsi"/>
          <w:b/>
          <w:bCs/>
        </w:rPr>
        <w:t>draft</w:t>
      </w:r>
      <w:r w:rsidRPr="00515F18">
        <w:rPr>
          <w:rFonts w:eastAsia="Arial" w:cstheme="minorHAnsi"/>
          <w:b/>
          <w:bCs/>
        </w:rPr>
        <w:t xml:space="preserve"> </w:t>
      </w:r>
      <w:r w:rsidR="00FC6E3F" w:rsidRPr="00515F18">
        <w:rPr>
          <w:rFonts w:eastAsia="Arial" w:cstheme="minorHAnsi"/>
          <w:b/>
          <w:bCs/>
        </w:rPr>
        <w:t>targets</w:t>
      </w:r>
      <w:r w:rsidRPr="00515F18">
        <w:rPr>
          <w:rFonts w:eastAsia="Arial" w:cstheme="minorHAnsi"/>
          <w:b/>
          <w:bCs/>
        </w:rPr>
        <w:t xml:space="preserve"> (with example entries</w:t>
      </w:r>
      <w:r w:rsidR="02DE9F56" w:rsidRPr="00515F18">
        <w:rPr>
          <w:rFonts w:eastAsia="Arial" w:cstheme="minorHAnsi"/>
          <w:b/>
          <w:bCs/>
        </w:rPr>
        <w:t>)</w:t>
      </w:r>
    </w:p>
    <w:tbl>
      <w:tblPr>
        <w:tblStyle w:val="TableGrid"/>
        <w:tblW w:w="21803" w:type="dxa"/>
        <w:tblLayout w:type="fixed"/>
        <w:tblLook w:val="04A0" w:firstRow="1" w:lastRow="0" w:firstColumn="1" w:lastColumn="0" w:noHBand="0" w:noVBand="1"/>
      </w:tblPr>
      <w:tblGrid>
        <w:gridCol w:w="1781"/>
        <w:gridCol w:w="1936"/>
        <w:gridCol w:w="1787"/>
        <w:gridCol w:w="1489"/>
        <w:gridCol w:w="1194"/>
        <w:gridCol w:w="1341"/>
        <w:gridCol w:w="1042"/>
        <w:gridCol w:w="1193"/>
        <w:gridCol w:w="1340"/>
        <w:gridCol w:w="1640"/>
        <w:gridCol w:w="1340"/>
        <w:gridCol w:w="1166"/>
        <w:gridCol w:w="966"/>
        <w:gridCol w:w="1794"/>
        <w:gridCol w:w="1794"/>
      </w:tblGrid>
      <w:tr w:rsidR="00FC6E3F" w:rsidRPr="00515F18" w14:paraId="2BBC89DC" w14:textId="77777777" w:rsidTr="14E12F90">
        <w:trPr>
          <w:trHeight w:val="280"/>
          <w:tblHeader/>
        </w:trPr>
        <w:tc>
          <w:tcPr>
            <w:tcW w:w="1781" w:type="dxa"/>
            <w:shd w:val="clear" w:color="auto" w:fill="BFBFBF" w:themeFill="background1" w:themeFillShade="BF"/>
            <w:vAlign w:val="center"/>
          </w:tcPr>
          <w:p w14:paraId="688EE46C" w14:textId="77777777" w:rsidR="00FC6E3F" w:rsidRPr="00515F18" w:rsidRDefault="00FC6E3F" w:rsidP="00515F18">
            <w:pPr>
              <w:spacing w:after="120"/>
              <w:jc w:val="center"/>
              <w:rPr>
                <w:rFonts w:cstheme="minorHAnsi"/>
                <w:b/>
              </w:rPr>
            </w:pPr>
            <w:r w:rsidRPr="00515F18">
              <w:rPr>
                <w:rFonts w:cstheme="minorHAnsi"/>
                <w:b/>
              </w:rPr>
              <w:t>1</w:t>
            </w:r>
          </w:p>
        </w:tc>
        <w:tc>
          <w:tcPr>
            <w:tcW w:w="1936" w:type="dxa"/>
            <w:shd w:val="clear" w:color="auto" w:fill="BFBFBF" w:themeFill="background1" w:themeFillShade="BF"/>
            <w:vAlign w:val="center"/>
          </w:tcPr>
          <w:p w14:paraId="4CDDE670" w14:textId="77777777" w:rsidR="00FC6E3F" w:rsidRPr="00515F18" w:rsidRDefault="00FC6E3F" w:rsidP="00515F18">
            <w:pPr>
              <w:spacing w:after="120"/>
              <w:ind w:firstLine="171"/>
              <w:jc w:val="center"/>
              <w:rPr>
                <w:rFonts w:cstheme="minorHAnsi"/>
                <w:b/>
              </w:rPr>
            </w:pPr>
            <w:r w:rsidRPr="00515F18">
              <w:rPr>
                <w:rFonts w:cstheme="minorHAnsi"/>
                <w:b/>
              </w:rPr>
              <w:t>2</w:t>
            </w:r>
          </w:p>
        </w:tc>
        <w:tc>
          <w:tcPr>
            <w:tcW w:w="1787" w:type="dxa"/>
            <w:shd w:val="clear" w:color="auto" w:fill="BFBFBF" w:themeFill="background1" w:themeFillShade="BF"/>
            <w:vAlign w:val="center"/>
          </w:tcPr>
          <w:p w14:paraId="77DE4368" w14:textId="77777777" w:rsidR="00FC6E3F" w:rsidRPr="00515F18" w:rsidRDefault="00FC6E3F" w:rsidP="00515F18">
            <w:pPr>
              <w:spacing w:after="120"/>
              <w:ind w:firstLine="171"/>
              <w:jc w:val="center"/>
              <w:rPr>
                <w:rFonts w:cstheme="minorHAnsi"/>
                <w:b/>
              </w:rPr>
            </w:pPr>
            <w:r w:rsidRPr="00515F18">
              <w:rPr>
                <w:rFonts w:cstheme="minorHAnsi"/>
                <w:b/>
              </w:rPr>
              <w:t>3</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CCDC20" w14:textId="77777777" w:rsidR="00FC6E3F" w:rsidRPr="00515F18" w:rsidRDefault="00FC6E3F" w:rsidP="00515F18">
            <w:pPr>
              <w:spacing w:after="120"/>
              <w:jc w:val="center"/>
              <w:rPr>
                <w:rFonts w:cstheme="minorHAnsi"/>
                <w:b/>
              </w:rPr>
            </w:pPr>
            <w:r w:rsidRPr="00515F18">
              <w:rPr>
                <w:rFonts w:cstheme="minorHAnsi"/>
                <w:b/>
              </w:rPr>
              <w:t>4</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258E77"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5</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D75913" w14:textId="77777777" w:rsidR="00FC6E3F" w:rsidRPr="00515F18" w:rsidRDefault="00FC6E3F" w:rsidP="00515F18">
            <w:pPr>
              <w:spacing w:after="120"/>
              <w:jc w:val="center"/>
              <w:rPr>
                <w:rFonts w:cstheme="minorHAnsi"/>
                <w:b/>
              </w:rPr>
            </w:pPr>
            <w:r w:rsidRPr="00515F18">
              <w:rPr>
                <w:rFonts w:cstheme="minorHAnsi"/>
                <w:b/>
              </w:rPr>
              <w:t>6</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8112AE" w14:textId="77777777" w:rsidR="00FC6E3F" w:rsidRPr="00515F18" w:rsidRDefault="00FC6E3F" w:rsidP="00515F18">
            <w:pPr>
              <w:spacing w:after="120"/>
              <w:jc w:val="center"/>
              <w:rPr>
                <w:rFonts w:cstheme="minorHAnsi"/>
                <w:b/>
              </w:rPr>
            </w:pPr>
            <w:r w:rsidRPr="00515F18">
              <w:rPr>
                <w:rFonts w:cstheme="minorHAnsi"/>
                <w:b/>
              </w:rPr>
              <w:t>7</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B682D1"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8</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C54B17"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9</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DE8FEB"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10</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43E6B0"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11</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F5D03F"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12</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42C05B"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13</w:t>
            </w:r>
          </w:p>
        </w:tc>
        <w:tc>
          <w:tcPr>
            <w:tcW w:w="1794" w:type="dxa"/>
            <w:shd w:val="clear" w:color="auto" w:fill="BFBFBF" w:themeFill="background1" w:themeFillShade="BF"/>
            <w:vAlign w:val="center"/>
          </w:tcPr>
          <w:p w14:paraId="26DA10C4" w14:textId="77777777" w:rsidR="00FC6E3F" w:rsidRPr="00515F18" w:rsidRDefault="00FC6E3F" w:rsidP="00515F18">
            <w:pPr>
              <w:spacing w:after="120"/>
              <w:jc w:val="center"/>
              <w:rPr>
                <w:rFonts w:cstheme="minorHAnsi"/>
                <w:b/>
              </w:rPr>
            </w:pPr>
            <w:r w:rsidRPr="00515F18">
              <w:rPr>
                <w:rFonts w:cstheme="minorHAnsi"/>
                <w:b/>
              </w:rPr>
              <w:t>14</w:t>
            </w:r>
          </w:p>
        </w:tc>
        <w:tc>
          <w:tcPr>
            <w:tcW w:w="1794" w:type="dxa"/>
            <w:shd w:val="clear" w:color="auto" w:fill="BFBFBF" w:themeFill="background1" w:themeFillShade="BF"/>
          </w:tcPr>
          <w:p w14:paraId="16C20167" w14:textId="77777777" w:rsidR="00FC6E3F" w:rsidRPr="00515F18" w:rsidRDefault="00FC6E3F" w:rsidP="00515F18">
            <w:pPr>
              <w:spacing w:after="120"/>
              <w:jc w:val="center"/>
              <w:rPr>
                <w:rFonts w:cstheme="minorHAnsi"/>
                <w:b/>
              </w:rPr>
            </w:pPr>
            <w:r w:rsidRPr="00515F18">
              <w:rPr>
                <w:rFonts w:cstheme="minorHAnsi"/>
                <w:b/>
              </w:rPr>
              <w:t>15</w:t>
            </w:r>
          </w:p>
        </w:tc>
      </w:tr>
      <w:tr w:rsidR="00FC6E3F" w:rsidRPr="00515F18" w14:paraId="330FD642" w14:textId="77777777" w:rsidTr="14E12F90">
        <w:trPr>
          <w:trHeight w:val="1041"/>
          <w:tblHeader/>
        </w:trPr>
        <w:tc>
          <w:tcPr>
            <w:tcW w:w="1781" w:type="dxa"/>
            <w:shd w:val="clear" w:color="auto" w:fill="BFBFBF" w:themeFill="background1" w:themeFillShade="BF"/>
            <w:vAlign w:val="center"/>
          </w:tcPr>
          <w:p w14:paraId="7B0194A9" w14:textId="7F3D376D" w:rsidR="00FC6E3F" w:rsidRPr="00515F18" w:rsidRDefault="00FC6E3F" w:rsidP="00515F18">
            <w:pPr>
              <w:pStyle w:val="ListParagraph"/>
              <w:spacing w:after="120"/>
              <w:ind w:left="0"/>
              <w:jc w:val="center"/>
              <w:rPr>
                <w:rFonts w:cstheme="minorHAnsi"/>
                <w:b/>
              </w:rPr>
            </w:pPr>
            <w:r w:rsidRPr="00515F18">
              <w:rPr>
                <w:rFonts w:cstheme="minorHAnsi"/>
                <w:b/>
              </w:rPr>
              <w:t xml:space="preserve">Components of the </w:t>
            </w:r>
            <w:r w:rsidR="6D832688" w:rsidRPr="00515F18">
              <w:rPr>
                <w:rFonts w:cstheme="minorHAnsi"/>
                <w:b/>
                <w:bCs/>
              </w:rPr>
              <w:t>draft</w:t>
            </w:r>
            <w:r w:rsidRPr="00515F18">
              <w:rPr>
                <w:rFonts w:cstheme="minorHAnsi"/>
                <w:b/>
                <w:bCs/>
              </w:rPr>
              <w:t xml:space="preserve"> </w:t>
            </w:r>
            <w:r w:rsidR="00432EEA" w:rsidRPr="00515F18">
              <w:rPr>
                <w:rFonts w:cstheme="minorHAnsi"/>
                <w:b/>
                <w:bCs/>
              </w:rPr>
              <w:t>Target</w:t>
            </w:r>
            <w:r w:rsidR="3564156C" w:rsidRPr="00515F18">
              <w:rPr>
                <w:rFonts w:cstheme="minorHAnsi"/>
                <w:b/>
                <w:bCs/>
              </w:rPr>
              <w:t>s</w:t>
            </w:r>
          </w:p>
          <w:p w14:paraId="43DC3832" w14:textId="77777777" w:rsidR="00FC6E3F" w:rsidRPr="00515F18" w:rsidRDefault="00FC6E3F" w:rsidP="00515F18">
            <w:pPr>
              <w:spacing w:after="120"/>
              <w:ind w:firstLine="171"/>
              <w:jc w:val="center"/>
              <w:rPr>
                <w:rFonts w:cstheme="minorHAnsi"/>
              </w:rPr>
            </w:pPr>
          </w:p>
          <w:p w14:paraId="06B10C23" w14:textId="00F705E4" w:rsidR="007A15AD" w:rsidRPr="00515F18" w:rsidRDefault="007A15AD" w:rsidP="00515F18">
            <w:pPr>
              <w:pStyle w:val="ListParagraph"/>
              <w:spacing w:after="120"/>
              <w:ind w:left="0"/>
              <w:rPr>
                <w:rFonts w:cstheme="minorHAnsi"/>
                <w:b/>
                <w:bCs/>
              </w:rPr>
            </w:pPr>
            <w:r w:rsidRPr="00515F18">
              <w:rPr>
                <w:rFonts w:cstheme="minorHAnsi"/>
                <w:b/>
                <w:bCs/>
              </w:rPr>
              <w:t xml:space="preserve">(copy/paste text from </w:t>
            </w:r>
            <w:hyperlink r:id="rId20" w:history="1">
              <w:r w:rsidR="00DD789A" w:rsidRPr="00515F18">
                <w:rPr>
                  <w:rStyle w:val="Hyperlink"/>
                  <w:rFonts w:cstheme="minorHAnsi"/>
                  <w:b/>
                  <w:bCs/>
                </w:rPr>
                <w:t>CBD/SBSTTA-24/post-2020-monitoring.en.pdf</w:t>
              </w:r>
            </w:hyperlink>
            <w:r w:rsidRPr="00515F18">
              <w:rPr>
                <w:rFonts w:cstheme="minorHAnsi"/>
                <w:b/>
                <w:bCs/>
              </w:rPr>
              <w:t>)</w:t>
            </w:r>
          </w:p>
        </w:tc>
        <w:tc>
          <w:tcPr>
            <w:tcW w:w="1936" w:type="dxa"/>
            <w:shd w:val="clear" w:color="auto" w:fill="BFBFBF" w:themeFill="background1" w:themeFillShade="BF"/>
            <w:vAlign w:val="center"/>
          </w:tcPr>
          <w:p w14:paraId="19D62A7F" w14:textId="77777777" w:rsidR="00FC6E3F" w:rsidRPr="00515F18" w:rsidRDefault="38015DA0" w:rsidP="00515F18">
            <w:pPr>
              <w:spacing w:after="120"/>
              <w:jc w:val="center"/>
              <w:rPr>
                <w:rFonts w:cstheme="minorHAnsi"/>
                <w:b/>
              </w:rPr>
            </w:pPr>
            <w:r w:rsidRPr="00515F18">
              <w:rPr>
                <w:rFonts w:cstheme="minorHAnsi"/>
                <w:b/>
                <w:bCs/>
              </w:rPr>
              <w:t xml:space="preserve">Target </w:t>
            </w:r>
            <w:r w:rsidR="00FC6E3F" w:rsidRPr="00515F18">
              <w:rPr>
                <w:rFonts w:cstheme="minorHAnsi"/>
                <w:b/>
              </w:rPr>
              <w:t>Monitoring Elements</w:t>
            </w:r>
          </w:p>
          <w:p w14:paraId="673765F9" w14:textId="77777777" w:rsidR="007A15AD" w:rsidRPr="00515F18" w:rsidRDefault="007A15AD" w:rsidP="00515F18">
            <w:pPr>
              <w:spacing w:after="120"/>
              <w:jc w:val="center"/>
              <w:rPr>
                <w:rFonts w:cstheme="minorHAnsi"/>
                <w:b/>
              </w:rPr>
            </w:pPr>
          </w:p>
          <w:p w14:paraId="583EEC2B" w14:textId="77777777" w:rsidR="007A15AD" w:rsidRPr="00515F18" w:rsidRDefault="007A15AD" w:rsidP="00515F18">
            <w:pPr>
              <w:pStyle w:val="ListParagraph"/>
              <w:spacing w:after="120"/>
              <w:ind w:left="0"/>
              <w:rPr>
                <w:rFonts w:cstheme="minorHAnsi"/>
                <w:b/>
                <w:bCs/>
              </w:rPr>
            </w:pPr>
            <w:r w:rsidRPr="00515F18">
              <w:rPr>
                <w:rFonts w:cstheme="minorHAnsi"/>
                <w:b/>
                <w:bCs/>
              </w:rPr>
              <w:t xml:space="preserve">(copy/paste text from </w:t>
            </w:r>
            <w:hyperlink r:id="rId21" w:history="1">
              <w:r w:rsidR="00DD789A" w:rsidRPr="00515F18">
                <w:rPr>
                  <w:rStyle w:val="Hyperlink"/>
                  <w:rFonts w:cstheme="minorHAnsi"/>
                  <w:b/>
                  <w:bCs/>
                </w:rPr>
                <w:t>CBD/SBSTTA-24/post-2020-monitoring.en.pdf</w:t>
              </w:r>
            </w:hyperlink>
            <w:r w:rsidR="00DD789A" w:rsidRPr="00515F18">
              <w:rPr>
                <w:rFonts w:cstheme="minorHAnsi"/>
                <w:b/>
                <w:bCs/>
              </w:rPr>
              <w:t>)</w:t>
            </w:r>
          </w:p>
          <w:p w14:paraId="512B4E31" w14:textId="38FCE08A" w:rsidR="00DD789A" w:rsidRPr="00515F18" w:rsidRDefault="00DD789A" w:rsidP="00515F18">
            <w:pPr>
              <w:pStyle w:val="ListParagraph"/>
              <w:spacing w:after="120"/>
              <w:ind w:left="0"/>
              <w:rPr>
                <w:rFonts w:cstheme="minorHAnsi"/>
                <w:b/>
                <w:bCs/>
              </w:rPr>
            </w:pPr>
          </w:p>
        </w:tc>
        <w:tc>
          <w:tcPr>
            <w:tcW w:w="1787" w:type="dxa"/>
            <w:shd w:val="clear" w:color="auto" w:fill="BFBFBF" w:themeFill="background1" w:themeFillShade="BF"/>
            <w:vAlign w:val="center"/>
          </w:tcPr>
          <w:p w14:paraId="05637F7A" w14:textId="66C71907" w:rsidR="00FC6E3F" w:rsidRPr="00515F18" w:rsidRDefault="2E052AC5" w:rsidP="00515F18">
            <w:pPr>
              <w:spacing w:after="120"/>
              <w:jc w:val="center"/>
              <w:rPr>
                <w:rFonts w:cstheme="minorHAnsi"/>
                <w:b/>
              </w:rPr>
            </w:pPr>
            <w:r w:rsidRPr="00515F18">
              <w:rPr>
                <w:rFonts w:cstheme="minorHAnsi"/>
                <w:b/>
                <w:bCs/>
              </w:rPr>
              <w:t>Indicator</w:t>
            </w:r>
            <w:r w:rsidR="0FE375EC" w:rsidRPr="00515F18">
              <w:rPr>
                <w:rFonts w:cstheme="minorHAnsi"/>
                <w:b/>
                <w:bCs/>
              </w:rPr>
              <w:t xml:space="preserve"> name</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1E1E58" w14:textId="1D60AECC" w:rsidR="00FC6E3F" w:rsidRPr="00515F18" w:rsidRDefault="00FC6E3F" w:rsidP="00515F18">
            <w:pPr>
              <w:spacing w:after="120"/>
              <w:jc w:val="center"/>
              <w:rPr>
                <w:rFonts w:cstheme="minorHAnsi"/>
                <w:b/>
              </w:rPr>
            </w:pPr>
            <w:r w:rsidRPr="00515F18">
              <w:rPr>
                <w:rFonts w:cstheme="minorHAnsi"/>
                <w:b/>
              </w:rPr>
              <w:t>Responsible Institution</w:t>
            </w:r>
            <w:r w:rsidR="7A64A773" w:rsidRPr="00515F18">
              <w:rPr>
                <w:rFonts w:cstheme="minorHAnsi"/>
                <w:b/>
                <w:bCs/>
              </w:rPr>
              <w:t xml:space="preserve"> for the indicator</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7F0A8E" w14:textId="77777777" w:rsidR="00FC6E3F" w:rsidRPr="00515F18" w:rsidRDefault="00FC6E3F" w:rsidP="00515F18">
            <w:pPr>
              <w:spacing w:after="120"/>
              <w:jc w:val="center"/>
              <w:rPr>
                <w:rFonts w:cstheme="minorHAnsi"/>
                <w:b/>
              </w:rPr>
            </w:pPr>
            <w:r w:rsidRPr="00515F18">
              <w:rPr>
                <w:rFonts w:eastAsia="Times New Roman" w:cstheme="minorHAnsi"/>
                <w:b/>
                <w:bCs/>
                <w:snapToGrid w:val="0"/>
                <w:kern w:val="20"/>
              </w:rPr>
              <w:t>Available today (X) or under active development (Y)</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C4DBB4" w14:textId="77777777" w:rsidR="00FC6E3F" w:rsidRPr="00515F18" w:rsidRDefault="00FC6E3F" w:rsidP="00515F18">
            <w:pPr>
              <w:spacing w:after="120"/>
              <w:jc w:val="center"/>
              <w:rPr>
                <w:rFonts w:cstheme="minorHAnsi"/>
                <w:b/>
              </w:rPr>
            </w:pPr>
            <w:r w:rsidRPr="00515F18">
              <w:rPr>
                <w:rFonts w:cstheme="minorHAnsi"/>
                <w:b/>
              </w:rPr>
              <w:t>Date of availability for indicator in development (Year)</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D5471" w14:textId="77777777" w:rsidR="00FC6E3F" w:rsidRPr="00515F18" w:rsidRDefault="00FC6E3F" w:rsidP="00515F18">
            <w:pPr>
              <w:spacing w:after="120"/>
              <w:jc w:val="center"/>
              <w:rPr>
                <w:rFonts w:cstheme="minorHAnsi"/>
                <w:b/>
              </w:rPr>
            </w:pPr>
            <w:r w:rsidRPr="00515F18">
              <w:rPr>
                <w:rFonts w:cstheme="minorHAnsi"/>
                <w:b/>
              </w:rPr>
              <w:t>Year of last update (e.g. 2019)</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0D5AE6" w14:textId="77777777" w:rsidR="00FC6E3F" w:rsidRPr="00515F18" w:rsidRDefault="00FC6E3F" w:rsidP="00515F18">
            <w:pPr>
              <w:spacing w:after="120"/>
              <w:jc w:val="center"/>
              <w:rPr>
                <w:rFonts w:eastAsia="Times New Roman" w:cstheme="minorHAnsi"/>
                <w:b/>
                <w:bCs/>
                <w:snapToGrid w:val="0"/>
                <w:kern w:val="20"/>
              </w:rPr>
            </w:pPr>
            <w:r w:rsidRPr="00515F18">
              <w:rPr>
                <w:rFonts w:eastAsia="Arial" w:cstheme="minorHAnsi"/>
                <w:b/>
              </w:rPr>
              <w:t>Time series and frequency of updates (e.g. 1985-2019, annually)</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652051"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Methodology available for national use (Y/N)</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959985" w14:textId="77777777" w:rsidR="00FC6E3F" w:rsidRPr="00515F18" w:rsidRDefault="00FC6E3F" w:rsidP="00515F18">
            <w:pPr>
              <w:spacing w:after="120"/>
              <w:jc w:val="center"/>
              <w:rPr>
                <w:rFonts w:eastAsia="Times New Roman" w:cstheme="minorHAnsi"/>
                <w:b/>
                <w:bCs/>
                <w:snapToGrid w:val="0"/>
                <w:kern w:val="20"/>
              </w:rPr>
            </w:pPr>
            <w:r w:rsidRPr="00515F18">
              <w:rPr>
                <w:rFonts w:eastAsia="Times New Roman" w:cstheme="minorHAnsi"/>
                <w:b/>
                <w:bCs/>
                <w:snapToGrid w:val="0"/>
                <w:kern w:val="20"/>
              </w:rPr>
              <w:t>Global indicator can be disaggregated for national use (Y/N)</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2F51D7" w14:textId="77777777" w:rsidR="00FC6E3F" w:rsidRPr="00515F18" w:rsidRDefault="00FC6E3F" w:rsidP="00515F18">
            <w:pPr>
              <w:spacing w:after="120"/>
              <w:jc w:val="center"/>
              <w:rPr>
                <w:rFonts w:cstheme="minorHAnsi"/>
                <w:b/>
              </w:rPr>
            </w:pPr>
            <w:r w:rsidRPr="00515F18">
              <w:rPr>
                <w:rFonts w:eastAsia="Times New Roman" w:cstheme="minorHAnsi"/>
                <w:b/>
                <w:bCs/>
                <w:snapToGrid w:val="0"/>
                <w:kern w:val="20"/>
              </w:rPr>
              <w:t>National data aggregated to form global indicator (Y/N)</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638CBB" w14:textId="0CCC69B3" w:rsidR="00FC6E3F" w:rsidRPr="00515F18" w:rsidRDefault="00FC6E3F" w:rsidP="00515F18">
            <w:pPr>
              <w:spacing w:after="120"/>
              <w:jc w:val="center"/>
              <w:rPr>
                <w:rFonts w:cstheme="minorHAnsi"/>
                <w:b/>
              </w:rPr>
            </w:pPr>
            <w:r w:rsidRPr="00515F18">
              <w:rPr>
                <w:rFonts w:eastAsia="Times New Roman" w:cstheme="minorHAnsi"/>
                <w:b/>
                <w:bCs/>
                <w:snapToGrid w:val="0"/>
                <w:kern w:val="20"/>
              </w:rPr>
              <w:t>Used in GBO</w:t>
            </w:r>
            <w:r w:rsidR="09E24E84" w:rsidRPr="00515F18">
              <w:rPr>
                <w:rFonts w:eastAsia="Times New Roman" w:cstheme="minorHAnsi"/>
                <w:b/>
                <w:bCs/>
                <w:snapToGrid w:val="0"/>
                <w:kern w:val="20"/>
              </w:rPr>
              <w:t>-</w:t>
            </w:r>
            <w:r w:rsidRPr="00515F18">
              <w:rPr>
                <w:rFonts w:eastAsia="Times New Roman" w:cstheme="minorHAnsi"/>
                <w:b/>
                <w:bCs/>
                <w:snapToGrid w:val="0"/>
                <w:kern w:val="20"/>
              </w:rPr>
              <w:t>4 (Y/N)</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1AC3DE" w14:textId="77777777" w:rsidR="00FC6E3F" w:rsidRPr="00515F18" w:rsidRDefault="00FC6E3F" w:rsidP="00515F18">
            <w:pPr>
              <w:spacing w:after="120"/>
              <w:jc w:val="center"/>
              <w:rPr>
                <w:rFonts w:cstheme="minorHAnsi"/>
                <w:b/>
              </w:rPr>
            </w:pPr>
            <w:r w:rsidRPr="00515F18">
              <w:rPr>
                <w:rFonts w:eastAsia="Times New Roman" w:cstheme="minorHAnsi"/>
                <w:b/>
                <w:bCs/>
                <w:snapToGrid w:val="0"/>
                <w:kern w:val="20"/>
              </w:rPr>
              <w:t>SDG indicator (Y/N)</w:t>
            </w:r>
          </w:p>
        </w:tc>
        <w:tc>
          <w:tcPr>
            <w:tcW w:w="1794" w:type="dxa"/>
            <w:shd w:val="clear" w:color="auto" w:fill="BFBFBF" w:themeFill="background1" w:themeFillShade="BF"/>
            <w:vAlign w:val="center"/>
          </w:tcPr>
          <w:p w14:paraId="60D8DEB5" w14:textId="2A691154" w:rsidR="00FC6E3F" w:rsidRPr="00515F18" w:rsidRDefault="00FC6E3F" w:rsidP="00515F18">
            <w:pPr>
              <w:spacing w:after="120"/>
              <w:jc w:val="center"/>
              <w:rPr>
                <w:rFonts w:cstheme="minorHAnsi"/>
                <w:b/>
              </w:rPr>
            </w:pPr>
            <w:r w:rsidRPr="00515F18">
              <w:rPr>
                <w:rFonts w:cstheme="minorHAnsi"/>
                <w:b/>
              </w:rPr>
              <w:t>Indicator used to measure other MEAs or processes (e.g. Ramsar</w:t>
            </w:r>
            <w:r w:rsidR="05969938" w:rsidRPr="00515F18">
              <w:rPr>
                <w:rFonts w:cstheme="minorHAnsi"/>
                <w:b/>
                <w:bCs/>
              </w:rPr>
              <w:t xml:space="preserve"> Convention</w:t>
            </w:r>
            <w:r w:rsidRPr="00515F18">
              <w:rPr>
                <w:rFonts w:cstheme="minorHAnsi"/>
                <w:b/>
              </w:rPr>
              <w:t>, IPBES, CMS)</w:t>
            </w:r>
          </w:p>
        </w:tc>
        <w:tc>
          <w:tcPr>
            <w:tcW w:w="1794" w:type="dxa"/>
            <w:shd w:val="clear" w:color="auto" w:fill="BFBFBF" w:themeFill="background1" w:themeFillShade="BF"/>
            <w:vAlign w:val="center"/>
          </w:tcPr>
          <w:p w14:paraId="7AE4B565" w14:textId="77777777" w:rsidR="00FC6E3F" w:rsidRPr="00515F18" w:rsidRDefault="00FC6E3F" w:rsidP="00515F18">
            <w:pPr>
              <w:spacing w:after="120"/>
              <w:jc w:val="center"/>
              <w:rPr>
                <w:rFonts w:cstheme="minorHAnsi"/>
                <w:b/>
              </w:rPr>
            </w:pPr>
            <w:r w:rsidRPr="00515F18">
              <w:rPr>
                <w:rFonts w:cstheme="minorHAnsi"/>
                <w:b/>
              </w:rPr>
              <w:t>Comments</w:t>
            </w:r>
          </w:p>
        </w:tc>
      </w:tr>
      <w:tr w:rsidR="007B6E4E" w:rsidRPr="00515F18" w14:paraId="07F4867A" w14:textId="77777777" w:rsidTr="007A15AD">
        <w:trPr>
          <w:trHeight w:val="236"/>
        </w:trPr>
        <w:tc>
          <w:tcPr>
            <w:tcW w:w="1781" w:type="dxa"/>
            <w:shd w:val="clear" w:color="auto" w:fill="FFE599" w:themeFill="accent4" w:themeFillTint="66"/>
          </w:tcPr>
          <w:p w14:paraId="59F22660" w14:textId="2ECA2F6D" w:rsidR="007B6E4E" w:rsidRPr="00515F18" w:rsidRDefault="007B6E4E" w:rsidP="00515F18">
            <w:pPr>
              <w:spacing w:after="120"/>
              <w:rPr>
                <w:rFonts w:eastAsia="Arial" w:cstheme="minorHAnsi"/>
              </w:rPr>
            </w:pPr>
            <w:r w:rsidRPr="00515F18">
              <w:rPr>
                <w:rFonts w:cstheme="minorHAnsi"/>
                <w:color w:val="000000" w:themeColor="text1"/>
              </w:rPr>
              <w:t xml:space="preserve">T1.1. Increase in area of terrestrial, freshwater and marine ecosystems under spatial planning </w:t>
            </w:r>
          </w:p>
        </w:tc>
        <w:tc>
          <w:tcPr>
            <w:tcW w:w="1936" w:type="dxa"/>
            <w:shd w:val="clear" w:color="auto" w:fill="FFE599" w:themeFill="accent4" w:themeFillTint="66"/>
          </w:tcPr>
          <w:p w14:paraId="1D8A34E1" w14:textId="77777777" w:rsidR="007B6E4E" w:rsidRPr="00515F18" w:rsidRDefault="007B6E4E" w:rsidP="00515F18">
            <w:pPr>
              <w:pStyle w:val="NormalWeb"/>
              <w:spacing w:before="0" w:beforeAutospacing="0" w:after="120" w:afterAutospacing="0"/>
              <w:rPr>
                <w:rFonts w:asciiTheme="minorHAnsi" w:hAnsiTheme="minorHAnsi" w:cstheme="minorHAnsi"/>
                <w:color w:val="000000" w:themeColor="text1"/>
                <w:sz w:val="22"/>
                <w:szCs w:val="22"/>
              </w:rPr>
            </w:pPr>
            <w:r w:rsidRPr="00515F18">
              <w:rPr>
                <w:rFonts w:asciiTheme="minorHAnsi" w:hAnsiTheme="minorHAnsi" w:cstheme="minorHAnsi"/>
                <w:color w:val="000000" w:themeColor="text1"/>
                <w:sz w:val="22"/>
                <w:szCs w:val="22"/>
              </w:rPr>
              <w:t xml:space="preserve">Trends in area under spatial land-use plans </w:t>
            </w:r>
          </w:p>
          <w:p w14:paraId="39B7204B" w14:textId="77777777" w:rsidR="007B6E4E" w:rsidRPr="00515F18" w:rsidRDefault="007B6E4E" w:rsidP="00515F18">
            <w:pPr>
              <w:spacing w:after="120"/>
              <w:rPr>
                <w:rFonts w:eastAsia="Arial" w:cstheme="minorHAnsi"/>
              </w:rPr>
            </w:pPr>
          </w:p>
        </w:tc>
        <w:tc>
          <w:tcPr>
            <w:tcW w:w="1787" w:type="dxa"/>
            <w:shd w:val="clear" w:color="auto" w:fill="auto"/>
          </w:tcPr>
          <w:p w14:paraId="5A1B4BC4" w14:textId="77777777" w:rsidR="007B6E4E" w:rsidRPr="00515F18" w:rsidRDefault="007B6E4E" w:rsidP="00515F18">
            <w:pPr>
              <w:pStyle w:val="NormalWeb"/>
              <w:spacing w:before="0" w:beforeAutospacing="0" w:after="120" w:afterAutospacing="0"/>
              <w:rPr>
                <w:rFonts w:asciiTheme="minorHAnsi" w:hAnsiTheme="minorHAnsi" w:cstheme="minorHAnsi"/>
                <w:color w:val="000000" w:themeColor="text1"/>
                <w:sz w:val="22"/>
                <w:szCs w:val="22"/>
              </w:rPr>
            </w:pPr>
            <w:r w:rsidRPr="00515F18">
              <w:rPr>
                <w:rFonts w:asciiTheme="minorHAnsi" w:hAnsiTheme="minorHAnsi" w:cstheme="minorHAnsi"/>
                <w:color w:val="000000" w:themeColor="text1"/>
                <w:sz w:val="22"/>
                <w:szCs w:val="22"/>
              </w:rPr>
              <w:t xml:space="preserve">Forest area with long-term forest management plans </w:t>
            </w:r>
          </w:p>
          <w:p w14:paraId="415EBAE8" w14:textId="77777777" w:rsidR="007B6E4E" w:rsidRPr="00515F18" w:rsidRDefault="007B6E4E" w:rsidP="00515F18">
            <w:pPr>
              <w:spacing w:after="120"/>
              <w:rPr>
                <w:rFonts w:eastAsia="Arial" w:cstheme="minorHAnsi"/>
                <w:color w:val="000000"/>
              </w:rPr>
            </w:pPr>
          </w:p>
        </w:tc>
        <w:tc>
          <w:tcPr>
            <w:tcW w:w="1489" w:type="dxa"/>
            <w:shd w:val="clear" w:color="auto" w:fill="auto"/>
          </w:tcPr>
          <w:p w14:paraId="6A353211" w14:textId="64368899" w:rsidR="007B6E4E" w:rsidRPr="00515F18" w:rsidRDefault="007B6E4E" w:rsidP="00515F18">
            <w:pPr>
              <w:spacing w:after="120"/>
              <w:rPr>
                <w:rFonts w:eastAsia="Arial" w:cstheme="minorHAnsi"/>
                <w:color w:val="000000"/>
              </w:rPr>
            </w:pPr>
            <w:r w:rsidRPr="00515F18">
              <w:rPr>
                <w:rFonts w:eastAsia="Arial" w:cstheme="minorHAnsi"/>
                <w:color w:val="000000" w:themeColor="text1"/>
              </w:rPr>
              <w:t>FAO</w:t>
            </w:r>
          </w:p>
        </w:tc>
        <w:tc>
          <w:tcPr>
            <w:tcW w:w="1194" w:type="dxa"/>
            <w:shd w:val="clear" w:color="auto" w:fill="auto"/>
          </w:tcPr>
          <w:p w14:paraId="15CEA393" w14:textId="1B235317" w:rsidR="007B6E4E" w:rsidRPr="00515F18" w:rsidRDefault="007B6E4E" w:rsidP="00515F18">
            <w:pPr>
              <w:spacing w:after="120"/>
              <w:jc w:val="center"/>
              <w:rPr>
                <w:rFonts w:eastAsia="Arial" w:cstheme="minorHAnsi"/>
              </w:rPr>
            </w:pPr>
            <w:r w:rsidRPr="00515F18">
              <w:rPr>
                <w:rFonts w:eastAsia="Arial" w:cstheme="minorHAnsi"/>
                <w:color w:val="000000" w:themeColor="text1"/>
              </w:rPr>
              <w:t>X</w:t>
            </w:r>
          </w:p>
        </w:tc>
        <w:tc>
          <w:tcPr>
            <w:tcW w:w="1341" w:type="dxa"/>
            <w:shd w:val="clear" w:color="auto" w:fill="auto"/>
          </w:tcPr>
          <w:p w14:paraId="3365F95F" w14:textId="35375659" w:rsidR="007B6E4E" w:rsidRPr="00515F18" w:rsidRDefault="007B6E4E" w:rsidP="00515F18">
            <w:pPr>
              <w:spacing w:after="120"/>
              <w:jc w:val="center"/>
              <w:rPr>
                <w:rFonts w:cstheme="minorHAnsi"/>
                <w:kern w:val="22"/>
              </w:rPr>
            </w:pPr>
            <w:r w:rsidRPr="00515F18">
              <w:rPr>
                <w:rFonts w:cstheme="minorHAnsi"/>
                <w:color w:val="000000" w:themeColor="text1"/>
              </w:rPr>
              <w:t>2000, 2010, 2020</w:t>
            </w:r>
          </w:p>
        </w:tc>
        <w:tc>
          <w:tcPr>
            <w:tcW w:w="1042" w:type="dxa"/>
            <w:shd w:val="clear" w:color="auto" w:fill="auto"/>
          </w:tcPr>
          <w:p w14:paraId="6A1C897A" w14:textId="26F868A1" w:rsidR="007B6E4E" w:rsidRPr="00515F18" w:rsidRDefault="007B6E4E" w:rsidP="00515F18">
            <w:pPr>
              <w:spacing w:after="120"/>
              <w:jc w:val="center"/>
              <w:rPr>
                <w:rFonts w:eastAsia="Arial" w:cstheme="minorHAnsi"/>
              </w:rPr>
            </w:pPr>
            <w:r w:rsidRPr="00515F18">
              <w:rPr>
                <w:rFonts w:eastAsia="Arial" w:cstheme="minorHAnsi"/>
                <w:color w:val="000000" w:themeColor="text1"/>
              </w:rPr>
              <w:t>2020</w:t>
            </w:r>
          </w:p>
        </w:tc>
        <w:tc>
          <w:tcPr>
            <w:tcW w:w="1193" w:type="dxa"/>
            <w:shd w:val="clear" w:color="auto" w:fill="auto"/>
          </w:tcPr>
          <w:p w14:paraId="63D2F099" w14:textId="77777777" w:rsidR="007B6E4E" w:rsidRPr="00515F18" w:rsidRDefault="007B6E4E" w:rsidP="00515F18">
            <w:pPr>
              <w:spacing w:after="120"/>
              <w:jc w:val="center"/>
              <w:rPr>
                <w:rFonts w:eastAsia="Arial" w:cstheme="minorHAnsi"/>
              </w:rPr>
            </w:pPr>
          </w:p>
        </w:tc>
        <w:tc>
          <w:tcPr>
            <w:tcW w:w="1340" w:type="dxa"/>
            <w:shd w:val="clear" w:color="auto" w:fill="auto"/>
          </w:tcPr>
          <w:p w14:paraId="2E651146" w14:textId="77777777" w:rsidR="007B6E4E" w:rsidRPr="00515F18" w:rsidRDefault="007B6E4E" w:rsidP="00515F18">
            <w:pPr>
              <w:spacing w:after="120"/>
              <w:jc w:val="center"/>
              <w:rPr>
                <w:rFonts w:eastAsia="Arial" w:cstheme="minorHAnsi"/>
              </w:rPr>
            </w:pPr>
          </w:p>
        </w:tc>
        <w:tc>
          <w:tcPr>
            <w:tcW w:w="1640" w:type="dxa"/>
            <w:shd w:val="clear" w:color="auto" w:fill="auto"/>
          </w:tcPr>
          <w:p w14:paraId="76546F49" w14:textId="22D2A93A" w:rsidR="007B6E4E" w:rsidRPr="00515F18" w:rsidRDefault="007B6E4E" w:rsidP="00515F18">
            <w:pPr>
              <w:spacing w:after="120"/>
              <w:jc w:val="center"/>
              <w:rPr>
                <w:rFonts w:eastAsia="Arial" w:cstheme="minorHAnsi"/>
              </w:rPr>
            </w:pPr>
            <w:r w:rsidRPr="00515F18">
              <w:rPr>
                <w:rFonts w:eastAsia="Arial" w:cstheme="minorHAnsi"/>
                <w:color w:val="000000" w:themeColor="text1"/>
              </w:rPr>
              <w:t>Y</w:t>
            </w:r>
          </w:p>
        </w:tc>
        <w:tc>
          <w:tcPr>
            <w:tcW w:w="1340" w:type="dxa"/>
            <w:shd w:val="clear" w:color="auto" w:fill="auto"/>
          </w:tcPr>
          <w:p w14:paraId="203E40F4" w14:textId="06B2ED84" w:rsidR="007B6E4E" w:rsidRPr="00515F18" w:rsidRDefault="007B6E4E" w:rsidP="00515F18">
            <w:pPr>
              <w:spacing w:after="120"/>
              <w:jc w:val="center"/>
              <w:rPr>
                <w:rFonts w:eastAsia="Arial" w:cstheme="minorHAnsi"/>
              </w:rPr>
            </w:pPr>
            <w:r w:rsidRPr="00515F18">
              <w:rPr>
                <w:rFonts w:eastAsia="Arial" w:cstheme="minorHAnsi"/>
                <w:color w:val="000000" w:themeColor="text1"/>
              </w:rPr>
              <w:t>N</w:t>
            </w:r>
          </w:p>
        </w:tc>
        <w:tc>
          <w:tcPr>
            <w:tcW w:w="1166" w:type="dxa"/>
            <w:shd w:val="clear" w:color="auto" w:fill="auto"/>
          </w:tcPr>
          <w:p w14:paraId="0F4E86D1" w14:textId="77777777" w:rsidR="007B6E4E" w:rsidRPr="00515F18" w:rsidRDefault="007B6E4E" w:rsidP="00515F18">
            <w:pPr>
              <w:spacing w:after="120"/>
              <w:jc w:val="center"/>
              <w:rPr>
                <w:rFonts w:eastAsia="Arial" w:cstheme="minorHAnsi"/>
              </w:rPr>
            </w:pPr>
          </w:p>
        </w:tc>
        <w:tc>
          <w:tcPr>
            <w:tcW w:w="966" w:type="dxa"/>
            <w:shd w:val="clear" w:color="auto" w:fill="auto"/>
          </w:tcPr>
          <w:p w14:paraId="5296BFEA" w14:textId="194E9375" w:rsidR="007B6E4E" w:rsidRPr="00515F18" w:rsidRDefault="007B6E4E" w:rsidP="00515F18">
            <w:pPr>
              <w:spacing w:after="120"/>
              <w:jc w:val="center"/>
              <w:rPr>
                <w:rFonts w:eastAsia="Arial" w:cstheme="minorHAnsi"/>
              </w:rPr>
            </w:pPr>
            <w:r w:rsidRPr="00515F18">
              <w:rPr>
                <w:rFonts w:eastAsia="Arial" w:cstheme="minorHAnsi"/>
                <w:color w:val="000000" w:themeColor="text1"/>
              </w:rPr>
              <w:t>Y (sub-indicators to SDG 15.2.1)</w:t>
            </w:r>
          </w:p>
        </w:tc>
        <w:tc>
          <w:tcPr>
            <w:tcW w:w="1794" w:type="dxa"/>
            <w:shd w:val="clear" w:color="auto" w:fill="auto"/>
          </w:tcPr>
          <w:p w14:paraId="7C4D527D" w14:textId="77777777" w:rsidR="007B6E4E" w:rsidRPr="00515F18" w:rsidRDefault="007B6E4E" w:rsidP="00515F18">
            <w:pPr>
              <w:spacing w:after="120"/>
              <w:jc w:val="center"/>
              <w:rPr>
                <w:rFonts w:eastAsia="Arial" w:cstheme="minorHAnsi"/>
              </w:rPr>
            </w:pPr>
          </w:p>
        </w:tc>
        <w:tc>
          <w:tcPr>
            <w:tcW w:w="1794" w:type="dxa"/>
          </w:tcPr>
          <w:p w14:paraId="3D62877C" w14:textId="767BB350" w:rsidR="007B6E4E" w:rsidRPr="00515F18" w:rsidRDefault="007B6E4E" w:rsidP="00515F18">
            <w:pPr>
              <w:spacing w:after="120"/>
              <w:jc w:val="center"/>
              <w:rPr>
                <w:rFonts w:cstheme="minorHAnsi"/>
                <w:kern w:val="22"/>
              </w:rPr>
            </w:pPr>
            <w:r w:rsidRPr="00515F18">
              <w:rPr>
                <w:rFonts w:cstheme="minorHAnsi"/>
                <w:color w:val="000000" w:themeColor="text1"/>
                <w:lang w:val="en-GB"/>
              </w:rPr>
              <w:t>For this monitoring element, FAO suggests “forest area with long-term forest management plans” as additional relevant indicator.</w:t>
            </w:r>
          </w:p>
        </w:tc>
      </w:tr>
      <w:tr w:rsidR="001413BD" w:rsidRPr="00515F18" w14:paraId="72190C28" w14:textId="77777777" w:rsidTr="007A15AD">
        <w:trPr>
          <w:trHeight w:val="236"/>
        </w:trPr>
        <w:tc>
          <w:tcPr>
            <w:tcW w:w="1781" w:type="dxa"/>
            <w:shd w:val="clear" w:color="auto" w:fill="FFE599" w:themeFill="accent4" w:themeFillTint="66"/>
          </w:tcPr>
          <w:p w14:paraId="016636B8" w14:textId="77777777" w:rsidR="001413BD" w:rsidRPr="00515F18" w:rsidRDefault="001413BD" w:rsidP="00515F18">
            <w:pPr>
              <w:spacing w:after="120"/>
              <w:rPr>
                <w:rFonts w:eastAsia="Arial" w:cstheme="minorHAnsi"/>
              </w:rPr>
            </w:pPr>
            <w:r w:rsidRPr="00515F18">
              <w:rPr>
                <w:rFonts w:eastAsia="Arial" w:cstheme="minorHAnsi"/>
              </w:rPr>
              <w:t>T1.2. Prevention of reduction</w:t>
            </w:r>
          </w:p>
          <w:p w14:paraId="494DE91D" w14:textId="77777777" w:rsidR="001413BD" w:rsidRPr="00515F18" w:rsidRDefault="001413BD" w:rsidP="00515F18">
            <w:pPr>
              <w:spacing w:after="120"/>
              <w:rPr>
                <w:rFonts w:eastAsia="Arial" w:cstheme="minorHAnsi"/>
              </w:rPr>
            </w:pPr>
            <w:r w:rsidRPr="00515F18">
              <w:rPr>
                <w:rFonts w:eastAsia="Arial" w:cstheme="minorHAnsi"/>
              </w:rPr>
              <w:t>and fragmentation of natural</w:t>
            </w:r>
          </w:p>
          <w:p w14:paraId="4CF4E72F" w14:textId="77777777" w:rsidR="001413BD" w:rsidRPr="00515F18" w:rsidRDefault="001413BD" w:rsidP="00515F18">
            <w:pPr>
              <w:spacing w:after="120"/>
              <w:rPr>
                <w:rFonts w:eastAsia="Arial" w:cstheme="minorHAnsi"/>
              </w:rPr>
            </w:pPr>
            <w:r w:rsidRPr="00515F18">
              <w:rPr>
                <w:rFonts w:eastAsia="Arial" w:cstheme="minorHAnsi"/>
              </w:rPr>
              <w:t>habitats due to land/sea use</w:t>
            </w:r>
          </w:p>
          <w:p w14:paraId="581959C1" w14:textId="6A55DFB9" w:rsidR="001413BD" w:rsidRPr="00515F18" w:rsidRDefault="001413BD" w:rsidP="00515F18">
            <w:pPr>
              <w:spacing w:after="120"/>
              <w:rPr>
                <w:rFonts w:cstheme="minorHAnsi"/>
                <w:color w:val="000000" w:themeColor="text1"/>
              </w:rPr>
            </w:pPr>
            <w:r w:rsidRPr="00515F18">
              <w:rPr>
                <w:rFonts w:eastAsia="Arial" w:cstheme="minorHAnsi"/>
              </w:rPr>
              <w:t>change</w:t>
            </w:r>
          </w:p>
        </w:tc>
        <w:tc>
          <w:tcPr>
            <w:tcW w:w="1936" w:type="dxa"/>
            <w:shd w:val="clear" w:color="auto" w:fill="FFE599" w:themeFill="accent4" w:themeFillTint="66"/>
          </w:tcPr>
          <w:p w14:paraId="7B749A63" w14:textId="77777777" w:rsidR="001413BD" w:rsidRPr="00515F18" w:rsidRDefault="001413BD" w:rsidP="00515F18">
            <w:pPr>
              <w:spacing w:after="120"/>
              <w:rPr>
                <w:rFonts w:eastAsia="Arial" w:cstheme="minorHAnsi"/>
              </w:rPr>
            </w:pPr>
            <w:r w:rsidRPr="00515F18">
              <w:rPr>
                <w:rFonts w:eastAsia="Arial" w:cstheme="minorHAnsi"/>
              </w:rPr>
              <w:t>Trends in extent and rate of change of other</w:t>
            </w:r>
          </w:p>
          <w:p w14:paraId="5F951315" w14:textId="4353D488" w:rsidR="001413BD" w:rsidRPr="00515F18" w:rsidRDefault="001413BD" w:rsidP="00515F18">
            <w:pPr>
              <w:pStyle w:val="NormalWeb"/>
              <w:spacing w:before="0" w:beforeAutospacing="0" w:after="120" w:afterAutospacing="0"/>
              <w:rPr>
                <w:rFonts w:asciiTheme="minorHAnsi" w:hAnsiTheme="minorHAnsi" w:cstheme="minorHAnsi"/>
                <w:color w:val="000000" w:themeColor="text1"/>
                <w:sz w:val="22"/>
                <w:szCs w:val="22"/>
              </w:rPr>
            </w:pPr>
            <w:r w:rsidRPr="00515F18">
              <w:rPr>
                <w:rFonts w:asciiTheme="minorHAnsi" w:eastAsia="Arial" w:hAnsiTheme="minorHAnsi" w:cstheme="minorHAnsi"/>
                <w:sz w:val="22"/>
                <w:szCs w:val="22"/>
              </w:rPr>
              <w:t>terrestrial ecosystems</w:t>
            </w:r>
          </w:p>
        </w:tc>
        <w:tc>
          <w:tcPr>
            <w:tcW w:w="1787" w:type="dxa"/>
            <w:shd w:val="clear" w:color="auto" w:fill="auto"/>
          </w:tcPr>
          <w:p w14:paraId="020D35F5" w14:textId="77777777" w:rsidR="001413BD" w:rsidRPr="00515F18" w:rsidRDefault="001413BD" w:rsidP="00515F18">
            <w:pPr>
              <w:spacing w:after="120"/>
              <w:rPr>
                <w:rFonts w:eastAsia="Arial" w:cstheme="minorHAnsi"/>
                <w:color w:val="000000"/>
              </w:rPr>
            </w:pPr>
            <w:r w:rsidRPr="00515F18">
              <w:rPr>
                <w:rFonts w:eastAsia="Arial" w:cstheme="minorHAnsi"/>
                <w:color w:val="000000"/>
              </w:rPr>
              <w:t>Mountain Green Cover Index</w:t>
            </w:r>
          </w:p>
          <w:p w14:paraId="750A01E4" w14:textId="77777777" w:rsidR="001413BD" w:rsidRPr="00515F18" w:rsidRDefault="001413BD" w:rsidP="00515F18">
            <w:pPr>
              <w:pStyle w:val="NormalWeb"/>
              <w:spacing w:before="0" w:beforeAutospacing="0" w:after="120" w:afterAutospacing="0"/>
              <w:rPr>
                <w:rFonts w:asciiTheme="minorHAnsi" w:hAnsiTheme="minorHAnsi" w:cstheme="minorHAnsi"/>
                <w:color w:val="000000" w:themeColor="text1"/>
                <w:sz w:val="22"/>
                <w:szCs w:val="22"/>
              </w:rPr>
            </w:pPr>
          </w:p>
        </w:tc>
        <w:tc>
          <w:tcPr>
            <w:tcW w:w="1489" w:type="dxa"/>
            <w:shd w:val="clear" w:color="auto" w:fill="auto"/>
          </w:tcPr>
          <w:p w14:paraId="4FDBB598" w14:textId="77777777" w:rsidR="001413BD" w:rsidRPr="00515F18" w:rsidRDefault="001413BD" w:rsidP="00515F18">
            <w:pPr>
              <w:spacing w:after="120"/>
              <w:rPr>
                <w:rFonts w:eastAsia="Arial" w:cstheme="minorHAnsi"/>
                <w:color w:val="000000"/>
              </w:rPr>
            </w:pPr>
            <w:r w:rsidRPr="00515F18">
              <w:rPr>
                <w:rFonts w:eastAsia="Arial" w:cstheme="minorHAnsi"/>
                <w:color w:val="000000"/>
              </w:rPr>
              <w:t>FAO</w:t>
            </w:r>
          </w:p>
          <w:p w14:paraId="1BF76BEF" w14:textId="77777777" w:rsidR="001413BD" w:rsidRPr="00515F18" w:rsidRDefault="001413BD" w:rsidP="00515F18">
            <w:pPr>
              <w:spacing w:after="120"/>
              <w:rPr>
                <w:rFonts w:eastAsia="Arial" w:cstheme="minorHAnsi"/>
                <w:color w:val="000000" w:themeColor="text1"/>
              </w:rPr>
            </w:pPr>
          </w:p>
        </w:tc>
        <w:tc>
          <w:tcPr>
            <w:tcW w:w="1194" w:type="dxa"/>
            <w:shd w:val="clear" w:color="auto" w:fill="auto"/>
          </w:tcPr>
          <w:p w14:paraId="7DF47D12" w14:textId="3AD26DE6" w:rsidR="001413BD" w:rsidRPr="00515F18" w:rsidRDefault="001413BD" w:rsidP="00515F18">
            <w:pPr>
              <w:spacing w:after="120"/>
              <w:jc w:val="center"/>
              <w:rPr>
                <w:rFonts w:eastAsia="Arial" w:cstheme="minorHAnsi"/>
                <w:color w:val="000000" w:themeColor="text1"/>
              </w:rPr>
            </w:pPr>
            <w:r w:rsidRPr="00515F18">
              <w:rPr>
                <w:rFonts w:eastAsia="Arial" w:cstheme="minorHAnsi"/>
              </w:rPr>
              <w:t>X</w:t>
            </w:r>
          </w:p>
        </w:tc>
        <w:tc>
          <w:tcPr>
            <w:tcW w:w="1341" w:type="dxa"/>
            <w:shd w:val="clear" w:color="auto" w:fill="auto"/>
          </w:tcPr>
          <w:p w14:paraId="276F2629" w14:textId="35CEEDB1" w:rsidR="001413BD" w:rsidRPr="00515F18" w:rsidRDefault="001413BD" w:rsidP="00515F18">
            <w:pPr>
              <w:spacing w:after="120"/>
              <w:jc w:val="center"/>
              <w:rPr>
                <w:rFonts w:cstheme="minorHAnsi"/>
                <w:color w:val="000000" w:themeColor="text1"/>
              </w:rPr>
            </w:pPr>
            <w:r w:rsidRPr="00515F18">
              <w:rPr>
                <w:rFonts w:cstheme="minorHAnsi"/>
              </w:rPr>
              <w:t>2000, 2010, 2015, 2018</w:t>
            </w:r>
          </w:p>
        </w:tc>
        <w:tc>
          <w:tcPr>
            <w:tcW w:w="1042" w:type="dxa"/>
            <w:shd w:val="clear" w:color="auto" w:fill="auto"/>
          </w:tcPr>
          <w:p w14:paraId="6E17A7DE" w14:textId="5E8170AC" w:rsidR="001413BD" w:rsidRPr="00515F18" w:rsidRDefault="001413BD" w:rsidP="00515F18">
            <w:pPr>
              <w:spacing w:after="120"/>
              <w:jc w:val="center"/>
              <w:rPr>
                <w:rFonts w:eastAsia="Arial" w:cstheme="minorHAnsi"/>
                <w:color w:val="000000" w:themeColor="text1"/>
              </w:rPr>
            </w:pPr>
            <w:r w:rsidRPr="00515F18">
              <w:rPr>
                <w:rFonts w:eastAsia="Arial" w:cstheme="minorHAnsi"/>
              </w:rPr>
              <w:t>2020</w:t>
            </w:r>
          </w:p>
        </w:tc>
        <w:tc>
          <w:tcPr>
            <w:tcW w:w="1193" w:type="dxa"/>
            <w:shd w:val="clear" w:color="auto" w:fill="auto"/>
          </w:tcPr>
          <w:p w14:paraId="1C8FD999" w14:textId="26CC5A5E" w:rsidR="001413BD" w:rsidRPr="00515F18" w:rsidRDefault="001413BD" w:rsidP="00515F18">
            <w:pPr>
              <w:spacing w:after="120"/>
              <w:jc w:val="center"/>
              <w:rPr>
                <w:rFonts w:eastAsia="Arial" w:cstheme="minorHAnsi"/>
              </w:rPr>
            </w:pPr>
            <w:r w:rsidRPr="00515F18">
              <w:rPr>
                <w:rFonts w:eastAsia="Arial" w:cstheme="minorHAnsi"/>
              </w:rPr>
              <w:t>2000-2018</w:t>
            </w:r>
          </w:p>
        </w:tc>
        <w:tc>
          <w:tcPr>
            <w:tcW w:w="1340" w:type="dxa"/>
            <w:shd w:val="clear" w:color="auto" w:fill="auto"/>
          </w:tcPr>
          <w:p w14:paraId="559B966D" w14:textId="08B38080" w:rsidR="001413BD" w:rsidRPr="00515F18" w:rsidRDefault="001413BD" w:rsidP="00515F18">
            <w:pPr>
              <w:spacing w:after="120"/>
              <w:jc w:val="center"/>
              <w:rPr>
                <w:rFonts w:eastAsia="Arial" w:cstheme="minorHAnsi"/>
              </w:rPr>
            </w:pPr>
            <w:r w:rsidRPr="00515F18">
              <w:rPr>
                <w:rFonts w:eastAsia="Arial" w:cstheme="minorHAnsi"/>
              </w:rPr>
              <w:t>Y</w:t>
            </w:r>
          </w:p>
        </w:tc>
        <w:tc>
          <w:tcPr>
            <w:tcW w:w="1640" w:type="dxa"/>
            <w:shd w:val="clear" w:color="auto" w:fill="auto"/>
          </w:tcPr>
          <w:p w14:paraId="4CE6B740" w14:textId="69555263" w:rsidR="001413BD" w:rsidRPr="00515F18" w:rsidRDefault="001413BD" w:rsidP="00515F18">
            <w:pPr>
              <w:spacing w:after="120"/>
              <w:jc w:val="center"/>
              <w:rPr>
                <w:rFonts w:eastAsia="Arial" w:cstheme="minorHAnsi"/>
                <w:color w:val="000000" w:themeColor="text1"/>
              </w:rPr>
            </w:pPr>
            <w:r w:rsidRPr="00515F18">
              <w:rPr>
                <w:rFonts w:eastAsia="Arial" w:cstheme="minorHAnsi"/>
              </w:rPr>
              <w:t>Y</w:t>
            </w:r>
          </w:p>
        </w:tc>
        <w:tc>
          <w:tcPr>
            <w:tcW w:w="1340" w:type="dxa"/>
            <w:shd w:val="clear" w:color="auto" w:fill="auto"/>
          </w:tcPr>
          <w:p w14:paraId="4A11026B" w14:textId="0946A065" w:rsidR="001413BD" w:rsidRPr="00515F18" w:rsidRDefault="001413BD" w:rsidP="00515F18">
            <w:pPr>
              <w:spacing w:after="120"/>
              <w:jc w:val="center"/>
              <w:rPr>
                <w:rFonts w:eastAsia="Arial" w:cstheme="minorHAnsi"/>
                <w:color w:val="000000" w:themeColor="text1"/>
              </w:rPr>
            </w:pPr>
            <w:r w:rsidRPr="00515F18">
              <w:rPr>
                <w:rFonts w:eastAsia="Arial" w:cstheme="minorHAnsi"/>
              </w:rPr>
              <w:t>N</w:t>
            </w:r>
          </w:p>
        </w:tc>
        <w:tc>
          <w:tcPr>
            <w:tcW w:w="1166" w:type="dxa"/>
            <w:shd w:val="clear" w:color="auto" w:fill="auto"/>
          </w:tcPr>
          <w:p w14:paraId="0996997E" w14:textId="758402E7" w:rsidR="001413BD" w:rsidRPr="00515F18" w:rsidRDefault="001413BD" w:rsidP="00515F18">
            <w:pPr>
              <w:spacing w:after="120"/>
              <w:jc w:val="center"/>
              <w:rPr>
                <w:rFonts w:eastAsia="Arial" w:cstheme="minorHAnsi"/>
              </w:rPr>
            </w:pPr>
            <w:r w:rsidRPr="00515F18">
              <w:rPr>
                <w:rFonts w:eastAsia="Arial" w:cstheme="minorHAnsi"/>
              </w:rPr>
              <w:t>N</w:t>
            </w:r>
          </w:p>
        </w:tc>
        <w:tc>
          <w:tcPr>
            <w:tcW w:w="966" w:type="dxa"/>
            <w:shd w:val="clear" w:color="auto" w:fill="auto"/>
          </w:tcPr>
          <w:p w14:paraId="64704B4E" w14:textId="77777777" w:rsidR="001413BD" w:rsidRPr="00515F18" w:rsidRDefault="001413BD" w:rsidP="00515F18">
            <w:pPr>
              <w:spacing w:after="120"/>
              <w:jc w:val="center"/>
              <w:rPr>
                <w:rFonts w:eastAsia="Arial" w:cstheme="minorHAnsi"/>
              </w:rPr>
            </w:pPr>
            <w:r w:rsidRPr="00515F18">
              <w:rPr>
                <w:rFonts w:eastAsia="Arial" w:cstheme="minorHAnsi"/>
              </w:rPr>
              <w:t>Y</w:t>
            </w:r>
          </w:p>
          <w:p w14:paraId="4305E50C" w14:textId="77777777" w:rsidR="001413BD" w:rsidRPr="00515F18" w:rsidRDefault="001413BD" w:rsidP="00515F18">
            <w:pPr>
              <w:spacing w:after="120"/>
              <w:jc w:val="center"/>
              <w:rPr>
                <w:rFonts w:eastAsia="Arial" w:cstheme="minorHAnsi"/>
              </w:rPr>
            </w:pPr>
            <w:r w:rsidRPr="00515F18">
              <w:rPr>
                <w:rFonts w:eastAsia="Arial" w:cstheme="minorHAnsi"/>
              </w:rPr>
              <w:t>SDG indicator 15.4.2</w:t>
            </w:r>
          </w:p>
          <w:p w14:paraId="718B2959" w14:textId="77777777" w:rsidR="001413BD" w:rsidRPr="00515F18" w:rsidRDefault="001413BD" w:rsidP="00515F18">
            <w:pPr>
              <w:spacing w:after="120"/>
              <w:jc w:val="center"/>
              <w:rPr>
                <w:rFonts w:eastAsia="Arial" w:cstheme="minorHAnsi"/>
                <w:color w:val="000000" w:themeColor="text1"/>
              </w:rPr>
            </w:pPr>
          </w:p>
        </w:tc>
        <w:tc>
          <w:tcPr>
            <w:tcW w:w="1794" w:type="dxa"/>
            <w:shd w:val="clear" w:color="auto" w:fill="auto"/>
          </w:tcPr>
          <w:p w14:paraId="02BE2C7A" w14:textId="77777777" w:rsidR="001413BD" w:rsidRPr="00515F18" w:rsidRDefault="001413BD" w:rsidP="00515F18">
            <w:pPr>
              <w:spacing w:after="120"/>
              <w:jc w:val="center"/>
              <w:rPr>
                <w:rFonts w:eastAsia="Arial" w:cstheme="minorHAnsi"/>
              </w:rPr>
            </w:pPr>
          </w:p>
        </w:tc>
        <w:tc>
          <w:tcPr>
            <w:tcW w:w="1794" w:type="dxa"/>
          </w:tcPr>
          <w:p w14:paraId="54BD0296" w14:textId="77777777" w:rsidR="001413BD" w:rsidRPr="00515F18" w:rsidRDefault="001413BD" w:rsidP="00515F18">
            <w:pPr>
              <w:spacing w:after="120"/>
              <w:jc w:val="center"/>
              <w:rPr>
                <w:rFonts w:cstheme="minorHAnsi"/>
                <w:color w:val="000000" w:themeColor="text1"/>
                <w:lang w:val="en-GB"/>
              </w:rPr>
            </w:pPr>
          </w:p>
        </w:tc>
      </w:tr>
      <w:tr w:rsidR="001413BD" w:rsidRPr="00515F18" w14:paraId="253D09AD" w14:textId="77777777" w:rsidTr="007A15AD">
        <w:trPr>
          <w:trHeight w:val="236"/>
        </w:trPr>
        <w:tc>
          <w:tcPr>
            <w:tcW w:w="1781" w:type="dxa"/>
            <w:shd w:val="clear" w:color="auto" w:fill="FFE599" w:themeFill="accent4" w:themeFillTint="66"/>
          </w:tcPr>
          <w:p w14:paraId="2B6FB082" w14:textId="43A61596" w:rsidR="001413BD" w:rsidRPr="00515F18" w:rsidRDefault="001413BD" w:rsidP="00515F18">
            <w:pPr>
              <w:spacing w:after="120"/>
              <w:rPr>
                <w:rFonts w:eastAsia="Arial" w:cstheme="minorHAnsi"/>
              </w:rPr>
            </w:pPr>
            <w:r w:rsidRPr="00515F18">
              <w:rPr>
                <w:rFonts w:eastAsia="Arial" w:cstheme="minorHAnsi"/>
              </w:rPr>
              <w:t>T4.1. Harvest is legal, sustainable and safe for human health and biodiversity</w:t>
            </w:r>
          </w:p>
        </w:tc>
        <w:tc>
          <w:tcPr>
            <w:tcW w:w="1936" w:type="dxa"/>
            <w:shd w:val="clear" w:color="auto" w:fill="FFE599" w:themeFill="accent4" w:themeFillTint="66"/>
          </w:tcPr>
          <w:p w14:paraId="76D32CDC" w14:textId="5596FCC0" w:rsidR="001413BD" w:rsidRPr="00515F18" w:rsidRDefault="001413BD" w:rsidP="00515F18">
            <w:pPr>
              <w:spacing w:after="120"/>
              <w:rPr>
                <w:rFonts w:eastAsia="Arial" w:cstheme="minorHAnsi"/>
              </w:rPr>
            </w:pPr>
            <w:r w:rsidRPr="00515F18">
              <w:rPr>
                <w:rFonts w:eastAsia="Arial" w:cstheme="minorHAnsi"/>
              </w:rPr>
              <w:t>Trends in proportion of biological resources harvested legally</w:t>
            </w:r>
          </w:p>
        </w:tc>
        <w:tc>
          <w:tcPr>
            <w:tcW w:w="1787" w:type="dxa"/>
            <w:shd w:val="clear" w:color="auto" w:fill="auto"/>
          </w:tcPr>
          <w:p w14:paraId="1C6B22C0" w14:textId="77777777" w:rsidR="001413BD" w:rsidRPr="00515F18" w:rsidRDefault="001413BD" w:rsidP="00515F18">
            <w:pPr>
              <w:spacing w:after="120"/>
              <w:rPr>
                <w:rFonts w:eastAsia="Arial" w:cstheme="minorHAnsi"/>
                <w:color w:val="000000"/>
              </w:rPr>
            </w:pPr>
            <w:r w:rsidRPr="00515F18">
              <w:rPr>
                <w:rFonts w:eastAsia="Arial" w:cstheme="minorHAnsi"/>
                <w:color w:val="000000"/>
              </w:rPr>
              <w:t xml:space="preserve">Red List Index </w:t>
            </w:r>
          </w:p>
          <w:p w14:paraId="1E6CF89F" w14:textId="77777777" w:rsidR="001413BD" w:rsidRPr="00515F18" w:rsidRDefault="001413BD" w:rsidP="00515F18">
            <w:pPr>
              <w:spacing w:after="120"/>
              <w:rPr>
                <w:rFonts w:eastAsia="Arial" w:cstheme="minorHAnsi"/>
                <w:color w:val="000000"/>
              </w:rPr>
            </w:pPr>
          </w:p>
        </w:tc>
        <w:tc>
          <w:tcPr>
            <w:tcW w:w="1489" w:type="dxa"/>
            <w:shd w:val="clear" w:color="auto" w:fill="auto"/>
          </w:tcPr>
          <w:p w14:paraId="5520E0C9" w14:textId="77777777" w:rsidR="001413BD" w:rsidRPr="00515F18" w:rsidRDefault="001413BD" w:rsidP="00515F18">
            <w:pPr>
              <w:spacing w:after="120"/>
              <w:rPr>
                <w:rFonts w:eastAsia="Arial" w:cstheme="minorHAnsi"/>
                <w:color w:val="000000"/>
              </w:rPr>
            </w:pPr>
            <w:r w:rsidRPr="00515F18">
              <w:rPr>
                <w:rFonts w:eastAsia="Arial" w:cstheme="minorHAnsi"/>
                <w:color w:val="000000"/>
              </w:rPr>
              <w:t>IUCN &amp; BirdLife International</w:t>
            </w:r>
          </w:p>
          <w:p w14:paraId="558AB99C" w14:textId="77777777" w:rsidR="001413BD" w:rsidRPr="00515F18" w:rsidRDefault="001413BD" w:rsidP="00515F18">
            <w:pPr>
              <w:spacing w:after="120"/>
              <w:rPr>
                <w:rFonts w:eastAsia="Arial" w:cstheme="minorHAnsi"/>
                <w:color w:val="000000"/>
              </w:rPr>
            </w:pPr>
          </w:p>
        </w:tc>
        <w:tc>
          <w:tcPr>
            <w:tcW w:w="1194" w:type="dxa"/>
            <w:shd w:val="clear" w:color="auto" w:fill="auto"/>
          </w:tcPr>
          <w:p w14:paraId="45FF8B4F" w14:textId="695C7255" w:rsidR="001413BD" w:rsidRPr="00515F18" w:rsidRDefault="001413BD" w:rsidP="00515F18">
            <w:pPr>
              <w:spacing w:after="120"/>
              <w:jc w:val="center"/>
              <w:rPr>
                <w:rFonts w:eastAsia="Arial" w:cstheme="minorHAnsi"/>
              </w:rPr>
            </w:pPr>
            <w:r w:rsidRPr="00515F18">
              <w:rPr>
                <w:rFonts w:eastAsia="Arial" w:cstheme="minorHAnsi"/>
              </w:rPr>
              <w:t>X</w:t>
            </w:r>
          </w:p>
        </w:tc>
        <w:tc>
          <w:tcPr>
            <w:tcW w:w="1341" w:type="dxa"/>
            <w:shd w:val="clear" w:color="auto" w:fill="auto"/>
          </w:tcPr>
          <w:p w14:paraId="77903647" w14:textId="77777777" w:rsidR="001413BD" w:rsidRPr="00515F18" w:rsidRDefault="001413BD" w:rsidP="00515F18">
            <w:pPr>
              <w:spacing w:after="120"/>
              <w:jc w:val="center"/>
              <w:rPr>
                <w:rFonts w:cstheme="minorHAnsi"/>
              </w:rPr>
            </w:pPr>
          </w:p>
        </w:tc>
        <w:tc>
          <w:tcPr>
            <w:tcW w:w="1042" w:type="dxa"/>
            <w:shd w:val="clear" w:color="auto" w:fill="auto"/>
          </w:tcPr>
          <w:p w14:paraId="727F472A" w14:textId="1A9B15A0" w:rsidR="001413BD" w:rsidRPr="00515F18" w:rsidRDefault="001413BD" w:rsidP="00515F18">
            <w:pPr>
              <w:spacing w:after="120"/>
              <w:jc w:val="center"/>
              <w:rPr>
                <w:rFonts w:eastAsia="Arial" w:cstheme="minorHAnsi"/>
              </w:rPr>
            </w:pPr>
            <w:r w:rsidRPr="00515F18">
              <w:rPr>
                <w:rFonts w:eastAsia="Arial" w:cstheme="minorHAnsi"/>
              </w:rPr>
              <w:t>2020</w:t>
            </w:r>
          </w:p>
        </w:tc>
        <w:tc>
          <w:tcPr>
            <w:tcW w:w="1193" w:type="dxa"/>
            <w:shd w:val="clear" w:color="auto" w:fill="auto"/>
          </w:tcPr>
          <w:p w14:paraId="17D9FC63" w14:textId="4A99606F" w:rsidR="001413BD" w:rsidRPr="00515F18" w:rsidRDefault="001413BD" w:rsidP="00515F18">
            <w:pPr>
              <w:spacing w:after="120"/>
              <w:jc w:val="center"/>
              <w:rPr>
                <w:rFonts w:eastAsia="Arial" w:cstheme="minorHAnsi"/>
              </w:rPr>
            </w:pPr>
            <w:r w:rsidRPr="00515F18">
              <w:rPr>
                <w:rFonts w:eastAsia="Arial" w:cstheme="minorHAnsi"/>
              </w:rPr>
              <w:t>1993-2020, updated annually</w:t>
            </w:r>
          </w:p>
        </w:tc>
        <w:tc>
          <w:tcPr>
            <w:tcW w:w="1340" w:type="dxa"/>
            <w:shd w:val="clear" w:color="auto" w:fill="auto"/>
          </w:tcPr>
          <w:p w14:paraId="20B42B9F" w14:textId="79155CD6" w:rsidR="001413BD" w:rsidRPr="00515F18" w:rsidRDefault="001413BD" w:rsidP="00515F18">
            <w:pPr>
              <w:spacing w:after="120"/>
              <w:jc w:val="center"/>
              <w:rPr>
                <w:rFonts w:eastAsia="Arial" w:cstheme="minorHAnsi"/>
              </w:rPr>
            </w:pPr>
            <w:r w:rsidRPr="00515F18">
              <w:rPr>
                <w:rFonts w:eastAsia="Arial" w:cstheme="minorHAnsi"/>
              </w:rPr>
              <w:t>Y</w:t>
            </w:r>
          </w:p>
        </w:tc>
        <w:tc>
          <w:tcPr>
            <w:tcW w:w="1640" w:type="dxa"/>
            <w:shd w:val="clear" w:color="auto" w:fill="auto"/>
          </w:tcPr>
          <w:p w14:paraId="3AFA3B71" w14:textId="439767C4" w:rsidR="001413BD" w:rsidRPr="00515F18" w:rsidRDefault="001413BD" w:rsidP="00515F18">
            <w:pPr>
              <w:spacing w:after="120"/>
              <w:jc w:val="center"/>
              <w:rPr>
                <w:rFonts w:eastAsia="Arial" w:cstheme="minorHAnsi"/>
              </w:rPr>
            </w:pPr>
            <w:r w:rsidRPr="00515F18">
              <w:rPr>
                <w:rFonts w:eastAsia="Arial" w:cstheme="minorHAnsi"/>
              </w:rPr>
              <w:t>Y</w:t>
            </w:r>
          </w:p>
        </w:tc>
        <w:tc>
          <w:tcPr>
            <w:tcW w:w="1340" w:type="dxa"/>
            <w:shd w:val="clear" w:color="auto" w:fill="auto"/>
          </w:tcPr>
          <w:p w14:paraId="2CC73F3C" w14:textId="2274A4F2" w:rsidR="001413BD" w:rsidRPr="00515F18" w:rsidRDefault="001413BD" w:rsidP="00515F18">
            <w:pPr>
              <w:spacing w:after="120"/>
              <w:jc w:val="center"/>
              <w:rPr>
                <w:rFonts w:eastAsia="Arial" w:cstheme="minorHAnsi"/>
              </w:rPr>
            </w:pPr>
            <w:r w:rsidRPr="00515F18">
              <w:rPr>
                <w:rFonts w:eastAsia="Arial" w:cstheme="minorHAnsi"/>
              </w:rPr>
              <w:t>N</w:t>
            </w:r>
          </w:p>
        </w:tc>
        <w:tc>
          <w:tcPr>
            <w:tcW w:w="1166" w:type="dxa"/>
            <w:shd w:val="clear" w:color="auto" w:fill="auto"/>
          </w:tcPr>
          <w:p w14:paraId="72D1AAD3" w14:textId="6FE88A1D" w:rsidR="001413BD" w:rsidRPr="00515F18" w:rsidRDefault="001413BD" w:rsidP="00515F18">
            <w:pPr>
              <w:spacing w:after="120"/>
              <w:jc w:val="center"/>
              <w:rPr>
                <w:rFonts w:eastAsia="Arial" w:cstheme="minorHAnsi"/>
              </w:rPr>
            </w:pPr>
            <w:r w:rsidRPr="00515F18">
              <w:rPr>
                <w:rFonts w:eastAsia="Arial" w:cstheme="minorHAnsi"/>
              </w:rPr>
              <w:t>Y</w:t>
            </w:r>
          </w:p>
        </w:tc>
        <w:tc>
          <w:tcPr>
            <w:tcW w:w="966" w:type="dxa"/>
            <w:shd w:val="clear" w:color="auto" w:fill="auto"/>
          </w:tcPr>
          <w:p w14:paraId="47076F33" w14:textId="77777777" w:rsidR="001413BD" w:rsidRPr="00515F18" w:rsidRDefault="001413BD" w:rsidP="00515F18">
            <w:pPr>
              <w:spacing w:after="120"/>
              <w:jc w:val="center"/>
              <w:rPr>
                <w:rFonts w:eastAsia="Arial" w:cstheme="minorHAnsi"/>
              </w:rPr>
            </w:pPr>
            <w:r w:rsidRPr="00515F18">
              <w:rPr>
                <w:rFonts w:eastAsia="Arial" w:cstheme="minorHAnsi"/>
              </w:rPr>
              <w:t>Y</w:t>
            </w:r>
          </w:p>
          <w:p w14:paraId="0341CA54" w14:textId="77777777" w:rsidR="001413BD" w:rsidRPr="00515F18" w:rsidRDefault="001413BD" w:rsidP="00515F18">
            <w:pPr>
              <w:spacing w:after="120"/>
              <w:jc w:val="center"/>
              <w:rPr>
                <w:rFonts w:eastAsia="Arial" w:cstheme="minorHAnsi"/>
              </w:rPr>
            </w:pPr>
            <w:r w:rsidRPr="00515F18">
              <w:rPr>
                <w:rFonts w:eastAsia="Arial" w:cstheme="minorHAnsi"/>
              </w:rPr>
              <w:t>SDG indicator 15.5.1</w:t>
            </w:r>
          </w:p>
          <w:p w14:paraId="70934C2C" w14:textId="77777777" w:rsidR="001413BD" w:rsidRPr="00515F18" w:rsidRDefault="001413BD" w:rsidP="00515F18">
            <w:pPr>
              <w:spacing w:after="120"/>
              <w:jc w:val="center"/>
              <w:rPr>
                <w:rFonts w:eastAsia="Arial" w:cstheme="minorHAnsi"/>
              </w:rPr>
            </w:pPr>
          </w:p>
        </w:tc>
        <w:tc>
          <w:tcPr>
            <w:tcW w:w="1794" w:type="dxa"/>
            <w:shd w:val="clear" w:color="auto" w:fill="auto"/>
          </w:tcPr>
          <w:p w14:paraId="5DDE26FF" w14:textId="0DFBA0FB" w:rsidR="001413BD" w:rsidRPr="00515F18" w:rsidRDefault="001413BD" w:rsidP="00515F18">
            <w:pPr>
              <w:spacing w:after="120"/>
              <w:jc w:val="center"/>
              <w:rPr>
                <w:rFonts w:eastAsia="Arial" w:cstheme="minorHAnsi"/>
              </w:rPr>
            </w:pPr>
            <w:r w:rsidRPr="00515F18">
              <w:rPr>
                <w:rFonts w:eastAsia="Arial" w:cstheme="minorHAnsi"/>
              </w:rPr>
              <w:t>CMS, IPBES, Ramsar</w:t>
            </w:r>
          </w:p>
        </w:tc>
        <w:tc>
          <w:tcPr>
            <w:tcW w:w="1794" w:type="dxa"/>
          </w:tcPr>
          <w:p w14:paraId="2E8AFDF2" w14:textId="77777777" w:rsidR="001413BD" w:rsidRPr="00515F18" w:rsidRDefault="001413BD" w:rsidP="00515F18">
            <w:pPr>
              <w:spacing w:after="120"/>
              <w:jc w:val="center"/>
              <w:rPr>
                <w:rFonts w:cstheme="minorHAnsi"/>
                <w:color w:val="000000" w:themeColor="text1"/>
                <w:lang w:val="en-GB"/>
              </w:rPr>
            </w:pPr>
          </w:p>
        </w:tc>
      </w:tr>
      <w:tr w:rsidR="001413BD" w:rsidRPr="00515F18" w14:paraId="48F7BE48" w14:textId="77777777" w:rsidTr="007A15AD">
        <w:trPr>
          <w:trHeight w:val="236"/>
        </w:trPr>
        <w:tc>
          <w:tcPr>
            <w:tcW w:w="1781" w:type="dxa"/>
            <w:shd w:val="clear" w:color="auto" w:fill="FFE599" w:themeFill="accent4" w:themeFillTint="66"/>
          </w:tcPr>
          <w:p w14:paraId="1D622CA8" w14:textId="095B73F6" w:rsidR="001413BD" w:rsidRPr="00515F18" w:rsidRDefault="001413BD" w:rsidP="00515F18">
            <w:pPr>
              <w:spacing w:after="120"/>
              <w:rPr>
                <w:rFonts w:eastAsia="Arial" w:cstheme="minorHAnsi"/>
              </w:rPr>
            </w:pPr>
            <w:r w:rsidRPr="00515F18">
              <w:rPr>
                <w:rFonts w:eastAsia="Arial" w:cstheme="minorHAnsi"/>
              </w:rPr>
              <w:t>T6.4. Reduction of pollution from other sources</w:t>
            </w:r>
          </w:p>
        </w:tc>
        <w:tc>
          <w:tcPr>
            <w:tcW w:w="1936" w:type="dxa"/>
            <w:shd w:val="clear" w:color="auto" w:fill="FFE599" w:themeFill="accent4" w:themeFillTint="66"/>
          </w:tcPr>
          <w:p w14:paraId="5A57E9B1" w14:textId="147C6662" w:rsidR="001413BD" w:rsidRPr="00515F18" w:rsidRDefault="001413BD" w:rsidP="00515F18">
            <w:pPr>
              <w:spacing w:after="120"/>
              <w:rPr>
                <w:rFonts w:eastAsia="Arial" w:cstheme="minorHAnsi"/>
              </w:rPr>
            </w:pPr>
            <w:r w:rsidRPr="00515F18">
              <w:rPr>
                <w:rFonts w:eastAsia="Arial" w:cstheme="minorHAnsi"/>
              </w:rPr>
              <w:t>Trends in levels of pollution from sediments</w:t>
            </w:r>
          </w:p>
        </w:tc>
        <w:tc>
          <w:tcPr>
            <w:tcW w:w="1787" w:type="dxa"/>
            <w:shd w:val="clear" w:color="auto" w:fill="auto"/>
          </w:tcPr>
          <w:p w14:paraId="79AD2222" w14:textId="0370720E" w:rsidR="001413BD" w:rsidRPr="00515F18" w:rsidRDefault="001413BD" w:rsidP="00515F18">
            <w:pPr>
              <w:spacing w:after="120"/>
              <w:rPr>
                <w:rFonts w:eastAsia="Arial" w:cstheme="minorHAnsi"/>
                <w:color w:val="000000"/>
              </w:rPr>
            </w:pPr>
            <w:r w:rsidRPr="00515F18">
              <w:rPr>
                <w:rFonts w:eastAsia="Arial" w:cstheme="minorHAnsi"/>
              </w:rPr>
              <w:t>Index of Coastal Eutrophication</w:t>
            </w:r>
          </w:p>
        </w:tc>
        <w:tc>
          <w:tcPr>
            <w:tcW w:w="1489" w:type="dxa"/>
            <w:shd w:val="clear" w:color="auto" w:fill="auto"/>
          </w:tcPr>
          <w:p w14:paraId="020375B4" w14:textId="0BD43C42" w:rsidR="001413BD" w:rsidRPr="00515F18" w:rsidRDefault="001413BD" w:rsidP="00515F18">
            <w:pPr>
              <w:spacing w:after="120"/>
              <w:rPr>
                <w:rFonts w:eastAsia="Arial" w:cstheme="minorHAnsi"/>
                <w:color w:val="000000"/>
              </w:rPr>
            </w:pPr>
            <w:r w:rsidRPr="00515F18">
              <w:rPr>
                <w:rFonts w:eastAsia="Arial" w:cstheme="minorHAnsi"/>
              </w:rPr>
              <w:t>UNEP / IOC-UNESCO</w:t>
            </w:r>
          </w:p>
        </w:tc>
        <w:tc>
          <w:tcPr>
            <w:tcW w:w="1194" w:type="dxa"/>
            <w:shd w:val="clear" w:color="auto" w:fill="auto"/>
          </w:tcPr>
          <w:p w14:paraId="59C73DE6" w14:textId="68187A27" w:rsidR="001413BD" w:rsidRPr="00515F18" w:rsidRDefault="001413BD" w:rsidP="00515F18">
            <w:pPr>
              <w:spacing w:after="120"/>
              <w:jc w:val="center"/>
              <w:rPr>
                <w:rFonts w:eastAsia="Arial" w:cstheme="minorHAnsi"/>
              </w:rPr>
            </w:pPr>
            <w:r w:rsidRPr="00515F18">
              <w:rPr>
                <w:rFonts w:eastAsia="Arial" w:cstheme="minorHAnsi"/>
              </w:rPr>
              <w:t>Y</w:t>
            </w:r>
          </w:p>
        </w:tc>
        <w:tc>
          <w:tcPr>
            <w:tcW w:w="1341" w:type="dxa"/>
            <w:shd w:val="clear" w:color="auto" w:fill="auto"/>
          </w:tcPr>
          <w:p w14:paraId="4B9E93A6" w14:textId="0E1323A1" w:rsidR="001413BD" w:rsidRPr="00515F18" w:rsidRDefault="001413BD" w:rsidP="00515F18">
            <w:pPr>
              <w:spacing w:after="120"/>
              <w:jc w:val="center"/>
              <w:rPr>
                <w:rFonts w:cstheme="minorHAnsi"/>
              </w:rPr>
            </w:pPr>
            <w:r w:rsidRPr="00515F18">
              <w:rPr>
                <w:rFonts w:eastAsia="Arial" w:cstheme="minorHAnsi"/>
              </w:rPr>
              <w:t>2021</w:t>
            </w:r>
          </w:p>
        </w:tc>
        <w:tc>
          <w:tcPr>
            <w:tcW w:w="1042" w:type="dxa"/>
            <w:shd w:val="clear" w:color="auto" w:fill="auto"/>
          </w:tcPr>
          <w:p w14:paraId="1D9311C9" w14:textId="77777777" w:rsidR="001413BD" w:rsidRPr="00515F18" w:rsidRDefault="001413BD" w:rsidP="00515F18">
            <w:pPr>
              <w:spacing w:after="120"/>
              <w:jc w:val="center"/>
              <w:rPr>
                <w:rFonts w:eastAsia="Arial" w:cstheme="minorHAnsi"/>
              </w:rPr>
            </w:pPr>
          </w:p>
        </w:tc>
        <w:tc>
          <w:tcPr>
            <w:tcW w:w="1193" w:type="dxa"/>
            <w:shd w:val="clear" w:color="auto" w:fill="auto"/>
          </w:tcPr>
          <w:p w14:paraId="2E1E14A0" w14:textId="0F4A9BD4" w:rsidR="001413BD" w:rsidRPr="00515F18" w:rsidRDefault="001413BD" w:rsidP="00515F18">
            <w:pPr>
              <w:spacing w:after="120"/>
              <w:jc w:val="center"/>
              <w:rPr>
                <w:rFonts w:eastAsia="Arial" w:cstheme="minorHAnsi"/>
              </w:rPr>
            </w:pPr>
            <w:r w:rsidRPr="00515F18">
              <w:rPr>
                <w:rFonts w:eastAsia="Arial" w:cstheme="minorHAnsi"/>
              </w:rPr>
              <w:t>Every 5 years</w:t>
            </w:r>
          </w:p>
        </w:tc>
        <w:tc>
          <w:tcPr>
            <w:tcW w:w="1340" w:type="dxa"/>
            <w:shd w:val="clear" w:color="auto" w:fill="auto"/>
          </w:tcPr>
          <w:p w14:paraId="530A1856" w14:textId="77777777" w:rsidR="001413BD" w:rsidRPr="00515F18" w:rsidRDefault="001413BD" w:rsidP="00515F18">
            <w:pPr>
              <w:spacing w:after="120"/>
              <w:jc w:val="center"/>
              <w:rPr>
                <w:rFonts w:eastAsia="Arial" w:cstheme="minorHAnsi"/>
              </w:rPr>
            </w:pPr>
          </w:p>
        </w:tc>
        <w:tc>
          <w:tcPr>
            <w:tcW w:w="1640" w:type="dxa"/>
            <w:shd w:val="clear" w:color="auto" w:fill="auto"/>
          </w:tcPr>
          <w:p w14:paraId="45548FC1" w14:textId="77777777" w:rsidR="001413BD" w:rsidRPr="00515F18" w:rsidRDefault="001413BD" w:rsidP="00515F18">
            <w:pPr>
              <w:spacing w:after="120"/>
              <w:jc w:val="center"/>
              <w:rPr>
                <w:rFonts w:eastAsia="Arial" w:cstheme="minorHAnsi"/>
              </w:rPr>
            </w:pPr>
          </w:p>
        </w:tc>
        <w:tc>
          <w:tcPr>
            <w:tcW w:w="1340" w:type="dxa"/>
            <w:shd w:val="clear" w:color="auto" w:fill="auto"/>
          </w:tcPr>
          <w:p w14:paraId="581BCA42" w14:textId="77777777" w:rsidR="001413BD" w:rsidRPr="00515F18" w:rsidRDefault="001413BD" w:rsidP="00515F18">
            <w:pPr>
              <w:spacing w:after="120"/>
              <w:jc w:val="center"/>
              <w:rPr>
                <w:rFonts w:eastAsia="Arial" w:cstheme="minorHAnsi"/>
              </w:rPr>
            </w:pPr>
          </w:p>
        </w:tc>
        <w:tc>
          <w:tcPr>
            <w:tcW w:w="1166" w:type="dxa"/>
            <w:shd w:val="clear" w:color="auto" w:fill="auto"/>
          </w:tcPr>
          <w:p w14:paraId="3D2B3C70" w14:textId="77777777" w:rsidR="001413BD" w:rsidRPr="00515F18" w:rsidRDefault="001413BD" w:rsidP="00515F18">
            <w:pPr>
              <w:spacing w:after="120"/>
              <w:jc w:val="center"/>
              <w:rPr>
                <w:rFonts w:eastAsia="Arial" w:cstheme="minorHAnsi"/>
              </w:rPr>
            </w:pPr>
          </w:p>
        </w:tc>
        <w:tc>
          <w:tcPr>
            <w:tcW w:w="966" w:type="dxa"/>
            <w:shd w:val="clear" w:color="auto" w:fill="auto"/>
          </w:tcPr>
          <w:p w14:paraId="3C48BA4E" w14:textId="77777777" w:rsidR="001413BD" w:rsidRPr="00515F18" w:rsidRDefault="001413BD" w:rsidP="00515F18">
            <w:pPr>
              <w:spacing w:after="120"/>
              <w:jc w:val="center"/>
              <w:rPr>
                <w:rFonts w:eastAsia="Arial" w:cstheme="minorHAnsi"/>
              </w:rPr>
            </w:pPr>
            <w:r w:rsidRPr="00515F18">
              <w:rPr>
                <w:rFonts w:eastAsia="Arial" w:cstheme="minorHAnsi"/>
              </w:rPr>
              <w:t>Y</w:t>
            </w:r>
          </w:p>
          <w:p w14:paraId="3EBA7532" w14:textId="4D201535" w:rsidR="001413BD" w:rsidRPr="00515F18" w:rsidRDefault="001413BD" w:rsidP="00515F18">
            <w:pPr>
              <w:spacing w:after="120"/>
              <w:jc w:val="center"/>
              <w:rPr>
                <w:rFonts w:eastAsia="Arial" w:cstheme="minorHAnsi"/>
              </w:rPr>
            </w:pPr>
            <w:r w:rsidRPr="00515F18">
              <w:rPr>
                <w:rFonts w:eastAsia="Arial" w:cstheme="minorHAnsi"/>
              </w:rPr>
              <w:t>SDG indicator 14.1.1a</w:t>
            </w:r>
          </w:p>
        </w:tc>
        <w:tc>
          <w:tcPr>
            <w:tcW w:w="1794" w:type="dxa"/>
            <w:shd w:val="clear" w:color="auto" w:fill="auto"/>
          </w:tcPr>
          <w:p w14:paraId="122ED735" w14:textId="77777777" w:rsidR="001413BD" w:rsidRPr="00515F18" w:rsidRDefault="001413BD" w:rsidP="00515F18">
            <w:pPr>
              <w:spacing w:after="120"/>
              <w:jc w:val="center"/>
              <w:rPr>
                <w:rFonts w:eastAsia="Arial" w:cstheme="minorHAnsi"/>
              </w:rPr>
            </w:pPr>
          </w:p>
        </w:tc>
        <w:tc>
          <w:tcPr>
            <w:tcW w:w="1794" w:type="dxa"/>
          </w:tcPr>
          <w:p w14:paraId="2A02D024" w14:textId="77777777" w:rsidR="001413BD" w:rsidRPr="00515F18" w:rsidRDefault="001413BD" w:rsidP="00515F18">
            <w:pPr>
              <w:spacing w:after="120"/>
              <w:jc w:val="center"/>
              <w:rPr>
                <w:rFonts w:cstheme="minorHAnsi"/>
                <w:color w:val="000000" w:themeColor="text1"/>
                <w:lang w:val="en-GB"/>
              </w:rPr>
            </w:pPr>
          </w:p>
        </w:tc>
      </w:tr>
    </w:tbl>
    <w:p w14:paraId="3892155D" w14:textId="1B767515" w:rsidR="0037414D" w:rsidRPr="00515F18" w:rsidRDefault="0037414D" w:rsidP="00515F18">
      <w:pPr>
        <w:tabs>
          <w:tab w:val="left" w:pos="2943"/>
          <w:tab w:val="left" w:pos="6912"/>
          <w:tab w:val="left" w:pos="10314"/>
        </w:tabs>
        <w:spacing w:after="120" w:line="240" w:lineRule="auto"/>
        <w:rPr>
          <w:rFonts w:eastAsia="Arial" w:cstheme="minorHAnsi"/>
          <w:b/>
          <w:bCs/>
        </w:rPr>
      </w:pPr>
    </w:p>
    <w:p w14:paraId="0C44BACC" w14:textId="77777777" w:rsidR="00183CD6" w:rsidRPr="00515F18" w:rsidRDefault="00183CD6" w:rsidP="00515F18">
      <w:pPr>
        <w:tabs>
          <w:tab w:val="left" w:pos="2943"/>
          <w:tab w:val="left" w:pos="6912"/>
          <w:tab w:val="left" w:pos="10314"/>
        </w:tabs>
        <w:spacing w:after="120" w:line="240" w:lineRule="auto"/>
        <w:rPr>
          <w:rFonts w:eastAsia="Arial" w:cstheme="minorHAnsi"/>
          <w:b/>
          <w:bCs/>
        </w:rPr>
      </w:pPr>
    </w:p>
    <w:p w14:paraId="0CABF84C" w14:textId="77777777" w:rsidR="00183CD6" w:rsidRPr="00515F18" w:rsidRDefault="00183CD6" w:rsidP="00515F18">
      <w:pPr>
        <w:spacing w:after="120" w:line="240" w:lineRule="auto"/>
        <w:rPr>
          <w:rFonts w:eastAsia="Arial" w:cstheme="minorHAnsi"/>
          <w:b/>
          <w:bCs/>
        </w:rPr>
      </w:pPr>
      <w:r w:rsidRPr="00515F18">
        <w:rPr>
          <w:rFonts w:eastAsia="Arial" w:cstheme="minorHAnsi"/>
          <w:b/>
          <w:bCs/>
        </w:rPr>
        <w:br w:type="page"/>
      </w:r>
    </w:p>
    <w:p w14:paraId="2D879F97" w14:textId="77777777" w:rsidR="00183CD6" w:rsidRPr="00515F18" w:rsidRDefault="00183CD6" w:rsidP="00515F18">
      <w:pPr>
        <w:tabs>
          <w:tab w:val="left" w:pos="2943"/>
          <w:tab w:val="left" w:pos="6912"/>
          <w:tab w:val="left" w:pos="10314"/>
        </w:tabs>
        <w:spacing w:after="120" w:line="240" w:lineRule="auto"/>
        <w:rPr>
          <w:rFonts w:eastAsia="Arial" w:cstheme="minorHAnsi"/>
          <w:b/>
          <w:bCs/>
        </w:rPr>
        <w:sectPr w:rsidR="00183CD6" w:rsidRPr="00515F18" w:rsidSect="00183CD6">
          <w:pgSz w:w="23811" w:h="16838" w:orient="landscape" w:code="8"/>
          <w:pgMar w:top="1440" w:right="1440" w:bottom="1440" w:left="1440" w:header="706" w:footer="706" w:gutter="0"/>
          <w:cols w:space="708"/>
          <w:docGrid w:linePitch="360"/>
        </w:sectPr>
      </w:pPr>
    </w:p>
    <w:p w14:paraId="2A766532" w14:textId="128C5AE4" w:rsidR="00183CD6" w:rsidRPr="00515F18" w:rsidRDefault="00183CD6" w:rsidP="00515F18">
      <w:pPr>
        <w:tabs>
          <w:tab w:val="left" w:pos="2943"/>
          <w:tab w:val="left" w:pos="6912"/>
          <w:tab w:val="left" w:pos="10314"/>
        </w:tabs>
        <w:spacing w:after="120" w:line="240" w:lineRule="auto"/>
        <w:rPr>
          <w:rFonts w:eastAsia="Arial" w:cstheme="minorHAnsi"/>
          <w:b/>
          <w:bCs/>
        </w:rPr>
      </w:pP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3165"/>
      </w:tblGrid>
      <w:tr w:rsidR="007861DC" w:rsidRPr="00515F18" w14:paraId="0BFE4217" w14:textId="77777777" w:rsidTr="00933B3B">
        <w:trPr>
          <w:trHeight w:val="134"/>
        </w:trPr>
        <w:tc>
          <w:tcPr>
            <w:tcW w:w="14606" w:type="dxa"/>
            <w:gridSpan w:val="2"/>
            <w:shd w:val="clear" w:color="auto" w:fill="C0C0C0"/>
          </w:tcPr>
          <w:p w14:paraId="7DBE638E" w14:textId="33211435" w:rsidR="007861DC" w:rsidRPr="00515F18" w:rsidRDefault="007861DC" w:rsidP="00515F18">
            <w:pPr>
              <w:tabs>
                <w:tab w:val="left" w:pos="2943"/>
                <w:tab w:val="left" w:pos="6912"/>
                <w:tab w:val="left" w:pos="10314"/>
              </w:tabs>
              <w:spacing w:after="120" w:line="240" w:lineRule="auto"/>
              <w:rPr>
                <w:rFonts w:cstheme="minorHAnsi"/>
                <w:b/>
                <w:i/>
              </w:rPr>
            </w:pPr>
            <w:r w:rsidRPr="00515F18">
              <w:rPr>
                <w:rFonts w:eastAsia="Arial" w:cstheme="minorHAnsi"/>
                <w:b/>
                <w:bCs/>
              </w:rPr>
              <w:t>General Comments</w:t>
            </w:r>
          </w:p>
        </w:tc>
      </w:tr>
      <w:tr w:rsidR="007861DC" w:rsidRPr="00515F18" w14:paraId="6B14785B" w14:textId="77777777" w:rsidTr="00933B3B">
        <w:trPr>
          <w:trHeight w:val="134"/>
        </w:trPr>
        <w:tc>
          <w:tcPr>
            <w:tcW w:w="1441" w:type="dxa"/>
          </w:tcPr>
          <w:p w14:paraId="343A1771" w14:textId="17433314" w:rsidR="007861DC" w:rsidRPr="00515F18" w:rsidRDefault="007861DC" w:rsidP="00515F18">
            <w:pPr>
              <w:spacing w:after="120" w:line="240" w:lineRule="auto"/>
              <w:rPr>
                <w:rFonts w:cstheme="minorHAnsi"/>
                <w:b/>
              </w:rPr>
            </w:pPr>
            <w:r w:rsidRPr="00515F18">
              <w:rPr>
                <w:rFonts w:cstheme="minorHAnsi"/>
                <w:b/>
              </w:rPr>
              <w:t>Page</w:t>
            </w:r>
          </w:p>
        </w:tc>
        <w:tc>
          <w:tcPr>
            <w:tcW w:w="13165" w:type="dxa"/>
          </w:tcPr>
          <w:p w14:paraId="33A20E89" w14:textId="77777777" w:rsidR="007861DC" w:rsidRPr="00515F18" w:rsidRDefault="007861DC" w:rsidP="00515F18">
            <w:pPr>
              <w:spacing w:after="120" w:line="240" w:lineRule="auto"/>
              <w:rPr>
                <w:rFonts w:cstheme="minorHAnsi"/>
                <w:b/>
              </w:rPr>
            </w:pPr>
            <w:r w:rsidRPr="00515F18">
              <w:rPr>
                <w:rFonts w:cstheme="minorHAnsi"/>
                <w:b/>
              </w:rPr>
              <w:t>Comment</w:t>
            </w:r>
          </w:p>
        </w:tc>
      </w:tr>
      <w:tr w:rsidR="24EF83CC" w:rsidRPr="00515F18" w14:paraId="2C3BA62C" w14:textId="77777777" w:rsidTr="00933B3B">
        <w:trPr>
          <w:trHeight w:val="134"/>
        </w:trPr>
        <w:tc>
          <w:tcPr>
            <w:tcW w:w="1441" w:type="dxa"/>
          </w:tcPr>
          <w:p w14:paraId="5197B7A9" w14:textId="28239191" w:rsidR="13E287FC" w:rsidRPr="00515F18" w:rsidRDefault="13E287FC" w:rsidP="00515F18">
            <w:pPr>
              <w:spacing w:after="120" w:line="240" w:lineRule="auto"/>
              <w:rPr>
                <w:rFonts w:cstheme="minorHAnsi"/>
                <w:b/>
                <w:bCs/>
              </w:rPr>
            </w:pPr>
            <w:r w:rsidRPr="00515F18">
              <w:rPr>
                <w:rFonts w:cstheme="minorHAnsi"/>
                <w:b/>
                <w:bCs/>
              </w:rPr>
              <w:t>All Indicators</w:t>
            </w:r>
          </w:p>
        </w:tc>
        <w:tc>
          <w:tcPr>
            <w:tcW w:w="13165" w:type="dxa"/>
          </w:tcPr>
          <w:p w14:paraId="4245655E" w14:textId="27169CC4" w:rsidR="45DBE5C5" w:rsidRPr="00515F18" w:rsidRDefault="45DBE5C5" w:rsidP="00515F18">
            <w:pPr>
              <w:spacing w:after="120" w:line="240" w:lineRule="auto"/>
              <w:rPr>
                <w:rFonts w:cstheme="minorHAnsi"/>
                <w:b/>
                <w:bCs/>
                <w:lang w:val="en-US"/>
              </w:rPr>
            </w:pPr>
            <w:r w:rsidRPr="00515F18">
              <w:rPr>
                <w:rFonts w:cstheme="minorHAnsi"/>
                <w:b/>
                <w:bCs/>
                <w:lang w:val="en-US"/>
              </w:rPr>
              <w:t xml:space="preserve">The Post 2020 </w:t>
            </w:r>
            <w:r w:rsidR="3FF724AD" w:rsidRPr="00515F18">
              <w:rPr>
                <w:rFonts w:cstheme="minorHAnsi"/>
                <w:b/>
                <w:bCs/>
                <w:lang w:val="en-US"/>
              </w:rPr>
              <w:t xml:space="preserve">Global Biodiversity Framework </w:t>
            </w:r>
            <w:r w:rsidRPr="00515F18">
              <w:rPr>
                <w:rFonts w:cstheme="minorHAnsi"/>
                <w:b/>
                <w:bCs/>
                <w:lang w:val="en-US"/>
              </w:rPr>
              <w:t xml:space="preserve">should strengthen </w:t>
            </w:r>
            <w:r w:rsidR="4F1D0D52" w:rsidRPr="00515F18">
              <w:rPr>
                <w:rFonts w:cstheme="minorHAnsi"/>
                <w:b/>
                <w:bCs/>
                <w:lang w:val="en-US"/>
              </w:rPr>
              <w:t xml:space="preserve">bottom up </w:t>
            </w:r>
            <w:r w:rsidRPr="00515F18">
              <w:rPr>
                <w:rFonts w:cstheme="minorHAnsi"/>
                <w:b/>
                <w:bCs/>
                <w:lang w:val="en-US"/>
              </w:rPr>
              <w:t>national statistical systems</w:t>
            </w:r>
          </w:p>
          <w:p w14:paraId="0E0BABA8" w14:textId="68F2D708" w:rsidR="13E287FC" w:rsidRPr="00515F18" w:rsidRDefault="13E287FC" w:rsidP="00515F18">
            <w:pPr>
              <w:spacing w:after="120" w:line="240" w:lineRule="auto"/>
              <w:rPr>
                <w:rFonts w:cstheme="minorHAnsi"/>
                <w:lang w:val="en-US"/>
              </w:rPr>
            </w:pPr>
            <w:r w:rsidRPr="00515F18">
              <w:rPr>
                <w:rFonts w:cstheme="minorHAnsi"/>
                <w:lang w:val="en-US"/>
              </w:rPr>
              <w:t>As a fundamental aim, any framework proposed for measuring progress on delivery of Post 2020 Global Biodiversity Framework’s Goals and Targets should seek to support and strengthen national statistical systems and other relevant offices to promote country engagement in biodiversity monitoring for reasons of improving country ownership and bottom up engagement; we do not see sufficient evidence of this focus in the draft Post 2020 framework discussion or text.</w:t>
            </w:r>
          </w:p>
        </w:tc>
      </w:tr>
      <w:tr w:rsidR="24EF83CC" w:rsidRPr="00515F18" w14:paraId="29102C12" w14:textId="77777777" w:rsidTr="00933B3B">
        <w:trPr>
          <w:trHeight w:val="134"/>
        </w:trPr>
        <w:tc>
          <w:tcPr>
            <w:tcW w:w="1441" w:type="dxa"/>
          </w:tcPr>
          <w:p w14:paraId="1B252834" w14:textId="28239191" w:rsidR="13E287FC" w:rsidRPr="00515F18" w:rsidRDefault="13E287FC" w:rsidP="00515F18">
            <w:pPr>
              <w:spacing w:after="120" w:line="240" w:lineRule="auto"/>
              <w:rPr>
                <w:rFonts w:cstheme="minorHAnsi"/>
                <w:b/>
                <w:bCs/>
              </w:rPr>
            </w:pPr>
            <w:r w:rsidRPr="00515F18">
              <w:rPr>
                <w:rFonts w:cstheme="minorHAnsi"/>
                <w:b/>
                <w:bCs/>
              </w:rPr>
              <w:t>All Indicators</w:t>
            </w:r>
          </w:p>
          <w:p w14:paraId="1A249958" w14:textId="1C250FEB" w:rsidR="24EF83CC" w:rsidRPr="00515F18" w:rsidRDefault="24EF83CC" w:rsidP="00515F18">
            <w:pPr>
              <w:spacing w:after="120" w:line="240" w:lineRule="auto"/>
              <w:rPr>
                <w:rFonts w:cstheme="minorHAnsi"/>
                <w:b/>
                <w:bCs/>
              </w:rPr>
            </w:pPr>
          </w:p>
        </w:tc>
        <w:tc>
          <w:tcPr>
            <w:tcW w:w="13165" w:type="dxa"/>
          </w:tcPr>
          <w:p w14:paraId="5A1CBB9F" w14:textId="3F5CACA5" w:rsidR="482CBE38" w:rsidRPr="00515F18" w:rsidRDefault="482CBE38" w:rsidP="00515F18">
            <w:pPr>
              <w:spacing w:after="120" w:line="240" w:lineRule="auto"/>
              <w:rPr>
                <w:rFonts w:cstheme="minorHAnsi"/>
                <w:lang w:val="en-US"/>
              </w:rPr>
            </w:pPr>
            <w:r w:rsidRPr="00515F18">
              <w:rPr>
                <w:rFonts w:cstheme="minorHAnsi"/>
                <w:b/>
                <w:bCs/>
                <w:lang w:val="en-US"/>
              </w:rPr>
              <w:t xml:space="preserve">Having a standard indicator assessment process is preferable to defining detailed indicators </w:t>
            </w:r>
            <w:r w:rsidR="658458F9" w:rsidRPr="00515F18">
              <w:rPr>
                <w:rFonts w:cstheme="minorHAnsi"/>
                <w:b/>
                <w:bCs/>
                <w:lang w:val="en-US"/>
              </w:rPr>
              <w:t>at this stage</w:t>
            </w:r>
            <w:r w:rsidRPr="00515F18">
              <w:rPr>
                <w:rFonts w:cstheme="minorHAnsi"/>
                <w:b/>
                <w:bCs/>
                <w:lang w:val="en-US"/>
              </w:rPr>
              <w:t xml:space="preserve">, </w:t>
            </w:r>
            <w:r w:rsidR="5301B6DB" w:rsidRPr="00515F18">
              <w:rPr>
                <w:rFonts w:cstheme="minorHAnsi"/>
                <w:b/>
                <w:bCs/>
                <w:lang w:val="en-US"/>
              </w:rPr>
              <w:t xml:space="preserve">noting </w:t>
            </w:r>
            <w:r w:rsidRPr="00515F18">
              <w:rPr>
                <w:rFonts w:cstheme="minorHAnsi"/>
                <w:b/>
                <w:bCs/>
                <w:lang w:val="en-US"/>
              </w:rPr>
              <w:t xml:space="preserve">that </w:t>
            </w:r>
            <w:r w:rsidR="1FFD8EFD" w:rsidRPr="00515F18">
              <w:rPr>
                <w:rFonts w:cstheme="minorHAnsi"/>
                <w:b/>
                <w:bCs/>
                <w:lang w:val="en-US"/>
              </w:rPr>
              <w:t xml:space="preserve">they </w:t>
            </w:r>
            <w:r w:rsidRPr="00515F18">
              <w:rPr>
                <w:rFonts w:cstheme="minorHAnsi"/>
                <w:b/>
                <w:bCs/>
                <w:lang w:val="en-US"/>
              </w:rPr>
              <w:t xml:space="preserve">may be obsolete by the time a post-2020 agreement is reached, an undoubtedly will need to respond to changes in the decade(s) ahead, </w:t>
            </w:r>
            <w:r w:rsidR="3368D7D4" w:rsidRPr="00515F18">
              <w:rPr>
                <w:rFonts w:cstheme="minorHAnsi"/>
                <w:b/>
                <w:bCs/>
                <w:lang w:val="en-US"/>
              </w:rPr>
              <w:t xml:space="preserve">recognizing </w:t>
            </w:r>
            <w:r w:rsidRPr="00515F18">
              <w:rPr>
                <w:rFonts w:cstheme="minorHAnsi"/>
                <w:b/>
                <w:bCs/>
                <w:lang w:val="en-US"/>
              </w:rPr>
              <w:t xml:space="preserve">the shifting availability </w:t>
            </w:r>
            <w:r w:rsidR="7F616C35" w:rsidRPr="00515F18">
              <w:rPr>
                <w:rFonts w:cstheme="minorHAnsi"/>
                <w:b/>
                <w:bCs/>
                <w:lang w:val="en-US"/>
              </w:rPr>
              <w:t>of information and availability of</w:t>
            </w:r>
            <w:r w:rsidRPr="00515F18">
              <w:rPr>
                <w:rFonts w:cstheme="minorHAnsi"/>
                <w:b/>
                <w:bCs/>
                <w:lang w:val="en-US"/>
              </w:rPr>
              <w:t xml:space="preserve"> innovative technology.</w:t>
            </w:r>
            <w:r w:rsidRPr="00515F18">
              <w:rPr>
                <w:rFonts w:cstheme="minorHAnsi"/>
                <w:lang w:val="en-US"/>
              </w:rPr>
              <w:t xml:space="preserve"> </w:t>
            </w:r>
          </w:p>
          <w:p w14:paraId="7DDC4A61" w14:textId="3DCA3949" w:rsidR="13E287FC" w:rsidRPr="00515F18" w:rsidRDefault="13E287FC" w:rsidP="00515F18">
            <w:pPr>
              <w:spacing w:after="120" w:line="240" w:lineRule="auto"/>
              <w:rPr>
                <w:rFonts w:cstheme="minorHAnsi"/>
                <w:lang w:val="en-US"/>
              </w:rPr>
            </w:pPr>
            <w:r w:rsidRPr="00515F18">
              <w:rPr>
                <w:rFonts w:cstheme="minorHAnsi"/>
                <w:lang w:val="en-US"/>
              </w:rPr>
              <w:t xml:space="preserve">FAO does not support the idea of setting in place a core set of indicators for the Post 2020 Framework </w:t>
            </w:r>
            <w:r w:rsidRPr="00515F18">
              <w:rPr>
                <w:rFonts w:cstheme="minorHAnsi"/>
                <w:i/>
                <w:iCs/>
                <w:lang w:val="en-US"/>
              </w:rPr>
              <w:t>prior</w:t>
            </w:r>
            <w:r w:rsidRPr="00515F18">
              <w:rPr>
                <w:rFonts w:cstheme="minorHAnsi"/>
                <w:lang w:val="en-US"/>
              </w:rPr>
              <w:t xml:space="preserve"> to the definition of the Frameworks Goals and Targets. </w:t>
            </w:r>
          </w:p>
          <w:p w14:paraId="2CE50BCD" w14:textId="19483EA2" w:rsidR="13E287FC" w:rsidRPr="00515F18" w:rsidRDefault="13E287FC" w:rsidP="00515F18">
            <w:pPr>
              <w:spacing w:after="120" w:line="240" w:lineRule="auto"/>
              <w:rPr>
                <w:rFonts w:cstheme="minorHAnsi"/>
              </w:rPr>
            </w:pPr>
            <w:r w:rsidRPr="00515F18">
              <w:rPr>
                <w:rFonts w:cstheme="minorHAnsi"/>
                <w:lang w:val="en-US"/>
              </w:rPr>
              <w:t xml:space="preserve">The process of encouraging engagement in monitoring across national, regional and international levels can </w:t>
            </w:r>
            <w:r w:rsidR="66C9EA5D" w:rsidRPr="00515F18">
              <w:rPr>
                <w:rFonts w:cstheme="minorHAnsi"/>
                <w:lang w:val="en-US"/>
              </w:rPr>
              <w:t>instead be</w:t>
            </w:r>
            <w:r w:rsidRPr="00515F18">
              <w:rPr>
                <w:rFonts w:cstheme="minorHAnsi"/>
                <w:lang w:val="en-US"/>
              </w:rPr>
              <w:t xml:space="preserve"> promoted by setting in place a standard methodology, linked to competent UN Agencies, for assessing </w:t>
            </w:r>
            <w:r w:rsidR="27A09C62" w:rsidRPr="00515F18">
              <w:rPr>
                <w:rFonts w:cstheme="minorHAnsi"/>
                <w:lang w:val="en-US"/>
              </w:rPr>
              <w:t xml:space="preserve">and publishing an assessment of </w:t>
            </w:r>
            <w:r w:rsidRPr="00515F18">
              <w:rPr>
                <w:rFonts w:cstheme="minorHAnsi"/>
                <w:lang w:val="en-US"/>
              </w:rPr>
              <w:t xml:space="preserve">the suitability and utility of indicators proposed for measuring progress in delivery of Post 2020 Goals and Targets. The methodology </w:t>
            </w:r>
            <w:r w:rsidR="0A2270D3" w:rsidRPr="00515F18">
              <w:rPr>
                <w:rFonts w:cstheme="minorHAnsi"/>
                <w:lang w:val="en-US"/>
              </w:rPr>
              <w:t xml:space="preserve">for assessing the suitability and utility of indicators </w:t>
            </w:r>
            <w:r w:rsidRPr="00515F18">
              <w:rPr>
                <w:rFonts w:cstheme="minorHAnsi"/>
                <w:lang w:val="en-US"/>
              </w:rPr>
              <w:t xml:space="preserve">would deliver a </w:t>
            </w:r>
            <w:r w:rsidR="17146AC0" w:rsidRPr="00515F18">
              <w:rPr>
                <w:rFonts w:cstheme="minorHAnsi"/>
                <w:lang w:val="en-US"/>
              </w:rPr>
              <w:t>tier’ing</w:t>
            </w:r>
            <w:r w:rsidRPr="00515F18">
              <w:rPr>
                <w:rFonts w:cstheme="minorHAnsi"/>
                <w:lang w:val="en-US"/>
              </w:rPr>
              <w:t xml:space="preserve"> score for potential indicators, with the hope that there will be more harmonized adoption of Tier 1 indicators by countries within the first decade of the Frameworks delivery</w:t>
            </w:r>
            <w:r w:rsidR="155802EC" w:rsidRPr="00515F18">
              <w:rPr>
                <w:rFonts w:cstheme="minorHAnsi"/>
                <w:lang w:val="en-US"/>
              </w:rPr>
              <w:t xml:space="preserve">. </w:t>
            </w:r>
          </w:p>
        </w:tc>
      </w:tr>
      <w:tr w:rsidR="007861DC" w:rsidRPr="00515F18" w14:paraId="6C885495" w14:textId="77777777" w:rsidTr="00933B3B">
        <w:trPr>
          <w:trHeight w:val="134"/>
        </w:trPr>
        <w:tc>
          <w:tcPr>
            <w:tcW w:w="1441" w:type="dxa"/>
          </w:tcPr>
          <w:p w14:paraId="1C499DC4" w14:textId="4A4F7410" w:rsidR="007861DC" w:rsidRPr="00515F18" w:rsidRDefault="00B81FDF" w:rsidP="00515F18">
            <w:pPr>
              <w:spacing w:after="120" w:line="240" w:lineRule="auto"/>
              <w:rPr>
                <w:rFonts w:cstheme="minorHAnsi"/>
              </w:rPr>
            </w:pPr>
            <w:bookmarkStart w:id="1" w:name="_GoBack"/>
            <w:bookmarkEnd w:id="1"/>
            <w:r w:rsidRPr="00515F18">
              <w:rPr>
                <w:rFonts w:cstheme="minorHAnsi"/>
              </w:rPr>
              <w:t>Table 1</w:t>
            </w:r>
          </w:p>
        </w:tc>
        <w:tc>
          <w:tcPr>
            <w:tcW w:w="13165" w:type="dxa"/>
          </w:tcPr>
          <w:p w14:paraId="4F362DD0" w14:textId="188163B3" w:rsidR="007861DC" w:rsidRPr="00515F18" w:rsidRDefault="00B81FDF" w:rsidP="00515F18">
            <w:pPr>
              <w:spacing w:after="120" w:line="240" w:lineRule="auto"/>
              <w:rPr>
                <w:rFonts w:cstheme="minorHAnsi"/>
              </w:rPr>
            </w:pPr>
            <w:r w:rsidRPr="00515F18">
              <w:rPr>
                <w:rFonts w:cstheme="minorHAnsi"/>
              </w:rPr>
              <w:t>Indicator 2.5.1b for animals is still missing</w:t>
            </w:r>
            <w:r w:rsidR="007B22B6" w:rsidRPr="00515F18">
              <w:rPr>
                <w:rFonts w:cstheme="minorHAnsi"/>
              </w:rPr>
              <w:t xml:space="preserve"> (GA5 – row 38)</w:t>
            </w:r>
            <w:r w:rsidRPr="00515F18">
              <w:rPr>
                <w:rFonts w:cstheme="minorHAnsi"/>
              </w:rPr>
              <w:t>, wording for indicator name 2.5.2 needs to be changed</w:t>
            </w:r>
            <w:r w:rsidR="007B22B6" w:rsidRPr="00515F18">
              <w:rPr>
                <w:rFonts w:cstheme="minorHAnsi"/>
              </w:rPr>
              <w:t xml:space="preserve"> (GA5 – row 39)</w:t>
            </w:r>
          </w:p>
        </w:tc>
      </w:tr>
      <w:tr w:rsidR="007B6E4E" w:rsidRPr="00515F18" w14:paraId="62BCB796" w14:textId="77777777" w:rsidTr="00933B3B">
        <w:trPr>
          <w:trHeight w:val="134"/>
        </w:trPr>
        <w:tc>
          <w:tcPr>
            <w:tcW w:w="1441" w:type="dxa"/>
          </w:tcPr>
          <w:p w14:paraId="0ECF0BC3" w14:textId="752AD0E0" w:rsidR="007B6E4E" w:rsidRPr="00515F18" w:rsidRDefault="007B6E4E" w:rsidP="00515F18">
            <w:pPr>
              <w:spacing w:after="120" w:line="240" w:lineRule="auto"/>
              <w:rPr>
                <w:rFonts w:cstheme="minorHAnsi"/>
              </w:rPr>
            </w:pPr>
            <w:r w:rsidRPr="00515F18">
              <w:rPr>
                <w:rFonts w:cstheme="minorHAnsi"/>
              </w:rPr>
              <w:t>Table 1</w:t>
            </w:r>
            <w:r w:rsidR="00183CD6" w:rsidRPr="00515F18">
              <w:rPr>
                <w:rFonts w:cstheme="minorHAnsi"/>
              </w:rPr>
              <w:t xml:space="preserve"> </w:t>
            </w:r>
            <w:r w:rsidRPr="00515F18">
              <w:rPr>
                <w:rFonts w:cstheme="minorHAnsi"/>
              </w:rPr>
              <w:t xml:space="preserve">Row 38 </w:t>
            </w:r>
          </w:p>
        </w:tc>
        <w:tc>
          <w:tcPr>
            <w:tcW w:w="13165" w:type="dxa"/>
          </w:tcPr>
          <w:p w14:paraId="3802E94B" w14:textId="540B7551" w:rsidR="007B6E4E" w:rsidRPr="00515F18" w:rsidRDefault="007B6E4E" w:rsidP="00515F18">
            <w:pPr>
              <w:spacing w:after="120" w:line="240" w:lineRule="auto"/>
              <w:rPr>
                <w:rFonts w:cstheme="minorHAnsi"/>
              </w:rPr>
            </w:pPr>
            <w:r w:rsidRPr="00515F18">
              <w:rPr>
                <w:rFonts w:cstheme="minorHAnsi"/>
              </w:rPr>
              <w:t xml:space="preserve">Indicator 2.5.1 could be split into 2.5.1a (plant) and 2.5.1b (animal). </w:t>
            </w:r>
          </w:p>
        </w:tc>
      </w:tr>
      <w:tr w:rsidR="24EF83CC" w:rsidRPr="00515F18" w14:paraId="3AC4F983" w14:textId="77777777" w:rsidTr="00933B3B">
        <w:trPr>
          <w:trHeight w:val="134"/>
        </w:trPr>
        <w:tc>
          <w:tcPr>
            <w:tcW w:w="1441" w:type="dxa"/>
          </w:tcPr>
          <w:p w14:paraId="32D36CB3" w14:textId="29C9B618" w:rsidR="435B66C5" w:rsidRPr="00515F18" w:rsidRDefault="435B66C5" w:rsidP="00515F18">
            <w:pPr>
              <w:spacing w:after="120" w:line="240" w:lineRule="auto"/>
              <w:rPr>
                <w:rFonts w:cstheme="minorHAnsi"/>
              </w:rPr>
            </w:pPr>
            <w:r w:rsidRPr="00515F18">
              <w:rPr>
                <w:rFonts w:cstheme="minorHAnsi"/>
              </w:rPr>
              <w:t xml:space="preserve">Table 2 </w:t>
            </w:r>
            <w:r w:rsidR="0587065E" w:rsidRPr="00515F18">
              <w:rPr>
                <w:rFonts w:cstheme="minorHAnsi"/>
              </w:rPr>
              <w:t>Row 5 (</w:t>
            </w:r>
            <w:r w:rsidRPr="00515F18">
              <w:rPr>
                <w:rFonts w:cstheme="minorHAnsi"/>
              </w:rPr>
              <w:t>T4.1</w:t>
            </w:r>
            <w:r w:rsidR="3C1B609F" w:rsidRPr="00515F18">
              <w:rPr>
                <w:rFonts w:cstheme="minorHAnsi"/>
              </w:rPr>
              <w:t>)</w:t>
            </w:r>
            <w:r w:rsidRPr="00515F18">
              <w:rPr>
                <w:rFonts w:cstheme="minorHAnsi"/>
              </w:rPr>
              <w:t xml:space="preserve"> </w:t>
            </w:r>
          </w:p>
        </w:tc>
        <w:tc>
          <w:tcPr>
            <w:tcW w:w="13165" w:type="dxa"/>
          </w:tcPr>
          <w:p w14:paraId="7D53E864" w14:textId="2538974D" w:rsidR="3C073BDC" w:rsidRPr="00515F18" w:rsidRDefault="3C073BDC" w:rsidP="00515F18">
            <w:pPr>
              <w:spacing w:after="120" w:line="240" w:lineRule="auto"/>
              <w:rPr>
                <w:rFonts w:eastAsia="Segoe UI" w:cstheme="minorHAnsi"/>
              </w:rPr>
            </w:pPr>
            <w:r w:rsidRPr="00515F18">
              <w:rPr>
                <w:rFonts w:eastAsia="Calibri" w:cstheme="minorHAnsi"/>
              </w:rPr>
              <w:t>In relation to commercially exploited marine fish stocks the SDG indicator for SDG 14.4 calls for ‘’effective regulation of harvesting and end overfishing, illegal, unreported and unregulated fishing and destructive fishing practices and implement science-based management plans in order to restore fish stocks in the shortest time feasible — at least to levels that can produce maximum sustainable yield as determined by their biological characteristics. FAO is the custodian for an indicator that shows the ‘’Proportion of fish stocks within biologically sustainable levels’’ (</w:t>
            </w:r>
            <w:hyperlink r:id="rId22">
              <w:r w:rsidRPr="00515F18">
                <w:rPr>
                  <w:rStyle w:val="Hyperlink"/>
                  <w:rFonts w:eastAsia="Calibri" w:cstheme="minorHAnsi"/>
                  <w:color w:val="0D6CAC"/>
                </w:rPr>
                <w:t>14.4.1 Fish stocks sustainability</w:t>
              </w:r>
            </w:hyperlink>
            <w:r w:rsidRPr="00515F18">
              <w:rPr>
                <w:rFonts w:eastAsia="Segoe UI" w:cstheme="minorHAnsi"/>
              </w:rPr>
              <w:t>).</w:t>
            </w:r>
          </w:p>
          <w:p w14:paraId="64B604D6" w14:textId="46B320A2" w:rsidR="3C073BDC" w:rsidRPr="00515F18" w:rsidRDefault="3C073BDC" w:rsidP="00515F18">
            <w:pPr>
              <w:spacing w:after="120" w:line="240" w:lineRule="auto"/>
              <w:rPr>
                <w:rFonts w:eastAsia="Calibri" w:cstheme="minorHAnsi"/>
              </w:rPr>
            </w:pPr>
            <w:r w:rsidRPr="00515F18">
              <w:rPr>
                <w:rFonts w:eastAsia="Calibri" w:cstheme="minorHAnsi"/>
              </w:rPr>
              <w:t xml:space="preserve">IUCN has twice proposed to the arbiter of the SDG indicators (IAEG-SDGs, </w:t>
            </w:r>
            <w:hyperlink r:id="rId23">
              <w:r w:rsidRPr="00515F18">
                <w:rPr>
                  <w:rStyle w:val="Hyperlink"/>
                  <w:rFonts w:eastAsia="Calibri" w:cstheme="minorHAnsi"/>
                </w:rPr>
                <w:t>https://unstats.un.org/sdgs/iaeg-sdgs/</w:t>
              </w:r>
            </w:hyperlink>
            <w:r w:rsidRPr="00515F18">
              <w:rPr>
                <w:rFonts w:eastAsia="Calibri" w:cstheme="minorHAnsi"/>
              </w:rPr>
              <w:t xml:space="preserve">) for acceptance of the Red List Index as a complementary indicator to the FAO fish stocks indicator (SDG 14.4.1.) and twice been refused. Reasons for this include i) the relevance of the Red List Index indicator and its lack of alignment with the Target: It is more directly liked to SDG 15.5.1 which looks at loss (extinction of species) rather than status measures. The assessment criteria of the Red List that delivers the data for any Red List Index data, most commonly characterises a species as threatened with extinction using it’s Criterion A, a </w:t>
            </w:r>
            <w:r w:rsidR="40DCC8B8" w:rsidRPr="00515F18">
              <w:rPr>
                <w:rFonts w:eastAsia="Calibri" w:cstheme="minorHAnsi"/>
              </w:rPr>
              <w:t>rate-based</w:t>
            </w:r>
            <w:r w:rsidRPr="00515F18">
              <w:rPr>
                <w:rFonts w:eastAsia="Calibri" w:cstheme="minorHAnsi"/>
              </w:rPr>
              <w:t xml:space="preserve"> approach independent of total population abundance. This differs from fisheries approaches that looks at changes in abundance relative to an unexploited, baseline/reference biomass and in relation to target abundances so as would ensure long-term productivity of the fish stock (MSY). </w:t>
            </w:r>
          </w:p>
          <w:p w14:paraId="0DC0A393" w14:textId="2EBD3E29" w:rsidR="3C073BDC" w:rsidRPr="00515F18" w:rsidRDefault="3C073BDC" w:rsidP="00515F18">
            <w:pPr>
              <w:spacing w:after="120" w:line="240" w:lineRule="auto"/>
              <w:rPr>
                <w:rFonts w:eastAsia="Calibri" w:cstheme="minorHAnsi"/>
              </w:rPr>
            </w:pPr>
            <w:r w:rsidRPr="00515F18">
              <w:rPr>
                <w:rFonts w:eastAsia="Calibri" w:cstheme="minorHAnsi"/>
              </w:rPr>
              <w:t xml:space="preserve">The differing approaches </w:t>
            </w:r>
            <w:r w:rsidR="4D0228B0" w:rsidRPr="00515F18">
              <w:rPr>
                <w:rFonts w:eastAsia="Calibri" w:cstheme="minorHAnsi"/>
              </w:rPr>
              <w:t>of</w:t>
            </w:r>
            <w:r w:rsidRPr="00515F18">
              <w:rPr>
                <w:rFonts w:eastAsia="Calibri" w:cstheme="minorHAnsi"/>
              </w:rPr>
              <w:t xml:space="preserve"> FAO and IUCN present two particular challenges. The first challenge is in the early history of exploitation, when abundant stocks are under high fishing pressure aimed at maximizing the productivity of the stock (i.e. fishing down the population to achieve MSY). Although this can set up a differing assessment outcome, this situation is less a common occurrence now, as most accessible commercial fish stocks have already been exploited for some time. However, the United Nations Convention on the Law of the Sea (UNCLOS, 1982) notes: "…State(s) must set an allowable catch, based on scientific information, which is designed to maintain or restore species to levels supporting a maximum sustainable yield (MSY)." Therefore for some short lived fish stocks that periodically experience periods of high productivity (e.g. Peruvian anchoveta, </w:t>
            </w:r>
            <w:r w:rsidRPr="00515F18">
              <w:rPr>
                <w:rFonts w:eastAsia="Calibri" w:cstheme="minorHAnsi"/>
                <w:i/>
                <w:iCs/>
              </w:rPr>
              <w:t>Engraulis ringens</w:t>
            </w:r>
            <w:r w:rsidRPr="00515F18">
              <w:rPr>
                <w:rFonts w:eastAsia="Calibri" w:cstheme="minorHAnsi"/>
              </w:rPr>
              <w:t>), situations where fish are at great abundance and experience short ‘fishing down’ periods where large percentages of the population is removed might be more common. The second challenge occurs when a stock is overfished but remains stable at low total abundance. In this case the Red List assessments may categorize depleted</w:t>
            </w:r>
            <w:r w:rsidR="0302B3FB" w:rsidRPr="00515F18">
              <w:rPr>
                <w:rFonts w:eastAsia="Calibri" w:cstheme="minorHAnsi"/>
              </w:rPr>
              <w:t>,</w:t>
            </w:r>
            <w:r w:rsidRPr="00515F18">
              <w:rPr>
                <w:rFonts w:eastAsia="Calibri" w:cstheme="minorHAnsi"/>
              </w:rPr>
              <w:t xml:space="preserve"> but very slowly declining or long stable species as not threatened (of ‘Least Concern’), even when they are well below fishery limit thresholds and still of high concern in fisheries management approaches. Real world examples here include the common ling, </w:t>
            </w:r>
            <w:r w:rsidRPr="00515F18">
              <w:rPr>
                <w:rFonts w:eastAsia="Calibri" w:cstheme="minorHAnsi"/>
                <w:i/>
                <w:iCs/>
              </w:rPr>
              <w:t>Molva molva</w:t>
            </w:r>
            <w:r w:rsidRPr="00515F18">
              <w:rPr>
                <w:rFonts w:eastAsia="Calibri" w:cstheme="minorHAnsi"/>
              </w:rPr>
              <w:t xml:space="preserve"> that remains Least Concern on the European Red List. There are other clashes in the two assessment outcomes, mostly related to the relatively slower periodicity of Red List assessments that can become outdated to more regular fisheries assessments, but also causing mismatches in the advice given (e.g. Atlantic Bluefin tune assessments).</w:t>
            </w:r>
          </w:p>
          <w:p w14:paraId="62449F85" w14:textId="392092E9" w:rsidR="3C073BDC" w:rsidRPr="00515F18" w:rsidRDefault="3C073BDC" w:rsidP="00515F18">
            <w:pPr>
              <w:spacing w:after="120" w:line="240" w:lineRule="auto"/>
              <w:rPr>
                <w:rFonts w:eastAsia="Calibri" w:cstheme="minorHAnsi"/>
              </w:rPr>
            </w:pPr>
            <w:r w:rsidRPr="00515F18">
              <w:rPr>
                <w:rFonts w:eastAsia="Calibri" w:cstheme="minorHAnsi"/>
              </w:rPr>
              <w:t xml:space="preserve">The Red List Index indicator is therefore of limited use in describing the status of exploited fish stocks [looking at legal and sustainable species harvested], and is yet to run full clades of fisheries species amongst their non-fished taxonomic relatives, relatives that could skew the result from the purpose of this Post 2020 Target. This also means the Red List Index cannot presently offer a comprehensive species or spatial (geographic) coverage. </w:t>
            </w:r>
          </w:p>
          <w:p w14:paraId="2DBFD9DA" w14:textId="40192595" w:rsidR="3C073BDC" w:rsidRPr="00515F18" w:rsidRDefault="3C073BDC" w:rsidP="00515F18">
            <w:pPr>
              <w:spacing w:after="120" w:line="240" w:lineRule="auto"/>
              <w:rPr>
                <w:rFonts w:eastAsia="Calibri" w:cstheme="minorHAnsi"/>
              </w:rPr>
            </w:pPr>
            <w:r w:rsidRPr="00515F18">
              <w:rPr>
                <w:rFonts w:eastAsia="Calibri" w:cstheme="minorHAnsi"/>
              </w:rPr>
              <w:t xml:space="preserve">In order to avoid redundancy at best and conflicting results at worst, the FAO </w:t>
            </w:r>
            <w:hyperlink r:id="rId24">
              <w:r w:rsidRPr="00515F18">
                <w:rPr>
                  <w:rStyle w:val="Hyperlink"/>
                  <w:rFonts w:eastAsia="Calibri" w:cstheme="minorHAnsi"/>
                  <w:color w:val="0D6CAC"/>
                </w:rPr>
                <w:t>14.4.1 Fish stocks sustainability</w:t>
              </w:r>
            </w:hyperlink>
            <w:r w:rsidRPr="00515F18">
              <w:rPr>
                <w:rFonts w:eastAsia="Calibri" w:cstheme="minorHAnsi"/>
              </w:rPr>
              <w:t xml:space="preserve"> indicator should be used for Target 4.1. for marine fishes or fish otherwise impacted by fishing, and the Red List Index is not presently recommended as an indicator of the status of commercially exploited fish stocks.</w:t>
            </w:r>
          </w:p>
        </w:tc>
      </w:tr>
      <w:tr w:rsidR="001413BD" w:rsidRPr="00515F18" w14:paraId="2F81ACE8" w14:textId="77777777" w:rsidTr="00933B3B">
        <w:trPr>
          <w:trHeight w:val="134"/>
        </w:trPr>
        <w:tc>
          <w:tcPr>
            <w:tcW w:w="1441" w:type="dxa"/>
          </w:tcPr>
          <w:p w14:paraId="06016444" w14:textId="03F17E53" w:rsidR="001413BD" w:rsidRPr="00515F18" w:rsidRDefault="001413BD" w:rsidP="00515F18">
            <w:pPr>
              <w:spacing w:after="120" w:line="240" w:lineRule="auto"/>
              <w:rPr>
                <w:rFonts w:cstheme="minorHAnsi"/>
              </w:rPr>
            </w:pPr>
            <w:r w:rsidRPr="00515F18">
              <w:rPr>
                <w:rFonts w:cstheme="minorHAnsi"/>
              </w:rPr>
              <w:t>Table 3</w:t>
            </w:r>
            <w:r w:rsidR="00183CD6" w:rsidRPr="00515F18">
              <w:rPr>
                <w:rFonts w:cstheme="minorHAnsi"/>
              </w:rPr>
              <w:t xml:space="preserve"> </w:t>
            </w:r>
            <w:r w:rsidRPr="00515F18">
              <w:rPr>
                <w:rFonts w:cstheme="minorHAnsi"/>
              </w:rPr>
              <w:t xml:space="preserve">42-43 </w:t>
            </w:r>
          </w:p>
        </w:tc>
        <w:tc>
          <w:tcPr>
            <w:tcW w:w="13165" w:type="dxa"/>
          </w:tcPr>
          <w:p w14:paraId="7E70267E" w14:textId="2C6DF572" w:rsidR="001413BD" w:rsidRPr="00515F18" w:rsidRDefault="001413BD" w:rsidP="00515F18">
            <w:pPr>
              <w:spacing w:after="120" w:line="240" w:lineRule="auto"/>
              <w:rPr>
                <w:rFonts w:cstheme="minorHAnsi"/>
              </w:rPr>
            </w:pPr>
            <w:r w:rsidRPr="00515F18">
              <w:rPr>
                <w:rFonts w:cstheme="minorHAnsi"/>
              </w:rPr>
              <w:t>While the SDG Indicator 15.4.2 is mentioned in the document ‘Draft monitoring framework for the post-2020 global biodiversity framework for review’ (p.8, Table 2) as one of the Indicators to be used for monitoring the element ‘Trends in extent and rate of change of other terrestrial ecosystems’, it has not been included in the document ‘Indicators for the post-2020 global biodiversity framework’ (pp. 42-43)</w:t>
            </w:r>
          </w:p>
        </w:tc>
      </w:tr>
      <w:tr w:rsidR="00183CD6" w:rsidRPr="00515F18" w14:paraId="0F821B25" w14:textId="77777777" w:rsidTr="00933B3B">
        <w:trPr>
          <w:trHeight w:val="134"/>
        </w:trPr>
        <w:tc>
          <w:tcPr>
            <w:tcW w:w="1441" w:type="dxa"/>
          </w:tcPr>
          <w:p w14:paraId="555D94BA" w14:textId="424BB32A" w:rsidR="00183CD6" w:rsidRPr="00515F18" w:rsidRDefault="00183CD6" w:rsidP="00515F18">
            <w:pPr>
              <w:spacing w:after="120" w:line="240" w:lineRule="auto"/>
              <w:rPr>
                <w:rFonts w:cstheme="minorHAnsi"/>
              </w:rPr>
            </w:pPr>
            <w:r w:rsidRPr="00515F18">
              <w:rPr>
                <w:rFonts w:cstheme="minorHAnsi"/>
              </w:rPr>
              <w:t>GA 1 tree cover loss</w:t>
            </w:r>
          </w:p>
        </w:tc>
        <w:tc>
          <w:tcPr>
            <w:tcW w:w="13165" w:type="dxa"/>
          </w:tcPr>
          <w:p w14:paraId="021F8D73" w14:textId="7DEE3699" w:rsidR="00183CD6" w:rsidRPr="00515F18" w:rsidRDefault="00515F18" w:rsidP="00515F18">
            <w:pPr>
              <w:spacing w:after="120" w:line="240" w:lineRule="auto"/>
              <w:rPr>
                <w:rFonts w:cstheme="minorHAnsi"/>
              </w:rPr>
            </w:pPr>
            <w:r>
              <w:rPr>
                <w:rFonts w:eastAsia="Calibri" w:cstheme="minorHAnsi"/>
              </w:rPr>
              <w:t>T</w:t>
            </w:r>
            <w:r w:rsidR="00183CD6" w:rsidRPr="00515F18">
              <w:rPr>
                <w:rFonts w:eastAsia="Calibri" w:cstheme="minorHAnsi"/>
              </w:rPr>
              <w:t>here is no existing global definition for tree cover and the estimate derived using different remote sensing data sources can be very different. Suggest dropping tree cover.</w:t>
            </w:r>
          </w:p>
        </w:tc>
      </w:tr>
      <w:tr w:rsidR="00183CD6" w:rsidRPr="00515F18" w14:paraId="06D7C375" w14:textId="77777777" w:rsidTr="00933B3B">
        <w:trPr>
          <w:trHeight w:val="134"/>
        </w:trPr>
        <w:tc>
          <w:tcPr>
            <w:tcW w:w="1441" w:type="dxa"/>
          </w:tcPr>
          <w:p w14:paraId="3EC07E24" w14:textId="18D3BEE6" w:rsidR="00183CD6" w:rsidRPr="00515F18" w:rsidRDefault="00183CD6" w:rsidP="00515F18">
            <w:pPr>
              <w:spacing w:after="120" w:line="240" w:lineRule="auto"/>
              <w:rPr>
                <w:rFonts w:cstheme="minorHAnsi"/>
              </w:rPr>
            </w:pPr>
            <w:r w:rsidRPr="00515F18">
              <w:rPr>
                <w:rFonts w:cstheme="minorHAnsi"/>
              </w:rPr>
              <w:t>Continuous Global Mangrove Forest Cover</w:t>
            </w:r>
          </w:p>
        </w:tc>
        <w:tc>
          <w:tcPr>
            <w:tcW w:w="13165" w:type="dxa"/>
          </w:tcPr>
          <w:p w14:paraId="51A8B734" w14:textId="306D2319" w:rsidR="00FC3D91" w:rsidRPr="00515F18" w:rsidRDefault="00183CD6" w:rsidP="00515F18">
            <w:pPr>
              <w:spacing w:after="120" w:line="240" w:lineRule="auto"/>
              <w:rPr>
                <w:rFonts w:eastAsia="Calibri" w:cstheme="minorHAnsi"/>
                <w:b/>
                <w:bCs/>
                <w:color w:val="005274"/>
              </w:rPr>
            </w:pPr>
            <w:r w:rsidRPr="00515F18">
              <w:rPr>
                <w:rFonts w:eastAsia="Calibri" w:cstheme="minorHAnsi"/>
              </w:rPr>
              <w:t xml:space="preserve">Mangrove cover – the suggested indicator refers to a product derived as part of a scientific paper </w:t>
            </w:r>
            <w:hyperlink r:id="rId25" w:history="1">
              <w:r w:rsidRPr="00515F18">
                <w:rPr>
                  <w:rStyle w:val="Hyperlink"/>
                  <w:rFonts w:eastAsia="Calibri" w:cstheme="minorHAnsi"/>
                  <w:b/>
                  <w:bCs/>
                  <w:color w:val="005274"/>
                </w:rPr>
                <w:t>https://doi.org/10.1111/geb.12449</w:t>
              </w:r>
            </w:hyperlink>
            <w:r w:rsidRPr="00515F18">
              <w:rPr>
                <w:rFonts w:eastAsia="Calibri" w:cstheme="minorHAnsi"/>
                <w:b/>
                <w:bCs/>
                <w:color w:val="005274"/>
              </w:rPr>
              <w:t xml:space="preserve"> .  </w:t>
            </w:r>
          </w:p>
          <w:p w14:paraId="79B3EEA9" w14:textId="3DDFE6DE" w:rsidR="00183CD6" w:rsidRPr="00515F18" w:rsidRDefault="00183CD6" w:rsidP="00515F18">
            <w:pPr>
              <w:spacing w:after="120" w:line="240" w:lineRule="auto"/>
              <w:rPr>
                <w:rFonts w:eastAsia="Calibri" w:cstheme="minorHAnsi"/>
              </w:rPr>
            </w:pPr>
            <w:r w:rsidRPr="00515F18">
              <w:rPr>
                <w:rFonts w:eastAsia="Calibri" w:cstheme="minorHAnsi"/>
              </w:rPr>
              <w:t>The name is not suitable for the indicator and the suitability of the product for long term monitoring is questionable as there seems to be no commitment for continuous updates. A better indicator could be e.g. Annual mangrove area change rate</w:t>
            </w:r>
          </w:p>
        </w:tc>
      </w:tr>
      <w:tr w:rsidR="00183CD6" w:rsidRPr="00515F18" w14:paraId="59119178" w14:textId="77777777" w:rsidTr="00933B3B">
        <w:trPr>
          <w:trHeight w:val="134"/>
        </w:trPr>
        <w:tc>
          <w:tcPr>
            <w:tcW w:w="1441" w:type="dxa"/>
          </w:tcPr>
          <w:p w14:paraId="332D04B7" w14:textId="2AC9B980" w:rsidR="00183CD6" w:rsidRPr="00515F18" w:rsidRDefault="00183CD6" w:rsidP="00515F18">
            <w:pPr>
              <w:spacing w:after="120" w:line="240" w:lineRule="auto"/>
              <w:rPr>
                <w:rFonts w:cstheme="minorHAnsi"/>
              </w:rPr>
            </w:pPr>
            <w:r w:rsidRPr="00515F18">
              <w:rPr>
                <w:rFonts w:cstheme="minorHAnsi"/>
              </w:rPr>
              <w:t>Global Ecosystem Restoration Index</w:t>
            </w:r>
          </w:p>
        </w:tc>
        <w:tc>
          <w:tcPr>
            <w:tcW w:w="13165" w:type="dxa"/>
          </w:tcPr>
          <w:p w14:paraId="3A4B26B1" w14:textId="77777777" w:rsidR="00183CD6" w:rsidRPr="00515F18" w:rsidRDefault="00183CD6" w:rsidP="00515F18">
            <w:pPr>
              <w:spacing w:after="120" w:line="240" w:lineRule="auto"/>
              <w:rPr>
                <w:rFonts w:eastAsia="Calibri" w:cstheme="minorHAnsi"/>
              </w:rPr>
            </w:pPr>
            <w:r w:rsidRPr="00515F18">
              <w:rPr>
                <w:rFonts w:eastAsia="Calibri" w:cstheme="minorHAnsi"/>
                <w:color w:val="000000" w:themeColor="text1"/>
              </w:rPr>
              <w:t xml:space="preserve">FRA is currently assessing the sensibility to include forest restoration pledges and implementation in the future reporting. </w:t>
            </w:r>
            <w:r w:rsidRPr="00515F18">
              <w:rPr>
                <w:rFonts w:eastAsia="Calibri" w:cstheme="minorHAnsi"/>
              </w:rPr>
              <w:t xml:space="preserve">On GERI, it could be advisable to link this part to the LDN indicators which includes similar components as compared to GERI.  </w:t>
            </w:r>
          </w:p>
          <w:p w14:paraId="611AB7FF" w14:textId="0AC3B4E2" w:rsidR="00183CD6" w:rsidRPr="00515F18" w:rsidRDefault="00183CD6" w:rsidP="00515F18">
            <w:pPr>
              <w:spacing w:after="120" w:line="240" w:lineRule="auto"/>
              <w:rPr>
                <w:rFonts w:eastAsia="Calibri" w:cstheme="minorHAnsi"/>
              </w:rPr>
            </w:pPr>
            <w:r w:rsidRPr="00515F18">
              <w:rPr>
                <w:rFonts w:eastAsia="Calibri" w:cstheme="minorHAnsi"/>
                <w:color w:val="000000" w:themeColor="text1"/>
              </w:rPr>
              <w:t>It also remains unclear how well GERI can track restoration. Furthermore, its land cover component tracks specifically transition from and to forests. This raises questions how well other non-forest restoration efforts are accounted for</w:t>
            </w:r>
          </w:p>
        </w:tc>
      </w:tr>
      <w:tr w:rsidR="00183CD6" w:rsidRPr="00515F18" w14:paraId="4FE3F39A" w14:textId="77777777" w:rsidTr="00933B3B">
        <w:trPr>
          <w:trHeight w:val="134"/>
        </w:trPr>
        <w:tc>
          <w:tcPr>
            <w:tcW w:w="1441" w:type="dxa"/>
          </w:tcPr>
          <w:p w14:paraId="3BC1365F" w14:textId="0CB52978" w:rsidR="00183CD6" w:rsidRPr="00515F18" w:rsidRDefault="00183CD6" w:rsidP="00515F18">
            <w:pPr>
              <w:spacing w:after="120" w:line="240" w:lineRule="auto"/>
              <w:rPr>
                <w:rFonts w:cstheme="minorHAnsi"/>
              </w:rPr>
            </w:pPr>
            <w:r w:rsidRPr="00515F18">
              <w:rPr>
                <w:rFonts w:cstheme="minorHAnsi"/>
              </w:rPr>
              <w:t>connectivity</w:t>
            </w:r>
          </w:p>
        </w:tc>
        <w:tc>
          <w:tcPr>
            <w:tcW w:w="13165" w:type="dxa"/>
          </w:tcPr>
          <w:p w14:paraId="45D174EF" w14:textId="77777777" w:rsidR="00183CD6" w:rsidRPr="00515F18" w:rsidRDefault="00183CD6" w:rsidP="00515F18">
            <w:pPr>
              <w:spacing w:after="120" w:line="240" w:lineRule="auto"/>
              <w:rPr>
                <w:rFonts w:cstheme="minorHAnsi"/>
              </w:rPr>
            </w:pPr>
            <w:r w:rsidRPr="00515F18">
              <w:rPr>
                <w:rFonts w:cstheme="minorHAnsi"/>
              </w:rPr>
              <w:t xml:space="preserve">For SOFO, FAO used </w:t>
            </w:r>
            <w:r w:rsidRPr="00515F18">
              <w:rPr>
                <w:rFonts w:cstheme="minorHAnsi"/>
                <w:color w:val="000000" w:themeColor="text1"/>
              </w:rPr>
              <w:t>Fo</w:t>
            </w:r>
            <w:r w:rsidRPr="00515F18">
              <w:rPr>
                <w:rFonts w:eastAsia="Calibri" w:cstheme="minorHAnsi"/>
                <w:i/>
                <w:iCs/>
                <w:color w:val="000000" w:themeColor="text1"/>
              </w:rPr>
              <w:t xml:space="preserve"> forest area density index and average forest forest patch size: </w:t>
            </w:r>
            <w:hyperlink r:id="rId26" w:history="1">
              <w:r w:rsidRPr="00515F18">
                <w:rPr>
                  <w:rStyle w:val="Hyperlink"/>
                  <w:rFonts w:eastAsia="Calibri" w:cstheme="minorHAnsi"/>
                  <w:color w:val="0563C1"/>
                </w:rPr>
                <w:t>https://publications.jrc.ec.europa.eu/repository/bitstream/JRC118594/technicalreport_fao_frag.pdf</w:t>
              </w:r>
            </w:hyperlink>
            <w:r w:rsidRPr="00515F18">
              <w:rPr>
                <w:rFonts w:cstheme="minorHAnsi"/>
              </w:rPr>
              <w:t>.</w:t>
            </w:r>
          </w:p>
          <w:p w14:paraId="7E4FA117" w14:textId="20B1781E" w:rsidR="00183CD6" w:rsidRPr="00515F18" w:rsidRDefault="00183CD6" w:rsidP="00515F18">
            <w:pPr>
              <w:spacing w:after="120" w:line="240" w:lineRule="auto"/>
              <w:rPr>
                <w:rFonts w:eastAsia="Calibri" w:cstheme="minorHAnsi"/>
                <w:color w:val="000000" w:themeColor="text1"/>
              </w:rPr>
            </w:pPr>
            <w:r w:rsidRPr="00515F18">
              <w:rPr>
                <w:rFonts w:eastAsia="Calibri" w:cstheme="minorHAnsi"/>
              </w:rPr>
              <w:t>In principle, this sounds like an informative indicator, but assessing ecosystem connectivity sounds like a complicated task. Maybe better to divide that into sub-indicators and include one for forestry and select a baseline product to be used in the spatial pattern analysis. However, the challenges related to the discrepancy of different remote sensing products holds true for this indicator as well.</w:t>
            </w:r>
          </w:p>
        </w:tc>
      </w:tr>
      <w:tr w:rsidR="00183CD6" w:rsidRPr="00515F18" w14:paraId="4E30A2AA" w14:textId="77777777" w:rsidTr="00933B3B">
        <w:trPr>
          <w:trHeight w:val="134"/>
        </w:trPr>
        <w:tc>
          <w:tcPr>
            <w:tcW w:w="1441" w:type="dxa"/>
          </w:tcPr>
          <w:p w14:paraId="1974B5D5" w14:textId="64DCC9D6" w:rsidR="00183CD6" w:rsidRPr="00515F18" w:rsidRDefault="00183CD6" w:rsidP="00515F18">
            <w:pPr>
              <w:autoSpaceDE w:val="0"/>
              <w:autoSpaceDN w:val="0"/>
              <w:adjustRightInd w:val="0"/>
              <w:spacing w:after="120" w:line="240" w:lineRule="auto"/>
              <w:rPr>
                <w:rFonts w:cstheme="minorHAnsi"/>
              </w:rPr>
            </w:pPr>
            <w:r w:rsidRPr="00515F18">
              <w:rPr>
                <w:rFonts w:cstheme="minorHAnsi"/>
                <w:lang w:val="en-US"/>
              </w:rPr>
              <w:t>Number of certified forest areas under sustainable management</w:t>
            </w:r>
            <w:r w:rsidR="00515F18">
              <w:rPr>
                <w:rFonts w:cstheme="minorHAnsi"/>
                <w:lang w:val="en-US"/>
              </w:rPr>
              <w:t xml:space="preserve"> </w:t>
            </w:r>
            <w:r w:rsidRPr="00515F18">
              <w:rPr>
                <w:rFonts w:cstheme="minorHAnsi"/>
                <w:lang w:val="en-US"/>
              </w:rPr>
              <w:t>with verified impacts on biodiversity conservation</w:t>
            </w:r>
          </w:p>
        </w:tc>
        <w:tc>
          <w:tcPr>
            <w:tcW w:w="13165" w:type="dxa"/>
          </w:tcPr>
          <w:p w14:paraId="2D707476" w14:textId="07F2BFF3" w:rsidR="00183CD6" w:rsidRPr="00515F18" w:rsidRDefault="00183CD6" w:rsidP="00515F18">
            <w:pPr>
              <w:spacing w:after="120" w:line="240" w:lineRule="auto"/>
              <w:rPr>
                <w:rFonts w:cstheme="minorHAnsi"/>
              </w:rPr>
            </w:pPr>
            <w:r w:rsidRPr="00515F18">
              <w:rPr>
                <w:rFonts w:eastAsia="Calibri" w:cstheme="minorHAnsi"/>
                <w:b/>
                <w:bCs/>
                <w:color w:val="000000" w:themeColor="text1"/>
              </w:rPr>
              <w:t>The proposed indicator should thus use the SDG 15.2.1 indicator</w:t>
            </w:r>
            <w:r w:rsidRPr="00515F18">
              <w:rPr>
                <w:rFonts w:eastAsia="Calibri" w:cstheme="minorHAnsi"/>
                <w:color w:val="000000" w:themeColor="text1"/>
              </w:rPr>
              <w:t xml:space="preserve"> which also takes into account other aspects, such as forest area change rate, AGB, forest management plans and protection.</w:t>
            </w:r>
          </w:p>
        </w:tc>
      </w:tr>
      <w:tr w:rsidR="00183CD6" w:rsidRPr="00515F18" w14:paraId="6A275D10" w14:textId="77777777" w:rsidTr="00933B3B">
        <w:trPr>
          <w:trHeight w:val="134"/>
        </w:trPr>
        <w:tc>
          <w:tcPr>
            <w:tcW w:w="1441" w:type="dxa"/>
          </w:tcPr>
          <w:p w14:paraId="2C8C82AD" w14:textId="454DCBD8" w:rsidR="00183CD6" w:rsidRPr="00515F18" w:rsidRDefault="00183CD6" w:rsidP="00515F18">
            <w:pPr>
              <w:autoSpaceDE w:val="0"/>
              <w:autoSpaceDN w:val="0"/>
              <w:adjustRightInd w:val="0"/>
              <w:spacing w:after="120" w:line="240" w:lineRule="auto"/>
              <w:rPr>
                <w:rFonts w:cstheme="minorHAnsi"/>
              </w:rPr>
            </w:pPr>
            <w:r w:rsidRPr="00515F18">
              <w:rPr>
                <w:rFonts w:cstheme="minorHAnsi"/>
                <w:lang w:val="en-US"/>
              </w:rPr>
              <w:t>Protected Area Coverage of Key</w:t>
            </w:r>
            <w:r w:rsidR="00515F18">
              <w:rPr>
                <w:rFonts w:cstheme="minorHAnsi"/>
                <w:lang w:val="en-US"/>
              </w:rPr>
              <w:t xml:space="preserve"> </w:t>
            </w:r>
            <w:r w:rsidRPr="00515F18">
              <w:rPr>
                <w:rFonts w:cstheme="minorHAnsi"/>
                <w:lang w:val="en-US"/>
              </w:rPr>
              <w:t>Biodiversity Areas.</w:t>
            </w:r>
          </w:p>
        </w:tc>
        <w:tc>
          <w:tcPr>
            <w:tcW w:w="13165" w:type="dxa"/>
          </w:tcPr>
          <w:p w14:paraId="257DE783" w14:textId="7B4ADCF2" w:rsidR="00183CD6" w:rsidRPr="00515F18" w:rsidRDefault="00183CD6" w:rsidP="00515F18">
            <w:pPr>
              <w:spacing w:after="120" w:line="240" w:lineRule="auto"/>
              <w:rPr>
                <w:rFonts w:cstheme="minorHAnsi"/>
              </w:rPr>
            </w:pPr>
            <w:r w:rsidRPr="00515F18">
              <w:rPr>
                <w:rFonts w:eastAsia="Calibri" w:cstheme="minorHAnsi"/>
              </w:rPr>
              <w:t>Second target element: There are some challenges to using KBAs, such as 1) a perception that they too prescriptive and too much work to identify and record, and 2) the inventory is currently very incomplete. There is no common definition for “strict protection” and hence this is not easy to measure and monitor. Measuring strict protection based on the IUCN management categories in the WDPA would pose many problems</w:t>
            </w:r>
          </w:p>
        </w:tc>
      </w:tr>
      <w:tr w:rsidR="00183CD6" w:rsidRPr="00515F18" w14:paraId="7921AB36" w14:textId="77777777" w:rsidTr="00933B3B">
        <w:trPr>
          <w:trHeight w:val="134"/>
        </w:trPr>
        <w:tc>
          <w:tcPr>
            <w:tcW w:w="1441" w:type="dxa"/>
          </w:tcPr>
          <w:p w14:paraId="36162320" w14:textId="2838E519" w:rsidR="00183CD6" w:rsidRPr="00515F18" w:rsidRDefault="00183CD6" w:rsidP="00515F18">
            <w:pPr>
              <w:autoSpaceDE w:val="0"/>
              <w:autoSpaceDN w:val="0"/>
              <w:adjustRightInd w:val="0"/>
              <w:spacing w:after="120" w:line="240" w:lineRule="auto"/>
              <w:rPr>
                <w:rFonts w:cstheme="minorHAnsi"/>
              </w:rPr>
            </w:pPr>
            <w:r w:rsidRPr="00515F18">
              <w:rPr>
                <w:rFonts w:cstheme="minorHAnsi"/>
                <w:lang w:val="en-US"/>
              </w:rPr>
              <w:t>Proportion of important sites for terrestrial and freshwater biodiversity that are covered by protected areas, by ecosystem type</w:t>
            </w:r>
          </w:p>
        </w:tc>
        <w:tc>
          <w:tcPr>
            <w:tcW w:w="13165" w:type="dxa"/>
          </w:tcPr>
          <w:p w14:paraId="56647679" w14:textId="68F86F60" w:rsidR="00183CD6" w:rsidRPr="00515F18" w:rsidRDefault="00183CD6" w:rsidP="00515F18">
            <w:pPr>
              <w:spacing w:after="120" w:line="240" w:lineRule="auto"/>
              <w:rPr>
                <w:rFonts w:eastAsia="Calibri" w:cstheme="minorHAnsi"/>
              </w:rPr>
            </w:pPr>
            <w:r w:rsidRPr="00515F18">
              <w:rPr>
                <w:rFonts w:eastAsia="Calibri" w:cstheme="minorHAnsi"/>
              </w:rPr>
              <w:t xml:space="preserve">Proportion of forests managed for soil and water conservation as a key objective (FRA </w:t>
            </w:r>
            <w:r w:rsidR="72B9A061" w:rsidRPr="00515F18">
              <w:rPr>
                <w:rFonts w:eastAsia="Calibri" w:cstheme="minorHAnsi"/>
              </w:rPr>
              <w:t>indicator</w:t>
            </w:r>
            <w:r w:rsidRPr="00515F18">
              <w:rPr>
                <w:rFonts w:eastAsia="Calibri" w:cstheme="minorHAnsi"/>
              </w:rPr>
              <w:t>)</w:t>
            </w:r>
          </w:p>
          <w:p w14:paraId="0A4E4E62" w14:textId="489516D1" w:rsidR="00183CD6" w:rsidRPr="00515F18" w:rsidRDefault="00183CD6" w:rsidP="00515F18">
            <w:pPr>
              <w:spacing w:after="120" w:line="240" w:lineRule="auto"/>
              <w:rPr>
                <w:rFonts w:cstheme="minorHAnsi"/>
              </w:rPr>
            </w:pPr>
            <w:r w:rsidRPr="00515F18">
              <w:rPr>
                <w:rFonts w:eastAsia="Roboto" w:cstheme="minorHAnsi"/>
              </w:rPr>
              <w:t xml:space="preserve">Change in proportion of tree cover within (major global) watersheds over time </w:t>
            </w:r>
          </w:p>
        </w:tc>
      </w:tr>
      <w:tr w:rsidR="00183CD6" w:rsidRPr="00515F18" w14:paraId="2C869342" w14:textId="77777777" w:rsidTr="00933B3B">
        <w:trPr>
          <w:trHeight w:val="134"/>
        </w:trPr>
        <w:tc>
          <w:tcPr>
            <w:tcW w:w="1441" w:type="dxa"/>
          </w:tcPr>
          <w:p w14:paraId="1589FFA9" w14:textId="285F0A3A" w:rsidR="00183CD6" w:rsidRPr="00515F18" w:rsidRDefault="00183CD6" w:rsidP="00515F18">
            <w:pPr>
              <w:autoSpaceDE w:val="0"/>
              <w:autoSpaceDN w:val="0"/>
              <w:adjustRightInd w:val="0"/>
              <w:spacing w:after="120" w:line="240" w:lineRule="auto"/>
              <w:rPr>
                <w:rFonts w:cstheme="minorHAnsi"/>
              </w:rPr>
            </w:pPr>
            <w:r w:rsidRPr="00515F18">
              <w:rPr>
                <w:rFonts w:cstheme="minorHAnsi"/>
                <w:lang w:val="en-US"/>
              </w:rPr>
              <w:t>Living Planet Index (LPI) for utilized species</w:t>
            </w:r>
          </w:p>
        </w:tc>
        <w:tc>
          <w:tcPr>
            <w:tcW w:w="13165" w:type="dxa"/>
          </w:tcPr>
          <w:p w14:paraId="6A21C4C4" w14:textId="54D6AFF9" w:rsidR="00183CD6" w:rsidRPr="00515F18" w:rsidRDefault="00183CD6" w:rsidP="00515F18">
            <w:pPr>
              <w:spacing w:after="120" w:line="240" w:lineRule="auto"/>
              <w:rPr>
                <w:rFonts w:cstheme="minorHAnsi"/>
              </w:rPr>
            </w:pPr>
            <w:r w:rsidRPr="00515F18">
              <w:rPr>
                <w:rFonts w:cstheme="minorHAnsi"/>
              </w:rPr>
              <w:t>What does ‘used species’</w:t>
            </w:r>
            <w:r w:rsidR="00FC3D91" w:rsidRPr="00515F18">
              <w:rPr>
                <w:rFonts w:cstheme="minorHAnsi"/>
              </w:rPr>
              <w:t xml:space="preserve"> </w:t>
            </w:r>
            <w:r w:rsidRPr="00515F18">
              <w:rPr>
                <w:rFonts w:cstheme="minorHAnsi"/>
              </w:rPr>
              <w:t>mean and how i</w:t>
            </w:r>
            <w:r w:rsidR="00FC3D91" w:rsidRPr="00515F18">
              <w:rPr>
                <w:rFonts w:cstheme="minorHAnsi"/>
              </w:rPr>
              <w:t>s it different from genetic res</w:t>
            </w:r>
            <w:r w:rsidRPr="00515F18">
              <w:rPr>
                <w:rFonts w:cstheme="minorHAnsi"/>
              </w:rPr>
              <w:t>ources for food and agriculture?</w:t>
            </w:r>
            <w:r w:rsidRPr="00515F18">
              <w:rPr>
                <w:rFonts w:cstheme="minorHAnsi"/>
              </w:rPr>
              <w:br/>
            </w:r>
            <w:r w:rsidRPr="00515F18">
              <w:rPr>
                <w:rFonts w:eastAsia="Calibri" w:cstheme="minorHAnsi"/>
              </w:rPr>
              <w:t>Living Planet Index only tracks vertebrates fr</w:t>
            </w:r>
            <w:r w:rsidRPr="00515F18">
              <w:rPr>
                <w:rFonts w:eastAsia="Calibri" w:cstheme="minorHAnsi"/>
                <w:color w:val="000000" w:themeColor="text1"/>
              </w:rPr>
              <w:t>om terrestrial, freshwater and marine habitats,</w:t>
            </w:r>
            <w:r w:rsidRPr="00515F18">
              <w:rPr>
                <w:rFonts w:eastAsia="Calibri" w:cstheme="minorHAnsi"/>
              </w:rPr>
              <w:t xml:space="preserve"> what about other species? Note: some of the indicators do not exist for the marine environment </w:t>
            </w:r>
          </w:p>
        </w:tc>
      </w:tr>
      <w:tr w:rsidR="00183CD6" w:rsidRPr="00515F18" w14:paraId="14A57492" w14:textId="77777777" w:rsidTr="00933B3B">
        <w:trPr>
          <w:trHeight w:val="134"/>
        </w:trPr>
        <w:tc>
          <w:tcPr>
            <w:tcW w:w="1441" w:type="dxa"/>
          </w:tcPr>
          <w:p w14:paraId="0DCD3649" w14:textId="7A974221" w:rsidR="00183CD6" w:rsidRPr="00515F18" w:rsidRDefault="00183CD6" w:rsidP="00515F18">
            <w:pPr>
              <w:autoSpaceDE w:val="0"/>
              <w:autoSpaceDN w:val="0"/>
              <w:adjustRightInd w:val="0"/>
              <w:spacing w:after="120" w:line="240" w:lineRule="auto"/>
              <w:rPr>
                <w:rFonts w:cstheme="minorHAnsi"/>
              </w:rPr>
            </w:pPr>
            <w:r w:rsidRPr="00515F18">
              <w:rPr>
                <w:rFonts w:cstheme="minorHAnsi"/>
                <w:lang w:val="en-US"/>
              </w:rPr>
              <w:t>Trends in proportion of biological resources used legally</w:t>
            </w:r>
          </w:p>
        </w:tc>
        <w:tc>
          <w:tcPr>
            <w:tcW w:w="13165" w:type="dxa"/>
          </w:tcPr>
          <w:p w14:paraId="26E0E423" w14:textId="77777777" w:rsidR="00183CD6" w:rsidRPr="00515F18" w:rsidRDefault="00183CD6" w:rsidP="00515F18">
            <w:pPr>
              <w:pStyle w:val="Heading2"/>
              <w:spacing w:before="0"/>
              <w:jc w:val="left"/>
              <w:rPr>
                <w:rFonts w:asciiTheme="minorHAnsi" w:hAnsiTheme="minorHAnsi" w:cstheme="minorHAnsi"/>
                <w:b w:val="0"/>
                <w:iCs w:val="0"/>
                <w:color w:val="000000" w:themeColor="text1"/>
                <w:szCs w:val="22"/>
              </w:rPr>
            </w:pPr>
            <w:r w:rsidRPr="00515F18">
              <w:rPr>
                <w:rFonts w:asciiTheme="minorHAnsi" w:hAnsiTheme="minorHAnsi" w:cstheme="minorHAnsi"/>
                <w:b w:val="0"/>
                <w:iCs w:val="0"/>
                <w:color w:val="000000" w:themeColor="text1"/>
                <w:szCs w:val="22"/>
              </w:rPr>
              <w:t>Progress by countries in adopting and implementing the CBD Voluntary guidance for sustainable wild meat sector (CBD Decision 14/7)</w:t>
            </w:r>
          </w:p>
          <w:p w14:paraId="531B5E34" w14:textId="77777777" w:rsidR="00183CD6" w:rsidRPr="00515F18" w:rsidRDefault="00183CD6" w:rsidP="00515F18">
            <w:pPr>
              <w:spacing w:after="120" w:line="240" w:lineRule="auto"/>
              <w:rPr>
                <w:rFonts w:cstheme="minorHAnsi"/>
              </w:rPr>
            </w:pPr>
            <w:r w:rsidRPr="00515F18">
              <w:rPr>
                <w:rFonts w:cstheme="minorHAnsi"/>
              </w:rPr>
              <w:t>Database WILDMEAT (under development) can populate the data for MBMI and OPI. This d</w:t>
            </w:r>
            <w:r w:rsidRPr="00515F18">
              <w:rPr>
                <w:rFonts w:cstheme="minorHAnsi"/>
                <w:color w:val="000000" w:themeColor="text1"/>
              </w:rPr>
              <w:t>atabase holds data on wild meat consumption, hunting offtakes and market sales within one database and in one standardised format</w:t>
            </w:r>
          </w:p>
          <w:p w14:paraId="14A83928" w14:textId="46D9A6CD" w:rsidR="00183CD6" w:rsidRPr="00515F18" w:rsidRDefault="00183CD6" w:rsidP="00515F18">
            <w:pPr>
              <w:spacing w:after="120" w:line="240" w:lineRule="auto"/>
              <w:rPr>
                <w:rFonts w:cstheme="minorHAnsi"/>
                <w:lang w:val="en-GB"/>
              </w:rPr>
            </w:pPr>
          </w:p>
        </w:tc>
      </w:tr>
      <w:tr w:rsidR="00183CD6" w:rsidRPr="00515F18" w14:paraId="405D1D03" w14:textId="77777777" w:rsidTr="00933B3B">
        <w:trPr>
          <w:trHeight w:val="134"/>
        </w:trPr>
        <w:tc>
          <w:tcPr>
            <w:tcW w:w="1441" w:type="dxa"/>
          </w:tcPr>
          <w:p w14:paraId="634EE804" w14:textId="764C19AF" w:rsidR="00183CD6" w:rsidRPr="00515F18" w:rsidRDefault="00183CD6" w:rsidP="00515F18">
            <w:pPr>
              <w:autoSpaceDE w:val="0"/>
              <w:autoSpaceDN w:val="0"/>
              <w:adjustRightInd w:val="0"/>
              <w:spacing w:after="120" w:line="240" w:lineRule="auto"/>
              <w:rPr>
                <w:rFonts w:cstheme="minorHAnsi"/>
              </w:rPr>
            </w:pPr>
            <w:r w:rsidRPr="00515F18">
              <w:rPr>
                <w:rFonts w:cstheme="minorHAnsi"/>
                <w:lang w:val="en-US"/>
              </w:rPr>
              <w:t>Trends in development</w:t>
            </w:r>
            <w:r w:rsidR="00FC3D91" w:rsidRPr="00515F18">
              <w:rPr>
                <w:rFonts w:cstheme="minorHAnsi"/>
                <w:lang w:val="en-US"/>
              </w:rPr>
              <w:t xml:space="preserve"> </w:t>
            </w:r>
            <w:r w:rsidRPr="00515F18">
              <w:rPr>
                <w:rFonts w:cstheme="minorHAnsi"/>
                <w:lang w:val="en-US"/>
              </w:rPr>
              <w:t>of control</w:t>
            </w:r>
            <w:r w:rsidR="00FC3D91" w:rsidRPr="00515F18">
              <w:rPr>
                <w:rFonts w:cstheme="minorHAnsi"/>
                <w:lang w:val="en-US"/>
              </w:rPr>
              <w:t xml:space="preserve"> </w:t>
            </w:r>
            <w:r w:rsidRPr="00515F18">
              <w:rPr>
                <w:rFonts w:cstheme="minorHAnsi"/>
                <w:lang w:val="en-US"/>
              </w:rPr>
              <w:t>and</w:t>
            </w:r>
            <w:r w:rsidR="00FC3D91" w:rsidRPr="00515F18">
              <w:rPr>
                <w:rFonts w:cstheme="minorHAnsi"/>
                <w:lang w:val="en-US"/>
              </w:rPr>
              <w:t xml:space="preserve"> </w:t>
            </w:r>
            <w:r w:rsidRPr="00515F18">
              <w:rPr>
                <w:rFonts w:cstheme="minorHAnsi"/>
                <w:lang w:val="en-US"/>
              </w:rPr>
              <w:t>management measures</w:t>
            </w:r>
            <w:r w:rsidR="79F80A51" w:rsidRPr="00515F18">
              <w:rPr>
                <w:rFonts w:cstheme="minorHAnsi"/>
                <w:lang w:val="en-US"/>
              </w:rPr>
              <w:t xml:space="preserve"> </w:t>
            </w:r>
            <w:r w:rsidRPr="00515F18">
              <w:rPr>
                <w:rFonts w:cstheme="minorHAnsi"/>
                <w:lang w:val="en-US"/>
              </w:rPr>
              <w:t>for pathways</w:t>
            </w:r>
            <w:r w:rsidR="00FC3D91" w:rsidRPr="00515F18">
              <w:rPr>
                <w:rFonts w:cstheme="minorHAnsi"/>
                <w:lang w:val="en-US"/>
              </w:rPr>
              <w:t xml:space="preserve"> </w:t>
            </w:r>
            <w:r w:rsidRPr="00515F18">
              <w:rPr>
                <w:rFonts w:cstheme="minorHAnsi"/>
                <w:lang w:val="en-US"/>
              </w:rPr>
              <w:t>for</w:t>
            </w:r>
            <w:r w:rsidR="00FC3D91" w:rsidRPr="00515F18">
              <w:rPr>
                <w:rFonts w:cstheme="minorHAnsi"/>
                <w:lang w:val="en-US"/>
              </w:rPr>
              <w:t xml:space="preserve"> </w:t>
            </w:r>
            <w:r w:rsidRPr="00515F18">
              <w:rPr>
                <w:rFonts w:cstheme="minorHAnsi"/>
                <w:lang w:val="en-US"/>
              </w:rPr>
              <w:t>introduction</w:t>
            </w:r>
          </w:p>
        </w:tc>
        <w:tc>
          <w:tcPr>
            <w:tcW w:w="13165" w:type="dxa"/>
          </w:tcPr>
          <w:p w14:paraId="7179CE63" w14:textId="77777777" w:rsidR="00183CD6" w:rsidRPr="00575934" w:rsidRDefault="00183CD6" w:rsidP="00515F18">
            <w:pPr>
              <w:pStyle w:val="Heading2"/>
              <w:spacing w:before="0"/>
              <w:jc w:val="left"/>
              <w:rPr>
                <w:rFonts w:asciiTheme="minorHAnsi" w:eastAsia="Calibri" w:hAnsiTheme="minorHAnsi" w:cstheme="minorHAnsi"/>
                <w:b w:val="0"/>
                <w:szCs w:val="22"/>
              </w:rPr>
            </w:pPr>
            <w:r w:rsidRPr="00575934">
              <w:rPr>
                <w:rFonts w:asciiTheme="minorHAnsi" w:eastAsia="Calibri" w:hAnsiTheme="minorHAnsi" w:cstheme="minorHAnsi"/>
                <w:b w:val="0"/>
                <w:szCs w:val="22"/>
              </w:rPr>
              <w:t>The indicator on the number of IAS introduction events is not measurable. It could be revised to “Number of IAS introduction events associated with specific pathways</w:t>
            </w:r>
          </w:p>
          <w:p w14:paraId="6527BBD1" w14:textId="0E4C928C" w:rsidR="00183CD6" w:rsidRPr="00575934" w:rsidRDefault="00183CD6" w:rsidP="00515F18">
            <w:pPr>
              <w:spacing w:after="120" w:line="240" w:lineRule="auto"/>
              <w:rPr>
                <w:rFonts w:cstheme="minorHAnsi"/>
                <w:lang w:val="en-GB"/>
              </w:rPr>
            </w:pPr>
            <w:r w:rsidRPr="00575934">
              <w:rPr>
                <w:rFonts w:eastAsia="Times New Roman" w:cstheme="minorHAnsi"/>
                <w:color w:val="000000" w:themeColor="text1"/>
              </w:rPr>
              <w:t>The role of IPPC should be emphasized (e.g. implementation of ISPMs) as the instrument that helps preserve biodiversity by protecting plants from pests and diseases. While the CBD addresses biodiversity and the environment in general, the IPPC specifically concentrates on IAS that are pests of plants and provides guidance for protection against them. Specifically, IPPC concentrates on control, eradication and measures to manage pathways to prevent the introduction and establishment of invasive alien species (IAS</w:t>
            </w:r>
          </w:p>
        </w:tc>
      </w:tr>
      <w:tr w:rsidR="00183CD6" w:rsidRPr="00515F18" w14:paraId="02C34280" w14:textId="77777777" w:rsidTr="00933B3B">
        <w:trPr>
          <w:trHeight w:val="134"/>
        </w:trPr>
        <w:tc>
          <w:tcPr>
            <w:tcW w:w="1441" w:type="dxa"/>
          </w:tcPr>
          <w:p w14:paraId="19AFD25B" w14:textId="10CF28E1" w:rsidR="00183CD6" w:rsidRPr="00515F18" w:rsidRDefault="00183CD6" w:rsidP="00515F18">
            <w:pPr>
              <w:autoSpaceDE w:val="0"/>
              <w:autoSpaceDN w:val="0"/>
              <w:adjustRightInd w:val="0"/>
              <w:spacing w:after="120" w:line="240" w:lineRule="auto"/>
              <w:rPr>
                <w:rFonts w:cstheme="minorHAnsi"/>
              </w:rPr>
            </w:pPr>
          </w:p>
        </w:tc>
        <w:tc>
          <w:tcPr>
            <w:tcW w:w="13165" w:type="dxa"/>
          </w:tcPr>
          <w:p w14:paraId="151CCB41" w14:textId="77777777" w:rsidR="00183CD6" w:rsidRPr="00515F18" w:rsidRDefault="00183CD6" w:rsidP="00515F18">
            <w:pPr>
              <w:spacing w:after="120" w:line="240" w:lineRule="auto"/>
              <w:rPr>
                <w:rFonts w:eastAsia="Times New Roman" w:cstheme="minorHAnsi"/>
              </w:rPr>
            </w:pPr>
            <w:r w:rsidRPr="00515F18">
              <w:rPr>
                <w:rFonts w:eastAsia="Times New Roman" w:cstheme="minorHAnsi"/>
                <w:color w:val="000000" w:themeColor="text1"/>
              </w:rPr>
              <w:t>The role of IPPC should be emphasized (e.g. implementation of ISPMs) as the instrument that helps preserve biodiversity by protecting plants from pests and diseases. While the CBD addresses biodiversity and the environment in general, the IPPC specifically concentrates on IAS that are pests of plants and provides guidance for protection against them. Specifically, IPPC concentrates on control, eradication and measures to manage pathways to prevent the introduction and establishment of invasive alien species (IAS) ecosystems, habitats and other species. The importance of the efforts to harmonize approaches, build capacity and share</w:t>
            </w:r>
            <w:r w:rsidRPr="00515F18">
              <w:rPr>
                <w:rFonts w:cstheme="minorHAnsi"/>
              </w:rPr>
              <w:br/>
            </w:r>
            <w:r w:rsidRPr="00515F18">
              <w:rPr>
                <w:rFonts w:eastAsia="Times New Roman" w:cstheme="minorHAnsi"/>
                <w:color w:val="000000" w:themeColor="text1"/>
              </w:rPr>
              <w:t xml:space="preserve"> information regarding IAS to be highlighted.</w:t>
            </w:r>
          </w:p>
          <w:p w14:paraId="10863EE5" w14:textId="77777777" w:rsidR="00183CD6" w:rsidRPr="00515F18" w:rsidRDefault="00183CD6" w:rsidP="00515F18">
            <w:pPr>
              <w:spacing w:after="120" w:line="240" w:lineRule="auto"/>
              <w:rPr>
                <w:rFonts w:eastAsia="Times New Roman" w:cstheme="minorHAnsi"/>
              </w:rPr>
            </w:pPr>
            <w:r w:rsidRPr="00515F18">
              <w:rPr>
                <w:rFonts w:eastAsia="Times New Roman" w:cstheme="minorHAnsi"/>
              </w:rPr>
              <w:t>IPCC on column C (suggested indicators):</w:t>
            </w:r>
          </w:p>
          <w:p w14:paraId="09278B1F" w14:textId="77777777" w:rsidR="00183CD6" w:rsidRPr="00515F18" w:rsidRDefault="00183CD6" w:rsidP="00515F18">
            <w:pPr>
              <w:spacing w:after="120" w:line="240" w:lineRule="auto"/>
              <w:rPr>
                <w:rFonts w:eastAsia="Times New Roman" w:cstheme="minorHAnsi"/>
              </w:rPr>
            </w:pPr>
            <w:r w:rsidRPr="00515F18">
              <w:rPr>
                <w:rFonts w:cstheme="minorHAnsi"/>
                <w:color w:val="000000" w:themeColor="text1"/>
              </w:rPr>
              <w:t xml:space="preserve">More specific indicators can be provided: </w:t>
            </w:r>
          </w:p>
          <w:p w14:paraId="4D10D304" w14:textId="77777777" w:rsidR="00183CD6" w:rsidRPr="00515F18" w:rsidRDefault="00183CD6" w:rsidP="00515F18">
            <w:pPr>
              <w:spacing w:after="120" w:line="240" w:lineRule="auto"/>
              <w:rPr>
                <w:rFonts w:eastAsia="Times New Roman" w:cstheme="minorHAnsi"/>
              </w:rPr>
            </w:pPr>
            <w:r w:rsidRPr="00515F18">
              <w:rPr>
                <w:rFonts w:cstheme="minorHAnsi"/>
              </w:rPr>
              <w:t>-</w:t>
            </w:r>
            <w:r w:rsidRPr="00515F18">
              <w:rPr>
                <w:rFonts w:cstheme="minorHAnsi"/>
                <w:color w:val="000000" w:themeColor="text1"/>
              </w:rPr>
              <w:t xml:space="preserve"> 50% of the invasive alien species causing significant impacts are regulated and effectively managed.   </w:t>
            </w:r>
          </w:p>
          <w:p w14:paraId="197C277B" w14:textId="77777777" w:rsidR="00183CD6" w:rsidRPr="00515F18" w:rsidRDefault="00183CD6" w:rsidP="00515F18">
            <w:pPr>
              <w:spacing w:after="120" w:line="240" w:lineRule="auto"/>
              <w:rPr>
                <w:rFonts w:cstheme="minorHAnsi"/>
                <w:color w:val="000000" w:themeColor="text1"/>
              </w:rPr>
            </w:pPr>
            <w:r w:rsidRPr="00515F18">
              <w:rPr>
                <w:rFonts w:cstheme="minorHAnsi"/>
              </w:rPr>
              <w:t xml:space="preserve">- </w:t>
            </w:r>
            <w:r w:rsidRPr="00515F18">
              <w:rPr>
                <w:rFonts w:cstheme="minorHAnsi"/>
                <w:color w:val="000000" w:themeColor="text1"/>
              </w:rPr>
              <w:t xml:space="preserve">20% of the most significant pathways of introduction of invasive alien species are effectively managed </w:t>
            </w:r>
          </w:p>
          <w:p w14:paraId="4B036A28" w14:textId="77777777" w:rsidR="00183CD6" w:rsidRPr="00515F18" w:rsidRDefault="00183CD6" w:rsidP="00515F18">
            <w:pPr>
              <w:spacing w:after="120" w:line="240" w:lineRule="auto"/>
              <w:rPr>
                <w:rFonts w:eastAsia="Times New Roman" w:cstheme="minorHAnsi"/>
              </w:rPr>
            </w:pPr>
            <w:r w:rsidRPr="00515F18">
              <w:rPr>
                <w:rFonts w:eastAsia="Times New Roman" w:cstheme="minorHAnsi"/>
              </w:rPr>
              <w:t xml:space="preserve">- </w:t>
            </w:r>
            <w:r w:rsidRPr="00515F18">
              <w:rPr>
                <w:rFonts w:eastAsia="Times New Roman" w:cstheme="minorHAnsi"/>
                <w:color w:val="000000" w:themeColor="text1"/>
              </w:rPr>
              <w:t>Areas most severely affected by invasive alien species at national, regional and global level are identified, and 50% have adopted and enforced eradication or management programs that effectively mitigate the current impacts</w:t>
            </w:r>
          </w:p>
          <w:p w14:paraId="09259B4B" w14:textId="1BF8F525" w:rsidR="00183CD6" w:rsidRPr="00515F18" w:rsidRDefault="00183CD6" w:rsidP="00515F18">
            <w:pPr>
              <w:spacing w:after="120" w:line="240" w:lineRule="auto"/>
              <w:rPr>
                <w:rFonts w:cstheme="minorHAnsi"/>
                <w:b/>
                <w:iCs/>
                <w:color w:val="000000" w:themeColor="text1"/>
              </w:rPr>
            </w:pPr>
            <w:r w:rsidRPr="00515F18">
              <w:rPr>
                <w:rFonts w:eastAsia="Calibri" w:cstheme="minorHAnsi"/>
              </w:rPr>
              <w:t>The indicator on legislation and control of invasive alien species should emphasize “national legislation”. In most developed countries, the major IAS have been identified and risks assessed. However, developing countries lack expertise to conduct identification of IAS and the risk assessments</w:t>
            </w:r>
          </w:p>
        </w:tc>
      </w:tr>
      <w:tr w:rsidR="00183CD6" w:rsidRPr="00515F18" w14:paraId="505E4F7B" w14:textId="77777777" w:rsidTr="00933B3B">
        <w:trPr>
          <w:trHeight w:val="134"/>
        </w:trPr>
        <w:tc>
          <w:tcPr>
            <w:tcW w:w="1441" w:type="dxa"/>
          </w:tcPr>
          <w:p w14:paraId="5EB2A55E" w14:textId="596ABB2F" w:rsidR="00183CD6" w:rsidRPr="00515F18" w:rsidRDefault="00183CD6" w:rsidP="00515F18">
            <w:pPr>
              <w:autoSpaceDE w:val="0"/>
              <w:autoSpaceDN w:val="0"/>
              <w:adjustRightInd w:val="0"/>
              <w:spacing w:after="120" w:line="240" w:lineRule="auto"/>
              <w:rPr>
                <w:rFonts w:cstheme="minorHAnsi"/>
              </w:rPr>
            </w:pPr>
            <w:r w:rsidRPr="00515F18">
              <w:rPr>
                <w:rFonts w:cstheme="minorHAnsi"/>
                <w:lang w:val="en-US"/>
              </w:rPr>
              <w:t>Trends in</w:t>
            </w:r>
            <w:r w:rsidR="00FC3D91" w:rsidRPr="00515F18">
              <w:rPr>
                <w:rFonts w:cstheme="minorHAnsi"/>
                <w:lang w:val="en-US"/>
              </w:rPr>
              <w:t xml:space="preserve"> </w:t>
            </w:r>
            <w:r w:rsidRPr="00515F18">
              <w:rPr>
                <w:rFonts w:cstheme="minorHAnsi"/>
                <w:lang w:val="en-US"/>
              </w:rPr>
              <w:t>levels of</w:t>
            </w:r>
            <w:r w:rsidR="00FC3D91" w:rsidRPr="00515F18">
              <w:rPr>
                <w:rFonts w:cstheme="minorHAnsi"/>
                <w:lang w:val="en-US"/>
              </w:rPr>
              <w:t xml:space="preserve"> </w:t>
            </w:r>
            <w:r w:rsidRPr="00515F18">
              <w:rPr>
                <w:rFonts w:cstheme="minorHAnsi"/>
                <w:lang w:val="en-US"/>
              </w:rPr>
              <w:t>pollution</w:t>
            </w:r>
            <w:r w:rsidR="00FC3D91" w:rsidRPr="00515F18">
              <w:rPr>
                <w:rFonts w:cstheme="minorHAnsi"/>
                <w:lang w:val="en-US"/>
              </w:rPr>
              <w:t xml:space="preserve"> </w:t>
            </w:r>
            <w:r w:rsidRPr="00515F18">
              <w:rPr>
                <w:rFonts w:cstheme="minorHAnsi"/>
                <w:lang w:val="en-US"/>
              </w:rPr>
              <w:t>from excess</w:t>
            </w:r>
            <w:r w:rsidR="00FC3D91" w:rsidRPr="00515F18">
              <w:rPr>
                <w:rFonts w:cstheme="minorHAnsi"/>
                <w:lang w:val="en-US"/>
              </w:rPr>
              <w:t xml:space="preserve"> </w:t>
            </w:r>
            <w:r w:rsidRPr="00515F18">
              <w:rPr>
                <w:rFonts w:cstheme="minorHAnsi"/>
                <w:lang w:val="en-US"/>
              </w:rPr>
              <w:t>pesticides</w:t>
            </w:r>
          </w:p>
        </w:tc>
        <w:tc>
          <w:tcPr>
            <w:tcW w:w="13165" w:type="dxa"/>
          </w:tcPr>
          <w:p w14:paraId="443110D3" w14:textId="77777777" w:rsidR="00183CD6" w:rsidRPr="00515F18" w:rsidRDefault="00183CD6" w:rsidP="00515F18">
            <w:pPr>
              <w:spacing w:after="120" w:line="240" w:lineRule="auto"/>
              <w:rPr>
                <w:rFonts w:cstheme="minorHAnsi"/>
                <w:color w:val="000000" w:themeColor="text1"/>
              </w:rPr>
            </w:pPr>
            <w:r w:rsidRPr="00515F18">
              <w:rPr>
                <w:rFonts w:cstheme="minorHAnsi"/>
                <w:color w:val="000000" w:themeColor="text1"/>
              </w:rPr>
              <w:t xml:space="preserve">make explicit references to the Basel, Rotterdam and Stockholm (BRS) Conventions. </w:t>
            </w:r>
          </w:p>
          <w:p w14:paraId="295F4C8A" w14:textId="77777777" w:rsidR="00183CD6" w:rsidRPr="00515F18" w:rsidRDefault="00183CD6" w:rsidP="00515F18">
            <w:pPr>
              <w:spacing w:after="120" w:line="240" w:lineRule="auto"/>
              <w:rPr>
                <w:rFonts w:eastAsia="Times New Roman" w:cstheme="minorHAnsi"/>
              </w:rPr>
            </w:pPr>
            <w:r w:rsidRPr="00515F18">
              <w:rPr>
                <w:rFonts w:cstheme="minorHAnsi"/>
                <w:color w:val="000000" w:themeColor="text1"/>
              </w:rPr>
              <w:t>“Total number of pesticide products used</w:t>
            </w:r>
          </w:p>
          <w:p w14:paraId="48081476" w14:textId="77777777" w:rsidR="00183CD6" w:rsidRPr="00515F18" w:rsidRDefault="00183CD6" w:rsidP="00515F18">
            <w:pPr>
              <w:spacing w:after="120" w:line="240" w:lineRule="auto"/>
              <w:rPr>
                <w:rFonts w:eastAsia="Times New Roman" w:cstheme="minorHAnsi"/>
              </w:rPr>
            </w:pPr>
            <w:r w:rsidRPr="00515F18">
              <w:rPr>
                <w:rFonts w:cstheme="minorHAnsi"/>
              </w:rPr>
              <w:t xml:space="preserve">- </w:t>
            </w:r>
            <w:r w:rsidRPr="00515F18">
              <w:rPr>
                <w:rFonts w:cstheme="minorHAnsi"/>
                <w:color w:val="000000" w:themeColor="text1"/>
              </w:rPr>
              <w:t>Application rate per ha</w:t>
            </w:r>
          </w:p>
          <w:p w14:paraId="7905D3E5" w14:textId="77777777" w:rsidR="00183CD6" w:rsidRPr="00515F18" w:rsidRDefault="00183CD6" w:rsidP="00515F18">
            <w:pPr>
              <w:spacing w:after="120" w:line="240" w:lineRule="auto"/>
              <w:rPr>
                <w:rFonts w:eastAsia="Times New Roman" w:cstheme="minorHAnsi"/>
              </w:rPr>
            </w:pPr>
            <w:r w:rsidRPr="00515F18">
              <w:rPr>
                <w:rFonts w:cstheme="minorHAnsi"/>
              </w:rPr>
              <w:t xml:space="preserve">- </w:t>
            </w:r>
            <w:r w:rsidRPr="00515F18">
              <w:rPr>
                <w:rFonts w:cstheme="minorHAnsi"/>
                <w:color w:val="000000" w:themeColor="text1"/>
              </w:rPr>
              <w:t>Number of applications per growing season</w:t>
            </w:r>
          </w:p>
          <w:p w14:paraId="6F9F0102" w14:textId="77777777" w:rsidR="00183CD6" w:rsidRPr="00515F18" w:rsidRDefault="00183CD6" w:rsidP="00515F18">
            <w:pPr>
              <w:spacing w:after="120" w:line="240" w:lineRule="auto"/>
              <w:rPr>
                <w:rFonts w:eastAsia="Times New Roman" w:cstheme="minorHAnsi"/>
              </w:rPr>
            </w:pPr>
            <w:r w:rsidRPr="00515F18">
              <w:rPr>
                <w:rFonts w:eastAsia="Times New Roman" w:cstheme="minorHAnsi"/>
              </w:rPr>
              <w:t>- Percentage of Highly Hazardous Pesticides (HHPs) in all pesticides used</w:t>
            </w:r>
          </w:p>
          <w:p w14:paraId="067EFA8B" w14:textId="619E1B8C" w:rsidR="00183CD6" w:rsidRPr="00515F18" w:rsidRDefault="00183CD6" w:rsidP="00515F18">
            <w:pPr>
              <w:spacing w:after="120" w:line="240" w:lineRule="auto"/>
              <w:rPr>
                <w:rFonts w:cstheme="minorHAnsi"/>
                <w:b/>
                <w:iCs/>
                <w:color w:val="000000" w:themeColor="text1"/>
              </w:rPr>
            </w:pPr>
            <w:r w:rsidRPr="00515F18">
              <w:rPr>
                <w:rFonts w:cstheme="minorHAnsi"/>
              </w:rPr>
              <w:t xml:space="preserve">- </w:t>
            </w:r>
            <w:r w:rsidRPr="00515F18">
              <w:rPr>
                <w:rFonts w:cstheme="minorHAnsi"/>
                <w:color w:val="000000" w:themeColor="text1"/>
              </w:rPr>
              <w:t>Total number of biopesticides used</w:t>
            </w:r>
          </w:p>
        </w:tc>
      </w:tr>
      <w:tr w:rsidR="00183CD6" w:rsidRPr="00515F18" w14:paraId="28629C58" w14:textId="77777777" w:rsidTr="00933B3B">
        <w:trPr>
          <w:trHeight w:val="134"/>
        </w:trPr>
        <w:tc>
          <w:tcPr>
            <w:tcW w:w="1441" w:type="dxa"/>
          </w:tcPr>
          <w:p w14:paraId="1126AE6F" w14:textId="4ACAD23C" w:rsidR="00183CD6" w:rsidRPr="00515F18" w:rsidRDefault="00183CD6" w:rsidP="00515F18">
            <w:pPr>
              <w:autoSpaceDE w:val="0"/>
              <w:autoSpaceDN w:val="0"/>
              <w:adjustRightInd w:val="0"/>
              <w:spacing w:after="120" w:line="240" w:lineRule="auto"/>
              <w:rPr>
                <w:rFonts w:cstheme="minorHAnsi"/>
                <w:lang w:val="en-US"/>
              </w:rPr>
            </w:pPr>
            <w:r w:rsidRPr="00515F18">
              <w:rPr>
                <w:rFonts w:cstheme="minorHAnsi"/>
                <w:lang w:val="en-US"/>
              </w:rPr>
              <w:t>Trends in</w:t>
            </w:r>
            <w:r w:rsidR="00FC3D91" w:rsidRPr="00515F18">
              <w:rPr>
                <w:rFonts w:cstheme="minorHAnsi"/>
                <w:lang w:val="en-US"/>
              </w:rPr>
              <w:t xml:space="preserve"> </w:t>
            </w:r>
            <w:r w:rsidRPr="00515F18">
              <w:rPr>
                <w:rFonts w:cstheme="minorHAnsi"/>
                <w:lang w:val="en-US"/>
              </w:rPr>
              <w:t>integration</w:t>
            </w:r>
            <w:r w:rsidR="00FC3D91" w:rsidRPr="00515F18">
              <w:rPr>
                <w:rFonts w:cstheme="minorHAnsi"/>
                <w:lang w:val="en-US"/>
              </w:rPr>
              <w:t xml:space="preserve"> </w:t>
            </w:r>
            <w:r w:rsidRPr="00515F18">
              <w:rPr>
                <w:rFonts w:cstheme="minorHAnsi"/>
                <w:lang w:val="en-US"/>
              </w:rPr>
              <w:t>of</w:t>
            </w:r>
            <w:r w:rsidR="00FC3D91" w:rsidRPr="00515F18">
              <w:rPr>
                <w:rFonts w:cstheme="minorHAnsi"/>
                <w:lang w:val="en-US"/>
              </w:rPr>
              <w:t xml:space="preserve"> </w:t>
            </w:r>
            <w:r w:rsidRPr="00515F18">
              <w:rPr>
                <w:rFonts w:cstheme="minorHAnsi"/>
                <w:lang w:val="en-US"/>
              </w:rPr>
              <w:t>biodiversity</w:t>
            </w:r>
            <w:r w:rsidR="00FC3D91" w:rsidRPr="00515F18">
              <w:rPr>
                <w:rFonts w:cstheme="minorHAnsi"/>
                <w:lang w:val="en-US"/>
              </w:rPr>
              <w:t xml:space="preserve"> </w:t>
            </w:r>
            <w:r w:rsidRPr="00515F18">
              <w:rPr>
                <w:rFonts w:cstheme="minorHAnsi"/>
                <w:lang w:val="en-US"/>
              </w:rPr>
              <w:t>consideration in design</w:t>
            </w:r>
            <w:r w:rsidR="00FC3D91" w:rsidRPr="00515F18">
              <w:rPr>
                <w:rFonts w:cstheme="minorHAnsi"/>
                <w:lang w:val="en-US"/>
              </w:rPr>
              <w:t xml:space="preserve"> </w:t>
            </w:r>
            <w:r w:rsidRPr="00515F18">
              <w:rPr>
                <w:rFonts w:cstheme="minorHAnsi"/>
                <w:lang w:val="en-US"/>
              </w:rPr>
              <w:t>of mitigation,</w:t>
            </w:r>
            <w:r w:rsidR="00FC3D91" w:rsidRPr="00515F18">
              <w:rPr>
                <w:rFonts w:cstheme="minorHAnsi"/>
                <w:lang w:val="en-US"/>
              </w:rPr>
              <w:t xml:space="preserve"> </w:t>
            </w:r>
            <w:r w:rsidRPr="00515F18">
              <w:rPr>
                <w:rFonts w:cstheme="minorHAnsi"/>
                <w:lang w:val="en-US"/>
              </w:rPr>
              <w:t>adaptation</w:t>
            </w:r>
            <w:r w:rsidR="00FC3D91" w:rsidRPr="00515F18">
              <w:rPr>
                <w:rFonts w:cstheme="minorHAnsi"/>
                <w:lang w:val="en-US"/>
              </w:rPr>
              <w:t xml:space="preserve"> </w:t>
            </w:r>
            <w:r w:rsidRPr="00515F18">
              <w:rPr>
                <w:rFonts w:cstheme="minorHAnsi"/>
                <w:lang w:val="en-US"/>
              </w:rPr>
              <w:t>and disaster</w:t>
            </w:r>
            <w:r w:rsidR="00FC3D91" w:rsidRPr="00515F18">
              <w:rPr>
                <w:rFonts w:cstheme="minorHAnsi"/>
                <w:lang w:val="en-US"/>
              </w:rPr>
              <w:t xml:space="preserve"> </w:t>
            </w:r>
            <w:r w:rsidRPr="00515F18">
              <w:rPr>
                <w:rFonts w:cstheme="minorHAnsi"/>
                <w:lang w:val="en-US"/>
              </w:rPr>
              <w:t>risk</w:t>
            </w:r>
            <w:r w:rsidR="00FC3D91" w:rsidRPr="00515F18">
              <w:rPr>
                <w:rFonts w:cstheme="minorHAnsi"/>
                <w:lang w:val="en-US"/>
              </w:rPr>
              <w:t xml:space="preserve"> </w:t>
            </w:r>
            <w:r w:rsidRPr="00515F18">
              <w:rPr>
                <w:rFonts w:cstheme="minorHAnsi"/>
                <w:lang w:val="en-US"/>
              </w:rPr>
              <w:t>reduction</w:t>
            </w:r>
            <w:r w:rsidR="00FC3D91" w:rsidRPr="00515F18">
              <w:rPr>
                <w:rFonts w:cstheme="minorHAnsi"/>
                <w:lang w:val="en-US"/>
              </w:rPr>
              <w:t xml:space="preserve"> </w:t>
            </w:r>
            <w:r w:rsidRPr="00515F18">
              <w:rPr>
                <w:rFonts w:cstheme="minorHAnsi"/>
                <w:lang w:val="en-US"/>
              </w:rPr>
              <w:t>projects</w:t>
            </w:r>
          </w:p>
        </w:tc>
        <w:tc>
          <w:tcPr>
            <w:tcW w:w="13165" w:type="dxa"/>
          </w:tcPr>
          <w:p w14:paraId="22294BBF" w14:textId="77777777" w:rsidR="00183CD6" w:rsidRPr="00515F18" w:rsidRDefault="00183CD6" w:rsidP="00515F18">
            <w:pPr>
              <w:spacing w:after="120" w:line="240" w:lineRule="auto"/>
              <w:rPr>
                <w:rFonts w:eastAsia="Calibri" w:cstheme="minorHAnsi"/>
              </w:rPr>
            </w:pPr>
            <w:r w:rsidRPr="00515F18">
              <w:rPr>
                <w:rFonts w:eastAsia="Calibri" w:cstheme="minorHAnsi"/>
              </w:rPr>
              <w:t>The protective function of forests could be considered. The FRA indicator on “Proportion of forests managed for soil and water conservation as a key objective” could be used.</w:t>
            </w:r>
          </w:p>
          <w:p w14:paraId="13FE9339" w14:textId="254BAFB0" w:rsidR="00183CD6" w:rsidRPr="00515F18" w:rsidRDefault="00183CD6" w:rsidP="00515F18">
            <w:pPr>
              <w:spacing w:after="120" w:line="240" w:lineRule="auto"/>
              <w:rPr>
                <w:rFonts w:cstheme="minorHAnsi"/>
                <w:color w:val="000000" w:themeColor="text1"/>
              </w:rPr>
            </w:pPr>
            <w:r w:rsidRPr="00515F18">
              <w:rPr>
                <w:rFonts w:eastAsia="Calibri" w:cstheme="minorHAnsi"/>
                <w:color w:val="000000" w:themeColor="text1"/>
              </w:rPr>
              <w:t>Also, managing for soil and water conservation is not a complete overlap with managing for risk reduction in natural disasters. The number of human related impacts is appropriate given the Goal is in human terms</w:t>
            </w:r>
          </w:p>
        </w:tc>
      </w:tr>
      <w:tr w:rsidR="00183CD6" w:rsidRPr="00515F18" w14:paraId="43E574F7" w14:textId="77777777" w:rsidTr="00933B3B">
        <w:trPr>
          <w:trHeight w:val="134"/>
        </w:trPr>
        <w:tc>
          <w:tcPr>
            <w:tcW w:w="1441" w:type="dxa"/>
          </w:tcPr>
          <w:p w14:paraId="308EF6E9" w14:textId="0143D1E6" w:rsidR="00183CD6" w:rsidRPr="00515F18" w:rsidRDefault="00183CD6" w:rsidP="00515F18">
            <w:pPr>
              <w:autoSpaceDE w:val="0"/>
              <w:autoSpaceDN w:val="0"/>
              <w:adjustRightInd w:val="0"/>
              <w:spacing w:after="120" w:line="240" w:lineRule="auto"/>
              <w:rPr>
                <w:rFonts w:cstheme="minorHAnsi"/>
                <w:lang w:val="en-US"/>
              </w:rPr>
            </w:pPr>
            <w:r w:rsidRPr="00515F18">
              <w:rPr>
                <w:rFonts w:cstheme="minorHAnsi"/>
                <w:lang w:val="en-US"/>
              </w:rPr>
              <w:t>Trends in</w:t>
            </w:r>
            <w:r w:rsidR="00FC3D91" w:rsidRPr="00515F18">
              <w:rPr>
                <w:rFonts w:cstheme="minorHAnsi"/>
                <w:lang w:val="en-US"/>
              </w:rPr>
              <w:t xml:space="preserve"> </w:t>
            </w:r>
            <w:r w:rsidRPr="00515F18">
              <w:rPr>
                <w:rFonts w:cstheme="minorHAnsi"/>
                <w:lang w:val="en-US"/>
              </w:rPr>
              <w:t>pollinators</w:t>
            </w:r>
          </w:p>
        </w:tc>
        <w:tc>
          <w:tcPr>
            <w:tcW w:w="13165" w:type="dxa"/>
          </w:tcPr>
          <w:p w14:paraId="3874AF58" w14:textId="77777777" w:rsidR="00183CD6" w:rsidRPr="00515F18" w:rsidRDefault="00183CD6" w:rsidP="00515F18">
            <w:pPr>
              <w:spacing w:after="120" w:line="240" w:lineRule="auto"/>
              <w:rPr>
                <w:rStyle w:val="Hyperlink"/>
                <w:rFonts w:eastAsia="Roboto" w:cstheme="minorHAnsi"/>
                <w:color w:val="4C6988"/>
              </w:rPr>
            </w:pPr>
            <w:r w:rsidRPr="00515F18">
              <w:rPr>
                <w:rFonts w:cstheme="minorHAnsi"/>
              </w:rPr>
              <w:t>Besides simple monitoring, use of indicator species to monitor trends might be helpful:</w:t>
            </w:r>
          </w:p>
          <w:p w14:paraId="77A30436" w14:textId="6D922B4D" w:rsidR="00183CD6" w:rsidRPr="00515F18" w:rsidRDefault="00183CD6" w:rsidP="00515F18">
            <w:pPr>
              <w:spacing w:after="120" w:line="240" w:lineRule="auto"/>
              <w:rPr>
                <w:rFonts w:cstheme="minorHAnsi"/>
                <w:color w:val="000000" w:themeColor="text1"/>
              </w:rPr>
            </w:pPr>
            <w:r w:rsidRPr="00515F18">
              <w:rPr>
                <w:rFonts w:cstheme="minorHAnsi"/>
                <w:color w:val="000000" w:themeColor="text1"/>
              </w:rPr>
              <w:t>https://www.sciencedirect.com/science/article/pii/S0048969719352234  and https://www.researchgate.net/publication/308201468_Design_and_Testing_of_a_National_Pollinator_and_Pollination_Monitoring_Framework</w:t>
            </w:r>
          </w:p>
        </w:tc>
      </w:tr>
      <w:tr w:rsidR="00183CD6" w:rsidRPr="00515F18" w14:paraId="588E00B1" w14:textId="77777777" w:rsidTr="00933B3B">
        <w:trPr>
          <w:trHeight w:val="134"/>
        </w:trPr>
        <w:tc>
          <w:tcPr>
            <w:tcW w:w="1441" w:type="dxa"/>
          </w:tcPr>
          <w:p w14:paraId="4196BB8F" w14:textId="4F1BF948" w:rsidR="00183CD6" w:rsidRPr="00515F18" w:rsidRDefault="00183CD6" w:rsidP="00515F18">
            <w:pPr>
              <w:autoSpaceDE w:val="0"/>
              <w:autoSpaceDN w:val="0"/>
              <w:adjustRightInd w:val="0"/>
              <w:spacing w:after="120" w:line="240" w:lineRule="auto"/>
              <w:rPr>
                <w:rFonts w:cstheme="minorHAnsi"/>
                <w:lang w:val="en-US"/>
              </w:rPr>
            </w:pPr>
            <w:r w:rsidRPr="00515F18">
              <w:rPr>
                <w:rFonts w:cstheme="minorHAnsi"/>
                <w:lang w:val="en-US"/>
              </w:rPr>
              <w:t>Trends in</w:t>
            </w:r>
            <w:r w:rsidR="00FC3D91" w:rsidRPr="00515F18">
              <w:rPr>
                <w:rFonts w:cstheme="minorHAnsi"/>
                <w:lang w:val="en-US"/>
              </w:rPr>
              <w:t xml:space="preserve"> </w:t>
            </w:r>
            <w:r w:rsidRPr="00515F18">
              <w:rPr>
                <w:rFonts w:cstheme="minorHAnsi"/>
                <w:lang w:val="en-US"/>
              </w:rPr>
              <w:t>genetic</w:t>
            </w:r>
            <w:r w:rsidR="00FC3D91" w:rsidRPr="00515F18">
              <w:rPr>
                <w:rFonts w:cstheme="minorHAnsi"/>
                <w:lang w:val="en-US"/>
              </w:rPr>
              <w:t xml:space="preserve"> </w:t>
            </w:r>
            <w:r w:rsidRPr="00515F18">
              <w:rPr>
                <w:rFonts w:cstheme="minorHAnsi"/>
                <w:lang w:val="en-US"/>
              </w:rPr>
              <w:t>diversity of</w:t>
            </w:r>
            <w:r w:rsidR="00FC3D91" w:rsidRPr="00515F18">
              <w:rPr>
                <w:rFonts w:cstheme="minorHAnsi"/>
                <w:lang w:val="en-US"/>
              </w:rPr>
              <w:t xml:space="preserve"> </w:t>
            </w:r>
            <w:r w:rsidRPr="00515F18">
              <w:rPr>
                <w:rFonts w:cstheme="minorHAnsi"/>
                <w:lang w:val="en-US"/>
              </w:rPr>
              <w:t>cultivated</w:t>
            </w:r>
            <w:r w:rsidR="00FC3D91" w:rsidRPr="00515F18">
              <w:rPr>
                <w:rFonts w:cstheme="minorHAnsi"/>
                <w:lang w:val="en-US"/>
              </w:rPr>
              <w:t xml:space="preserve"> </w:t>
            </w:r>
            <w:r w:rsidRPr="00515F18">
              <w:rPr>
                <w:rFonts w:cstheme="minorHAnsi"/>
                <w:lang w:val="en-US"/>
              </w:rPr>
              <w:t>plants and of</w:t>
            </w:r>
            <w:r w:rsidR="00FC3D91" w:rsidRPr="00515F18">
              <w:rPr>
                <w:rFonts w:cstheme="minorHAnsi"/>
                <w:lang w:val="en-US"/>
              </w:rPr>
              <w:t xml:space="preserve"> </w:t>
            </w:r>
            <w:r w:rsidRPr="00515F18">
              <w:rPr>
                <w:rFonts w:cstheme="minorHAnsi"/>
                <w:lang w:val="en-US"/>
              </w:rPr>
              <w:t>wild relatives</w:t>
            </w:r>
          </w:p>
        </w:tc>
        <w:tc>
          <w:tcPr>
            <w:tcW w:w="13165" w:type="dxa"/>
          </w:tcPr>
          <w:p w14:paraId="4EA6300B" w14:textId="1F9A5C29" w:rsidR="00183CD6" w:rsidRPr="00515F18" w:rsidRDefault="00183CD6" w:rsidP="00515F18">
            <w:pPr>
              <w:spacing w:after="120" w:line="240" w:lineRule="auto"/>
              <w:rPr>
                <w:rFonts w:cstheme="minorHAnsi"/>
                <w:color w:val="000000" w:themeColor="text1"/>
              </w:rPr>
            </w:pPr>
            <w:r w:rsidRPr="00515F18">
              <w:rPr>
                <w:rFonts w:cstheme="minorHAnsi"/>
                <w:kern w:val="22"/>
              </w:rPr>
              <w:t>Plants include trees</w:t>
            </w:r>
          </w:p>
        </w:tc>
      </w:tr>
      <w:tr w:rsidR="00183CD6" w:rsidRPr="00515F18" w14:paraId="7D4EEB8A" w14:textId="77777777" w:rsidTr="00933B3B">
        <w:trPr>
          <w:trHeight w:val="134"/>
        </w:trPr>
        <w:tc>
          <w:tcPr>
            <w:tcW w:w="1441" w:type="dxa"/>
          </w:tcPr>
          <w:p w14:paraId="648868C4" w14:textId="0395DE7B" w:rsidR="00183CD6" w:rsidRPr="00515F18" w:rsidRDefault="00183CD6" w:rsidP="00515F18">
            <w:pPr>
              <w:autoSpaceDE w:val="0"/>
              <w:autoSpaceDN w:val="0"/>
              <w:adjustRightInd w:val="0"/>
              <w:spacing w:after="120" w:line="240" w:lineRule="auto"/>
              <w:rPr>
                <w:rFonts w:cstheme="minorHAnsi"/>
                <w:lang w:val="en-US"/>
              </w:rPr>
            </w:pPr>
            <w:r w:rsidRPr="00515F18">
              <w:rPr>
                <w:rFonts w:cstheme="minorHAnsi"/>
                <w:lang w:val="en-US"/>
              </w:rPr>
              <w:t>Trends in</w:t>
            </w:r>
            <w:r w:rsidR="00FC3D91" w:rsidRPr="00515F18">
              <w:rPr>
                <w:rFonts w:cstheme="minorHAnsi"/>
                <w:lang w:val="en-US"/>
              </w:rPr>
              <w:t xml:space="preserve"> </w:t>
            </w:r>
            <w:r w:rsidRPr="00515F18">
              <w:rPr>
                <w:rFonts w:cstheme="minorHAnsi"/>
                <w:lang w:val="en-US"/>
              </w:rPr>
              <w:t>genetic</w:t>
            </w:r>
            <w:r w:rsidR="00FC3D91" w:rsidRPr="00515F18">
              <w:rPr>
                <w:rFonts w:cstheme="minorHAnsi"/>
                <w:lang w:val="en-US"/>
              </w:rPr>
              <w:t xml:space="preserve"> </w:t>
            </w:r>
            <w:r w:rsidRPr="00515F18">
              <w:rPr>
                <w:rFonts w:cstheme="minorHAnsi"/>
                <w:lang w:val="en-US"/>
              </w:rPr>
              <w:t>diversity of</w:t>
            </w:r>
            <w:r w:rsidR="00FC3D91" w:rsidRPr="00515F18">
              <w:rPr>
                <w:rFonts w:cstheme="minorHAnsi"/>
                <w:lang w:val="en-US"/>
              </w:rPr>
              <w:t xml:space="preserve"> </w:t>
            </w:r>
            <w:r w:rsidRPr="00515F18">
              <w:rPr>
                <w:rFonts w:cstheme="minorHAnsi"/>
                <w:lang w:val="en-US"/>
              </w:rPr>
              <w:t>domesticate</w:t>
            </w:r>
            <w:r w:rsidR="00FC3D91" w:rsidRPr="00515F18">
              <w:rPr>
                <w:rFonts w:cstheme="minorHAnsi"/>
                <w:lang w:val="en-US"/>
              </w:rPr>
              <w:t xml:space="preserve"> </w:t>
            </w:r>
            <w:r w:rsidRPr="00515F18">
              <w:rPr>
                <w:rFonts w:cstheme="minorHAnsi"/>
                <w:lang w:val="en-US"/>
              </w:rPr>
              <w:t>d animals</w:t>
            </w:r>
            <w:r w:rsidR="00FC3D91" w:rsidRPr="00515F18">
              <w:rPr>
                <w:rFonts w:cstheme="minorHAnsi"/>
                <w:lang w:val="en-US"/>
              </w:rPr>
              <w:t xml:space="preserve"> </w:t>
            </w:r>
            <w:r w:rsidRPr="00515F18">
              <w:rPr>
                <w:rFonts w:cstheme="minorHAnsi"/>
                <w:lang w:val="en-US"/>
              </w:rPr>
              <w:t>and of wild</w:t>
            </w:r>
            <w:r w:rsidR="00FC3D91" w:rsidRPr="00515F18">
              <w:rPr>
                <w:rFonts w:cstheme="minorHAnsi"/>
                <w:lang w:val="en-US"/>
              </w:rPr>
              <w:t xml:space="preserve"> </w:t>
            </w:r>
            <w:r w:rsidRPr="00515F18">
              <w:rPr>
                <w:rFonts w:cstheme="minorHAnsi"/>
                <w:lang w:val="en-US"/>
              </w:rPr>
              <w:t>relatives</w:t>
            </w:r>
          </w:p>
        </w:tc>
        <w:tc>
          <w:tcPr>
            <w:tcW w:w="13165" w:type="dxa"/>
          </w:tcPr>
          <w:p w14:paraId="285CD066" w14:textId="77777777" w:rsidR="00183CD6" w:rsidRPr="00515F18" w:rsidRDefault="00183CD6" w:rsidP="00515F18">
            <w:pPr>
              <w:spacing w:after="120" w:line="240" w:lineRule="auto"/>
              <w:rPr>
                <w:rFonts w:cstheme="minorHAnsi"/>
                <w:kern w:val="22"/>
              </w:rPr>
            </w:pPr>
            <w:r w:rsidRPr="00515F18">
              <w:rPr>
                <w:rFonts w:cstheme="minorHAnsi"/>
                <w:kern w:val="22"/>
              </w:rPr>
              <w:t>Animals include fish</w:t>
            </w:r>
          </w:p>
          <w:p w14:paraId="602818DE" w14:textId="041178D7" w:rsidR="00183CD6" w:rsidRPr="00515F18" w:rsidRDefault="00183CD6" w:rsidP="00515F18">
            <w:pPr>
              <w:spacing w:after="120" w:line="240" w:lineRule="auto"/>
              <w:rPr>
                <w:rFonts w:cstheme="minorHAnsi"/>
                <w:kern w:val="22"/>
              </w:rPr>
            </w:pPr>
            <w:r w:rsidRPr="00515F18">
              <w:rPr>
                <w:rFonts w:cstheme="minorHAnsi"/>
                <w:kern w:val="22"/>
              </w:rPr>
              <w:t>SDG 2.5.2</w:t>
            </w:r>
          </w:p>
        </w:tc>
      </w:tr>
      <w:tr w:rsidR="00183CD6" w:rsidRPr="00515F18" w14:paraId="1BEA4E18" w14:textId="77777777" w:rsidTr="00933B3B">
        <w:trPr>
          <w:trHeight w:val="134"/>
        </w:trPr>
        <w:tc>
          <w:tcPr>
            <w:tcW w:w="1441" w:type="dxa"/>
          </w:tcPr>
          <w:p w14:paraId="0999351B" w14:textId="5531967C" w:rsidR="00183CD6" w:rsidRPr="00515F18" w:rsidRDefault="00FC3D91" w:rsidP="00515F18">
            <w:pPr>
              <w:autoSpaceDE w:val="0"/>
              <w:autoSpaceDN w:val="0"/>
              <w:adjustRightInd w:val="0"/>
              <w:spacing w:after="120" w:line="240" w:lineRule="auto"/>
              <w:rPr>
                <w:rFonts w:cstheme="minorHAnsi"/>
                <w:lang w:val="en-US"/>
              </w:rPr>
            </w:pPr>
            <w:r w:rsidRPr="00515F18">
              <w:rPr>
                <w:rFonts w:cstheme="minorHAnsi"/>
                <w:lang w:val="en-US"/>
              </w:rPr>
              <w:t>Ecosystem intactness index</w:t>
            </w:r>
          </w:p>
        </w:tc>
        <w:tc>
          <w:tcPr>
            <w:tcW w:w="13165" w:type="dxa"/>
          </w:tcPr>
          <w:p w14:paraId="5596F964" w14:textId="6D4E6E16" w:rsidR="00183CD6" w:rsidRPr="00515F18" w:rsidRDefault="00FC3D91" w:rsidP="00515F18">
            <w:pPr>
              <w:spacing w:after="120" w:line="240" w:lineRule="auto"/>
              <w:rPr>
                <w:rFonts w:cstheme="minorHAnsi"/>
                <w:kern w:val="22"/>
              </w:rPr>
            </w:pPr>
            <w:r w:rsidRPr="00515F18">
              <w:rPr>
                <w:rFonts w:eastAsia="Calibri" w:cstheme="minorHAnsi"/>
              </w:rPr>
              <w:t>Biodiversity Intactness Index estimates how the average abundance of native terrestrial species compares with their abundance before human impacts, or sort of “pristine” baselines which are difficult to establish.</w:t>
            </w:r>
          </w:p>
        </w:tc>
      </w:tr>
      <w:tr w:rsidR="00183CD6" w:rsidRPr="00515F18" w14:paraId="59216EC5" w14:textId="77777777" w:rsidTr="00933B3B">
        <w:trPr>
          <w:trHeight w:val="134"/>
        </w:trPr>
        <w:tc>
          <w:tcPr>
            <w:tcW w:w="1441" w:type="dxa"/>
          </w:tcPr>
          <w:p w14:paraId="5865D2A7" w14:textId="01C3133A" w:rsidR="00183CD6" w:rsidRPr="00515F18" w:rsidRDefault="009B0799" w:rsidP="00515F18">
            <w:pPr>
              <w:autoSpaceDE w:val="0"/>
              <w:autoSpaceDN w:val="0"/>
              <w:adjustRightInd w:val="0"/>
              <w:spacing w:after="120" w:line="240" w:lineRule="auto"/>
              <w:rPr>
                <w:rFonts w:cstheme="minorHAnsi"/>
                <w:lang w:val="en-US"/>
              </w:rPr>
            </w:pPr>
            <w:r w:rsidRPr="00515F18">
              <w:rPr>
                <w:rFonts w:cstheme="minorHAnsi"/>
                <w:lang w:val="en-US"/>
              </w:rPr>
              <w:t>P 19</w:t>
            </w:r>
          </w:p>
        </w:tc>
        <w:tc>
          <w:tcPr>
            <w:tcW w:w="13165" w:type="dxa"/>
          </w:tcPr>
          <w:p w14:paraId="554F2A95" w14:textId="6219F414" w:rsidR="00183CD6" w:rsidRPr="00515F18" w:rsidRDefault="009B0799" w:rsidP="00515F18">
            <w:pPr>
              <w:spacing w:after="120" w:line="240" w:lineRule="auto"/>
              <w:rPr>
                <w:rFonts w:cstheme="minorHAnsi"/>
                <w:kern w:val="22"/>
              </w:rPr>
            </w:pPr>
            <w:r w:rsidRPr="00515F18">
              <w:rPr>
                <w:rFonts w:cstheme="minorHAnsi"/>
              </w:rPr>
              <w:t>“Trends in population and extinction risk in bycatch species” should be extended to “ in both target, bycatch and indidentally caught species”</w:t>
            </w:r>
          </w:p>
        </w:tc>
      </w:tr>
      <w:tr w:rsidR="00183CD6" w:rsidRPr="00515F18" w14:paraId="5BC18C2B" w14:textId="77777777" w:rsidTr="00933B3B">
        <w:trPr>
          <w:trHeight w:val="134"/>
        </w:trPr>
        <w:tc>
          <w:tcPr>
            <w:tcW w:w="1441" w:type="dxa"/>
          </w:tcPr>
          <w:p w14:paraId="0CDDF139" w14:textId="754F6BCD" w:rsidR="00183CD6" w:rsidRPr="00515F18" w:rsidRDefault="009B0799" w:rsidP="00515F18">
            <w:pPr>
              <w:autoSpaceDE w:val="0"/>
              <w:autoSpaceDN w:val="0"/>
              <w:adjustRightInd w:val="0"/>
              <w:spacing w:after="120" w:line="240" w:lineRule="auto"/>
              <w:rPr>
                <w:rFonts w:cstheme="minorHAnsi"/>
                <w:lang w:val="en-US"/>
              </w:rPr>
            </w:pPr>
            <w:r w:rsidRPr="00515F18">
              <w:rPr>
                <w:rFonts w:cstheme="minorHAnsi"/>
                <w:lang w:val="en-US"/>
              </w:rPr>
              <w:t>P 19</w:t>
            </w:r>
          </w:p>
        </w:tc>
        <w:tc>
          <w:tcPr>
            <w:tcW w:w="13165" w:type="dxa"/>
          </w:tcPr>
          <w:p w14:paraId="397BC1AB" w14:textId="32958501" w:rsidR="00183CD6" w:rsidRPr="00515F18" w:rsidRDefault="009B0799" w:rsidP="00515F18">
            <w:pPr>
              <w:spacing w:after="120" w:line="240" w:lineRule="auto"/>
              <w:rPr>
                <w:rFonts w:cstheme="minorHAnsi"/>
                <w:kern w:val="22"/>
              </w:rPr>
            </w:pPr>
            <w:r w:rsidRPr="00515F18">
              <w:rPr>
                <w:rFonts w:cstheme="minorHAnsi"/>
              </w:rPr>
              <w:t>“ trend in invertebrate stocks” seems not matching the indicator “proportion of fish stocks under sustainable management certification scheme”, fish or invertebrates?</w:t>
            </w:r>
          </w:p>
        </w:tc>
      </w:tr>
      <w:tr w:rsidR="00183CD6" w:rsidRPr="00515F18" w14:paraId="6263DF06" w14:textId="77777777" w:rsidTr="00933B3B">
        <w:trPr>
          <w:trHeight w:val="134"/>
        </w:trPr>
        <w:tc>
          <w:tcPr>
            <w:tcW w:w="1441" w:type="dxa"/>
          </w:tcPr>
          <w:p w14:paraId="5C6FFF2D" w14:textId="77777777" w:rsidR="00183CD6" w:rsidRPr="00515F18" w:rsidRDefault="00183CD6" w:rsidP="00515F18">
            <w:pPr>
              <w:autoSpaceDE w:val="0"/>
              <w:autoSpaceDN w:val="0"/>
              <w:adjustRightInd w:val="0"/>
              <w:spacing w:after="120" w:line="240" w:lineRule="auto"/>
              <w:rPr>
                <w:rFonts w:cstheme="minorHAnsi"/>
                <w:lang w:val="en-US"/>
              </w:rPr>
            </w:pPr>
          </w:p>
        </w:tc>
        <w:tc>
          <w:tcPr>
            <w:tcW w:w="13165" w:type="dxa"/>
          </w:tcPr>
          <w:p w14:paraId="4F9D58C8" w14:textId="77777777" w:rsidR="00183CD6" w:rsidRPr="00515F18" w:rsidRDefault="00183CD6" w:rsidP="00515F18">
            <w:pPr>
              <w:spacing w:after="120" w:line="240" w:lineRule="auto"/>
              <w:rPr>
                <w:rFonts w:cstheme="minorHAnsi"/>
                <w:kern w:val="22"/>
              </w:rPr>
            </w:pPr>
          </w:p>
        </w:tc>
      </w:tr>
      <w:tr w:rsidR="00183CD6" w:rsidRPr="00515F18" w14:paraId="7FFCABF8" w14:textId="77777777" w:rsidTr="00933B3B">
        <w:trPr>
          <w:trHeight w:val="134"/>
        </w:trPr>
        <w:tc>
          <w:tcPr>
            <w:tcW w:w="1441" w:type="dxa"/>
          </w:tcPr>
          <w:p w14:paraId="7A9DB206" w14:textId="52F1B149" w:rsidR="00183CD6" w:rsidRPr="00515F18" w:rsidRDefault="00183CD6" w:rsidP="00515F18">
            <w:pPr>
              <w:autoSpaceDE w:val="0"/>
              <w:autoSpaceDN w:val="0"/>
              <w:adjustRightInd w:val="0"/>
              <w:spacing w:after="120" w:line="240" w:lineRule="auto"/>
              <w:rPr>
                <w:rFonts w:cstheme="minorHAnsi"/>
                <w:lang w:val="en-US"/>
              </w:rPr>
            </w:pPr>
          </w:p>
        </w:tc>
        <w:tc>
          <w:tcPr>
            <w:tcW w:w="13165" w:type="dxa"/>
          </w:tcPr>
          <w:p w14:paraId="0EC39375" w14:textId="63E13D18" w:rsidR="00183CD6" w:rsidRPr="00515F18" w:rsidRDefault="00183CD6" w:rsidP="00515F18">
            <w:pPr>
              <w:spacing w:after="120" w:line="240" w:lineRule="auto"/>
              <w:rPr>
                <w:rFonts w:cstheme="minorHAnsi"/>
                <w:color w:val="000000" w:themeColor="text1"/>
              </w:rPr>
            </w:pPr>
          </w:p>
        </w:tc>
      </w:tr>
    </w:tbl>
    <w:p w14:paraId="6E95A3EB" w14:textId="38A8ADF4" w:rsidR="007861DC" w:rsidRPr="00515F18" w:rsidRDefault="007861DC" w:rsidP="00515F18">
      <w:pPr>
        <w:tabs>
          <w:tab w:val="left" w:pos="2943"/>
          <w:tab w:val="left" w:pos="6912"/>
          <w:tab w:val="left" w:pos="10314"/>
        </w:tabs>
        <w:spacing w:after="120" w:line="240" w:lineRule="auto"/>
        <w:rPr>
          <w:rFonts w:eastAsia="Arial" w:cstheme="minorHAnsi"/>
          <w:b/>
          <w:bCs/>
        </w:rPr>
      </w:pPr>
    </w:p>
    <w:sectPr w:rsidR="007861DC" w:rsidRPr="00515F18" w:rsidSect="00183CD6">
      <w:pgSz w:w="16838" w:h="23811" w:code="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0A99A" w14:textId="77777777" w:rsidR="00515F18" w:rsidRDefault="00515F18" w:rsidP="00371075">
      <w:pPr>
        <w:spacing w:after="0" w:line="240" w:lineRule="auto"/>
      </w:pPr>
      <w:r>
        <w:separator/>
      </w:r>
    </w:p>
  </w:endnote>
  <w:endnote w:type="continuationSeparator" w:id="0">
    <w:p w14:paraId="18412B94" w14:textId="77777777" w:rsidR="00515F18" w:rsidRDefault="00515F18" w:rsidP="00371075">
      <w:pPr>
        <w:spacing w:after="0" w:line="240" w:lineRule="auto"/>
      </w:pPr>
      <w:r>
        <w:continuationSeparator/>
      </w:r>
    </w:p>
  </w:endnote>
  <w:endnote w:type="continuationNotice" w:id="1">
    <w:p w14:paraId="647B8BE2" w14:textId="77777777" w:rsidR="00515F18" w:rsidRDefault="00515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Roboto">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657169"/>
      <w:docPartObj>
        <w:docPartGallery w:val="Page Numbers (Bottom of Page)"/>
        <w:docPartUnique/>
      </w:docPartObj>
    </w:sdtPr>
    <w:sdtEndPr>
      <w:rPr>
        <w:noProof/>
      </w:rPr>
    </w:sdtEndPr>
    <w:sdtContent>
      <w:p w14:paraId="4BA330F3" w14:textId="66B7D03C" w:rsidR="00515F18" w:rsidRDefault="00515F18">
        <w:pPr>
          <w:pStyle w:val="Footer"/>
          <w:jc w:val="center"/>
        </w:pPr>
        <w:r>
          <w:fldChar w:fldCharType="begin"/>
        </w:r>
        <w:r>
          <w:instrText xml:space="preserve"> PAGE   \* MERGEFORMAT </w:instrText>
        </w:r>
        <w:r>
          <w:fldChar w:fldCharType="separate"/>
        </w:r>
        <w:r w:rsidR="00575934">
          <w:rPr>
            <w:noProof/>
          </w:rPr>
          <w:t>5</w:t>
        </w:r>
        <w:r>
          <w:rPr>
            <w:noProof/>
          </w:rPr>
          <w:fldChar w:fldCharType="end"/>
        </w:r>
      </w:p>
    </w:sdtContent>
  </w:sdt>
  <w:p w14:paraId="69713135" w14:textId="77777777" w:rsidR="00515F18" w:rsidRDefault="00515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5D188" w14:textId="77777777" w:rsidR="00515F18" w:rsidRDefault="00515F18" w:rsidP="00371075">
      <w:pPr>
        <w:spacing w:after="0" w:line="240" w:lineRule="auto"/>
      </w:pPr>
      <w:r>
        <w:separator/>
      </w:r>
    </w:p>
  </w:footnote>
  <w:footnote w:type="continuationSeparator" w:id="0">
    <w:p w14:paraId="57E3BD1C" w14:textId="77777777" w:rsidR="00515F18" w:rsidRDefault="00515F18" w:rsidP="00371075">
      <w:pPr>
        <w:spacing w:after="0" w:line="240" w:lineRule="auto"/>
      </w:pPr>
      <w:r>
        <w:continuationSeparator/>
      </w:r>
    </w:p>
  </w:footnote>
  <w:footnote w:type="continuationNotice" w:id="1">
    <w:p w14:paraId="1E50D1EC" w14:textId="77777777" w:rsidR="00515F18" w:rsidRDefault="00515F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A6A9" w14:textId="4B83494F" w:rsidR="00515F18" w:rsidRDefault="00515F18">
    <w:pPr>
      <w:pStyle w:val="Header"/>
    </w:pPr>
  </w:p>
  <w:p w14:paraId="3736A995" w14:textId="792AD04A" w:rsidR="00515F18" w:rsidRDefault="00515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AE2"/>
    <w:multiLevelType w:val="hybridMultilevel"/>
    <w:tmpl w:val="10E6C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74BB"/>
    <w:multiLevelType w:val="hybridMultilevel"/>
    <w:tmpl w:val="75C6B93E"/>
    <w:lvl w:ilvl="0" w:tplc="210043B2">
      <w:start w:val="1"/>
      <w:numFmt w:val="decimal"/>
      <w:suff w:val="nothing"/>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E79DD"/>
    <w:multiLevelType w:val="hybridMultilevel"/>
    <w:tmpl w:val="B77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A005A"/>
    <w:multiLevelType w:val="hybridMultilevel"/>
    <w:tmpl w:val="4620C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91EB3"/>
    <w:multiLevelType w:val="hybridMultilevel"/>
    <w:tmpl w:val="EA1AB052"/>
    <w:lvl w:ilvl="0" w:tplc="C12C5EF8">
      <w:start w:val="1"/>
      <w:numFmt w:val="bullet"/>
      <w:lvlText w:val=""/>
      <w:lvlJc w:val="left"/>
      <w:pPr>
        <w:ind w:left="720" w:hanging="360"/>
      </w:pPr>
      <w:rPr>
        <w:rFonts w:ascii="Symbol" w:hAnsi="Symbol" w:hint="default"/>
      </w:rPr>
    </w:lvl>
    <w:lvl w:ilvl="1" w:tplc="E6226D86">
      <w:start w:val="1"/>
      <w:numFmt w:val="bullet"/>
      <w:lvlText w:val="o"/>
      <w:lvlJc w:val="left"/>
      <w:pPr>
        <w:ind w:left="1440" w:hanging="360"/>
      </w:pPr>
      <w:rPr>
        <w:rFonts w:ascii="Courier New" w:hAnsi="Courier New" w:hint="default"/>
      </w:rPr>
    </w:lvl>
    <w:lvl w:ilvl="2" w:tplc="4D6819A2">
      <w:start w:val="1"/>
      <w:numFmt w:val="bullet"/>
      <w:lvlText w:val=""/>
      <w:lvlJc w:val="left"/>
      <w:pPr>
        <w:ind w:left="2160" w:hanging="360"/>
      </w:pPr>
      <w:rPr>
        <w:rFonts w:ascii="Wingdings" w:hAnsi="Wingdings" w:hint="default"/>
      </w:rPr>
    </w:lvl>
    <w:lvl w:ilvl="3" w:tplc="A51A695C">
      <w:start w:val="1"/>
      <w:numFmt w:val="bullet"/>
      <w:lvlText w:val=""/>
      <w:lvlJc w:val="left"/>
      <w:pPr>
        <w:ind w:left="2880" w:hanging="360"/>
      </w:pPr>
      <w:rPr>
        <w:rFonts w:ascii="Symbol" w:hAnsi="Symbol" w:hint="default"/>
      </w:rPr>
    </w:lvl>
    <w:lvl w:ilvl="4" w:tplc="6688D990">
      <w:start w:val="1"/>
      <w:numFmt w:val="bullet"/>
      <w:lvlText w:val="o"/>
      <w:lvlJc w:val="left"/>
      <w:pPr>
        <w:ind w:left="3600" w:hanging="360"/>
      </w:pPr>
      <w:rPr>
        <w:rFonts w:ascii="Courier New" w:hAnsi="Courier New" w:hint="default"/>
      </w:rPr>
    </w:lvl>
    <w:lvl w:ilvl="5" w:tplc="ECB0D3E4">
      <w:start w:val="1"/>
      <w:numFmt w:val="bullet"/>
      <w:lvlText w:val=""/>
      <w:lvlJc w:val="left"/>
      <w:pPr>
        <w:ind w:left="4320" w:hanging="360"/>
      </w:pPr>
      <w:rPr>
        <w:rFonts w:ascii="Wingdings" w:hAnsi="Wingdings" w:hint="default"/>
      </w:rPr>
    </w:lvl>
    <w:lvl w:ilvl="6" w:tplc="5E08C17C">
      <w:start w:val="1"/>
      <w:numFmt w:val="bullet"/>
      <w:lvlText w:val=""/>
      <w:lvlJc w:val="left"/>
      <w:pPr>
        <w:ind w:left="5040" w:hanging="360"/>
      </w:pPr>
      <w:rPr>
        <w:rFonts w:ascii="Symbol" w:hAnsi="Symbol" w:hint="default"/>
      </w:rPr>
    </w:lvl>
    <w:lvl w:ilvl="7" w:tplc="5DBED32A">
      <w:start w:val="1"/>
      <w:numFmt w:val="bullet"/>
      <w:lvlText w:val="o"/>
      <w:lvlJc w:val="left"/>
      <w:pPr>
        <w:ind w:left="5760" w:hanging="360"/>
      </w:pPr>
      <w:rPr>
        <w:rFonts w:ascii="Courier New" w:hAnsi="Courier New" w:hint="default"/>
      </w:rPr>
    </w:lvl>
    <w:lvl w:ilvl="8" w:tplc="6C2072A8">
      <w:start w:val="1"/>
      <w:numFmt w:val="bullet"/>
      <w:lvlText w:val=""/>
      <w:lvlJc w:val="left"/>
      <w:pPr>
        <w:ind w:left="6480" w:hanging="360"/>
      </w:pPr>
      <w:rPr>
        <w:rFonts w:ascii="Wingdings" w:hAnsi="Wingdings" w:hint="default"/>
      </w:rPr>
    </w:lvl>
  </w:abstractNum>
  <w:abstractNum w:abstractNumId="5" w15:restartNumberingAfterBreak="0">
    <w:nsid w:val="112745F9"/>
    <w:multiLevelType w:val="hybridMultilevel"/>
    <w:tmpl w:val="3ADC6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65AA4"/>
    <w:multiLevelType w:val="hybridMultilevel"/>
    <w:tmpl w:val="EBC22D96"/>
    <w:lvl w:ilvl="0" w:tplc="13EC9F76">
      <w:numFmt w:val="bullet"/>
      <w:lvlText w:val="-"/>
      <w:lvlJc w:val="left"/>
      <w:pPr>
        <w:ind w:left="1080" w:hanging="360"/>
      </w:pPr>
      <w:rPr>
        <w:rFonts w:ascii="Calibri" w:eastAsiaTheme="minorHAnsi" w:hAnsi="Calibri" w:cs="Calibri"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E76961"/>
    <w:multiLevelType w:val="hybridMultilevel"/>
    <w:tmpl w:val="05F25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E95C67"/>
    <w:multiLevelType w:val="hybridMultilevel"/>
    <w:tmpl w:val="89BC68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9F3A67"/>
    <w:multiLevelType w:val="hybridMultilevel"/>
    <w:tmpl w:val="F282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77C9A"/>
    <w:multiLevelType w:val="hybridMultilevel"/>
    <w:tmpl w:val="D9A413EA"/>
    <w:lvl w:ilvl="0" w:tplc="DCC02F96">
      <w:numFmt w:val="bullet"/>
      <w:lvlText w:val="-"/>
      <w:lvlJc w:val="left"/>
      <w:pPr>
        <w:ind w:left="1080" w:hanging="360"/>
      </w:pPr>
      <w:rPr>
        <w:rFonts w:ascii="Calibri" w:eastAsiaTheme="minorHAnsi" w:hAnsi="Calibri" w:cs="Calibri" w:hint="default"/>
        <w:color w:val="0D6CAC"/>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C02354"/>
    <w:multiLevelType w:val="hybridMultilevel"/>
    <w:tmpl w:val="F1088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3F3300"/>
    <w:multiLevelType w:val="hybridMultilevel"/>
    <w:tmpl w:val="A658ED9E"/>
    <w:lvl w:ilvl="0" w:tplc="658E8E90">
      <w:start w:val="1"/>
      <w:numFmt w:val="decimal"/>
      <w:lvlText w:val="%1."/>
      <w:lvlJc w:val="left"/>
      <w:pPr>
        <w:ind w:left="531" w:hanging="36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13" w15:restartNumberingAfterBreak="0">
    <w:nsid w:val="3C0712D6"/>
    <w:multiLevelType w:val="hybridMultilevel"/>
    <w:tmpl w:val="4CD4B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E29E1"/>
    <w:multiLevelType w:val="hybridMultilevel"/>
    <w:tmpl w:val="A7088BE2"/>
    <w:lvl w:ilvl="0" w:tplc="0809000F">
      <w:start w:val="1"/>
      <w:numFmt w:val="decimal"/>
      <w:lvlText w:val="%1."/>
      <w:lvlJc w:val="left"/>
      <w:pPr>
        <w:ind w:left="36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7C07B0"/>
    <w:multiLevelType w:val="hybridMultilevel"/>
    <w:tmpl w:val="07B89B68"/>
    <w:lvl w:ilvl="0" w:tplc="B0A06DCA">
      <w:start w:val="2"/>
      <w:numFmt w:val="decimal"/>
      <w:suff w:val="space"/>
      <w:lvlText w:val="%1."/>
      <w:lvlJc w:val="left"/>
      <w:pPr>
        <w:ind w:left="113" w:firstLine="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6" w15:restartNumberingAfterBreak="0">
    <w:nsid w:val="5862655E"/>
    <w:multiLevelType w:val="hybridMultilevel"/>
    <w:tmpl w:val="07B89B68"/>
    <w:lvl w:ilvl="0" w:tplc="B0A06DCA">
      <w:start w:val="2"/>
      <w:numFmt w:val="decimal"/>
      <w:suff w:val="space"/>
      <w:lvlText w:val="%1."/>
      <w:lvlJc w:val="left"/>
      <w:pPr>
        <w:ind w:left="113" w:firstLine="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7" w15:restartNumberingAfterBreak="0">
    <w:nsid w:val="65BA570E"/>
    <w:multiLevelType w:val="hybridMultilevel"/>
    <w:tmpl w:val="75C6B93E"/>
    <w:lvl w:ilvl="0" w:tplc="210043B2">
      <w:start w:val="1"/>
      <w:numFmt w:val="decimal"/>
      <w:suff w:val="nothing"/>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225F90"/>
    <w:multiLevelType w:val="hybridMultilevel"/>
    <w:tmpl w:val="D660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93259F"/>
    <w:multiLevelType w:val="hybridMultilevel"/>
    <w:tmpl w:val="F0C07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3"/>
  </w:num>
  <w:num w:numId="5">
    <w:abstractNumId w:val="7"/>
  </w:num>
  <w:num w:numId="6">
    <w:abstractNumId w:val="14"/>
  </w:num>
  <w:num w:numId="7">
    <w:abstractNumId w:val="5"/>
  </w:num>
  <w:num w:numId="8">
    <w:abstractNumId w:val="18"/>
  </w:num>
  <w:num w:numId="9">
    <w:abstractNumId w:val="19"/>
  </w:num>
  <w:num w:numId="10">
    <w:abstractNumId w:val="15"/>
  </w:num>
  <w:num w:numId="11">
    <w:abstractNumId w:val="0"/>
  </w:num>
  <w:num w:numId="12">
    <w:abstractNumId w:val="12"/>
  </w:num>
  <w:num w:numId="13">
    <w:abstractNumId w:val="17"/>
  </w:num>
  <w:num w:numId="14">
    <w:abstractNumId w:val="13"/>
  </w:num>
  <w:num w:numId="15">
    <w:abstractNumId w:val="1"/>
  </w:num>
  <w:num w:numId="16">
    <w:abstractNumId w:val="16"/>
  </w:num>
  <w:num w:numId="17">
    <w:abstractNumId w:val="9"/>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3NjQxMrMwNzI0NTFT0lEKTi0uzszPAykwrAUA/JuEQiwAAAA="/>
  </w:docVars>
  <w:rsids>
    <w:rsidRoot w:val="00F704C9"/>
    <w:rsid w:val="000004B2"/>
    <w:rsid w:val="000006FB"/>
    <w:rsid w:val="00000E04"/>
    <w:rsid w:val="00002707"/>
    <w:rsid w:val="00003D75"/>
    <w:rsid w:val="00004171"/>
    <w:rsid w:val="000103D0"/>
    <w:rsid w:val="00011285"/>
    <w:rsid w:val="00011602"/>
    <w:rsid w:val="00012D10"/>
    <w:rsid w:val="00015BB6"/>
    <w:rsid w:val="000164D7"/>
    <w:rsid w:val="00021012"/>
    <w:rsid w:val="00022912"/>
    <w:rsid w:val="00024991"/>
    <w:rsid w:val="00024E4B"/>
    <w:rsid w:val="00025AF3"/>
    <w:rsid w:val="00025FE0"/>
    <w:rsid w:val="00027078"/>
    <w:rsid w:val="00027353"/>
    <w:rsid w:val="00030800"/>
    <w:rsid w:val="00030FF9"/>
    <w:rsid w:val="00031181"/>
    <w:rsid w:val="00033AD7"/>
    <w:rsid w:val="000364BD"/>
    <w:rsid w:val="000364D7"/>
    <w:rsid w:val="000367D8"/>
    <w:rsid w:val="000400A3"/>
    <w:rsid w:val="000436BD"/>
    <w:rsid w:val="00043CC4"/>
    <w:rsid w:val="00044230"/>
    <w:rsid w:val="000445C2"/>
    <w:rsid w:val="0004671D"/>
    <w:rsid w:val="00047657"/>
    <w:rsid w:val="000509F6"/>
    <w:rsid w:val="00054F30"/>
    <w:rsid w:val="000571B6"/>
    <w:rsid w:val="0005781A"/>
    <w:rsid w:val="0005785C"/>
    <w:rsid w:val="000603E2"/>
    <w:rsid w:val="00064581"/>
    <w:rsid w:val="0006479A"/>
    <w:rsid w:val="00070985"/>
    <w:rsid w:val="00072A23"/>
    <w:rsid w:val="00073D94"/>
    <w:rsid w:val="00076528"/>
    <w:rsid w:val="000767FE"/>
    <w:rsid w:val="00080098"/>
    <w:rsid w:val="00081812"/>
    <w:rsid w:val="000835E3"/>
    <w:rsid w:val="00084B25"/>
    <w:rsid w:val="000856CF"/>
    <w:rsid w:val="000856FC"/>
    <w:rsid w:val="0008731A"/>
    <w:rsid w:val="00090F15"/>
    <w:rsid w:val="00091F5B"/>
    <w:rsid w:val="000935CF"/>
    <w:rsid w:val="0009648F"/>
    <w:rsid w:val="000A073C"/>
    <w:rsid w:val="000A0979"/>
    <w:rsid w:val="000A0F2A"/>
    <w:rsid w:val="000A2B22"/>
    <w:rsid w:val="000A4CF4"/>
    <w:rsid w:val="000A5E33"/>
    <w:rsid w:val="000A734C"/>
    <w:rsid w:val="000B1534"/>
    <w:rsid w:val="000B2218"/>
    <w:rsid w:val="000B30CD"/>
    <w:rsid w:val="000B6F57"/>
    <w:rsid w:val="000C0441"/>
    <w:rsid w:val="000C187F"/>
    <w:rsid w:val="000C2B24"/>
    <w:rsid w:val="000C5429"/>
    <w:rsid w:val="000C71C7"/>
    <w:rsid w:val="000C7EBC"/>
    <w:rsid w:val="000D100A"/>
    <w:rsid w:val="000D1061"/>
    <w:rsid w:val="000D624A"/>
    <w:rsid w:val="000D63B2"/>
    <w:rsid w:val="000D65ED"/>
    <w:rsid w:val="000D7041"/>
    <w:rsid w:val="000D754C"/>
    <w:rsid w:val="000D7785"/>
    <w:rsid w:val="000E1396"/>
    <w:rsid w:val="000E1CE9"/>
    <w:rsid w:val="000E5B65"/>
    <w:rsid w:val="000E67ED"/>
    <w:rsid w:val="000E6F6C"/>
    <w:rsid w:val="000F1C21"/>
    <w:rsid w:val="000F1E34"/>
    <w:rsid w:val="000F32D0"/>
    <w:rsid w:val="001039D7"/>
    <w:rsid w:val="00105EB7"/>
    <w:rsid w:val="00106023"/>
    <w:rsid w:val="00110EE9"/>
    <w:rsid w:val="001171BD"/>
    <w:rsid w:val="00117885"/>
    <w:rsid w:val="0012453B"/>
    <w:rsid w:val="001246BA"/>
    <w:rsid w:val="00124C1E"/>
    <w:rsid w:val="00124F8E"/>
    <w:rsid w:val="001269C5"/>
    <w:rsid w:val="001306E0"/>
    <w:rsid w:val="00131606"/>
    <w:rsid w:val="00133EC2"/>
    <w:rsid w:val="00137A22"/>
    <w:rsid w:val="00137ABC"/>
    <w:rsid w:val="001413BD"/>
    <w:rsid w:val="00142ECE"/>
    <w:rsid w:val="00144F77"/>
    <w:rsid w:val="00146B76"/>
    <w:rsid w:val="00154523"/>
    <w:rsid w:val="001547DF"/>
    <w:rsid w:val="00156E6B"/>
    <w:rsid w:val="0015739B"/>
    <w:rsid w:val="0015763E"/>
    <w:rsid w:val="001577EE"/>
    <w:rsid w:val="00163A26"/>
    <w:rsid w:val="001640B8"/>
    <w:rsid w:val="00170B03"/>
    <w:rsid w:val="001714A7"/>
    <w:rsid w:val="00171750"/>
    <w:rsid w:val="00172A3D"/>
    <w:rsid w:val="00173DD9"/>
    <w:rsid w:val="00180A86"/>
    <w:rsid w:val="001813F5"/>
    <w:rsid w:val="00181B9F"/>
    <w:rsid w:val="00182607"/>
    <w:rsid w:val="00182EFF"/>
    <w:rsid w:val="00183CD6"/>
    <w:rsid w:val="001919A5"/>
    <w:rsid w:val="00193569"/>
    <w:rsid w:val="00195795"/>
    <w:rsid w:val="001A18B3"/>
    <w:rsid w:val="001A2390"/>
    <w:rsid w:val="001A3373"/>
    <w:rsid w:val="001A40B8"/>
    <w:rsid w:val="001A6A84"/>
    <w:rsid w:val="001A7D85"/>
    <w:rsid w:val="001B00C9"/>
    <w:rsid w:val="001B02AF"/>
    <w:rsid w:val="001B2335"/>
    <w:rsid w:val="001B3C35"/>
    <w:rsid w:val="001B5CE2"/>
    <w:rsid w:val="001C121B"/>
    <w:rsid w:val="001C237E"/>
    <w:rsid w:val="001C677C"/>
    <w:rsid w:val="001C6C76"/>
    <w:rsid w:val="001C74FB"/>
    <w:rsid w:val="001D268A"/>
    <w:rsid w:val="001D2990"/>
    <w:rsid w:val="001D3F1F"/>
    <w:rsid w:val="001D57A3"/>
    <w:rsid w:val="001D6579"/>
    <w:rsid w:val="001D68F1"/>
    <w:rsid w:val="001D764F"/>
    <w:rsid w:val="001D7D20"/>
    <w:rsid w:val="001E2FC4"/>
    <w:rsid w:val="001E3785"/>
    <w:rsid w:val="001E5FC1"/>
    <w:rsid w:val="001E6794"/>
    <w:rsid w:val="001F0812"/>
    <w:rsid w:val="001F4E15"/>
    <w:rsid w:val="001F613C"/>
    <w:rsid w:val="001F7464"/>
    <w:rsid w:val="002009A8"/>
    <w:rsid w:val="002011D8"/>
    <w:rsid w:val="002020EE"/>
    <w:rsid w:val="002029CF"/>
    <w:rsid w:val="00202A36"/>
    <w:rsid w:val="0020369A"/>
    <w:rsid w:val="0020418C"/>
    <w:rsid w:val="002047C3"/>
    <w:rsid w:val="00211EB1"/>
    <w:rsid w:val="00224794"/>
    <w:rsid w:val="00225D66"/>
    <w:rsid w:val="00226CF3"/>
    <w:rsid w:val="00230A76"/>
    <w:rsid w:val="002322E3"/>
    <w:rsid w:val="00232BA3"/>
    <w:rsid w:val="00236663"/>
    <w:rsid w:val="00241E1C"/>
    <w:rsid w:val="0024549B"/>
    <w:rsid w:val="0024566B"/>
    <w:rsid w:val="0024634F"/>
    <w:rsid w:val="00254664"/>
    <w:rsid w:val="00255120"/>
    <w:rsid w:val="00255EE2"/>
    <w:rsid w:val="0025602B"/>
    <w:rsid w:val="002563FC"/>
    <w:rsid w:val="002564C1"/>
    <w:rsid w:val="00256A8A"/>
    <w:rsid w:val="0026082C"/>
    <w:rsid w:val="00261D6C"/>
    <w:rsid w:val="0026211F"/>
    <w:rsid w:val="0026308D"/>
    <w:rsid w:val="00270815"/>
    <w:rsid w:val="00277434"/>
    <w:rsid w:val="00277D42"/>
    <w:rsid w:val="00281A2C"/>
    <w:rsid w:val="00282C32"/>
    <w:rsid w:val="00283425"/>
    <w:rsid w:val="00284B52"/>
    <w:rsid w:val="002915B7"/>
    <w:rsid w:val="00291EE0"/>
    <w:rsid w:val="00292092"/>
    <w:rsid w:val="002935F5"/>
    <w:rsid w:val="00294F8B"/>
    <w:rsid w:val="00295354"/>
    <w:rsid w:val="00295B5B"/>
    <w:rsid w:val="00296EA7"/>
    <w:rsid w:val="00297076"/>
    <w:rsid w:val="002A061C"/>
    <w:rsid w:val="002A2805"/>
    <w:rsid w:val="002A2BD0"/>
    <w:rsid w:val="002A32FD"/>
    <w:rsid w:val="002A4AA2"/>
    <w:rsid w:val="002A4F92"/>
    <w:rsid w:val="002A6046"/>
    <w:rsid w:val="002A748E"/>
    <w:rsid w:val="002B122E"/>
    <w:rsid w:val="002B26A5"/>
    <w:rsid w:val="002B4A59"/>
    <w:rsid w:val="002B64E0"/>
    <w:rsid w:val="002B6873"/>
    <w:rsid w:val="002B7D9A"/>
    <w:rsid w:val="002C0A95"/>
    <w:rsid w:val="002C115E"/>
    <w:rsid w:val="002C1174"/>
    <w:rsid w:val="002C4BF1"/>
    <w:rsid w:val="002C56D7"/>
    <w:rsid w:val="002D0354"/>
    <w:rsid w:val="002D426C"/>
    <w:rsid w:val="002D72EC"/>
    <w:rsid w:val="002D7CDB"/>
    <w:rsid w:val="002E1418"/>
    <w:rsid w:val="002E2536"/>
    <w:rsid w:val="002E2CED"/>
    <w:rsid w:val="002E348D"/>
    <w:rsid w:val="002E5760"/>
    <w:rsid w:val="002E7225"/>
    <w:rsid w:val="002F0D8B"/>
    <w:rsid w:val="002F140A"/>
    <w:rsid w:val="002F3A64"/>
    <w:rsid w:val="002F3BC1"/>
    <w:rsid w:val="002F42F5"/>
    <w:rsid w:val="002F44A4"/>
    <w:rsid w:val="002F528B"/>
    <w:rsid w:val="002F7E99"/>
    <w:rsid w:val="00301531"/>
    <w:rsid w:val="003023DB"/>
    <w:rsid w:val="00307D9D"/>
    <w:rsid w:val="003130F0"/>
    <w:rsid w:val="00313879"/>
    <w:rsid w:val="00313E4A"/>
    <w:rsid w:val="00314017"/>
    <w:rsid w:val="00315104"/>
    <w:rsid w:val="003153BA"/>
    <w:rsid w:val="00315F76"/>
    <w:rsid w:val="003161B0"/>
    <w:rsid w:val="0031779D"/>
    <w:rsid w:val="003217C7"/>
    <w:rsid w:val="00327E15"/>
    <w:rsid w:val="00332CB1"/>
    <w:rsid w:val="0033306E"/>
    <w:rsid w:val="003333C4"/>
    <w:rsid w:val="00335235"/>
    <w:rsid w:val="003362FC"/>
    <w:rsid w:val="00340DCB"/>
    <w:rsid w:val="00341439"/>
    <w:rsid w:val="00341C9B"/>
    <w:rsid w:val="003424B9"/>
    <w:rsid w:val="003434A1"/>
    <w:rsid w:val="00346AC8"/>
    <w:rsid w:val="003478AE"/>
    <w:rsid w:val="003478B4"/>
    <w:rsid w:val="003505A1"/>
    <w:rsid w:val="00350614"/>
    <w:rsid w:val="0035581E"/>
    <w:rsid w:val="00356270"/>
    <w:rsid w:val="00356500"/>
    <w:rsid w:val="00360DF2"/>
    <w:rsid w:val="00362BC7"/>
    <w:rsid w:val="0036320B"/>
    <w:rsid w:val="00364E07"/>
    <w:rsid w:val="003700B0"/>
    <w:rsid w:val="00371075"/>
    <w:rsid w:val="0037414D"/>
    <w:rsid w:val="00375A57"/>
    <w:rsid w:val="003770B1"/>
    <w:rsid w:val="0038101B"/>
    <w:rsid w:val="003817A5"/>
    <w:rsid w:val="0038192F"/>
    <w:rsid w:val="00382572"/>
    <w:rsid w:val="00383712"/>
    <w:rsid w:val="00383D7E"/>
    <w:rsid w:val="00385EE0"/>
    <w:rsid w:val="00393F62"/>
    <w:rsid w:val="00396545"/>
    <w:rsid w:val="003965C3"/>
    <w:rsid w:val="00396FC4"/>
    <w:rsid w:val="003A04E1"/>
    <w:rsid w:val="003A0B73"/>
    <w:rsid w:val="003A17C0"/>
    <w:rsid w:val="003A4617"/>
    <w:rsid w:val="003A5FA4"/>
    <w:rsid w:val="003A6C8D"/>
    <w:rsid w:val="003B1EAD"/>
    <w:rsid w:val="003B2410"/>
    <w:rsid w:val="003B2F77"/>
    <w:rsid w:val="003B34CC"/>
    <w:rsid w:val="003B45B1"/>
    <w:rsid w:val="003B5733"/>
    <w:rsid w:val="003B6CE4"/>
    <w:rsid w:val="003B7F87"/>
    <w:rsid w:val="003C0ECE"/>
    <w:rsid w:val="003C1DBC"/>
    <w:rsid w:val="003C2F00"/>
    <w:rsid w:val="003C381F"/>
    <w:rsid w:val="003C550E"/>
    <w:rsid w:val="003C5F09"/>
    <w:rsid w:val="003C6873"/>
    <w:rsid w:val="003C6CD7"/>
    <w:rsid w:val="003C6F50"/>
    <w:rsid w:val="003D1738"/>
    <w:rsid w:val="003D3716"/>
    <w:rsid w:val="003D53D4"/>
    <w:rsid w:val="003D7725"/>
    <w:rsid w:val="003D7FE1"/>
    <w:rsid w:val="003E1C64"/>
    <w:rsid w:val="003E52DF"/>
    <w:rsid w:val="003E6625"/>
    <w:rsid w:val="003F55D9"/>
    <w:rsid w:val="004010D4"/>
    <w:rsid w:val="00402FAA"/>
    <w:rsid w:val="004052AA"/>
    <w:rsid w:val="00410592"/>
    <w:rsid w:val="00410EAF"/>
    <w:rsid w:val="00412B89"/>
    <w:rsid w:val="00416AB0"/>
    <w:rsid w:val="00421A15"/>
    <w:rsid w:val="00422871"/>
    <w:rsid w:val="004254EA"/>
    <w:rsid w:val="00430792"/>
    <w:rsid w:val="00430DB8"/>
    <w:rsid w:val="0043261A"/>
    <w:rsid w:val="00432EEA"/>
    <w:rsid w:val="00433E90"/>
    <w:rsid w:val="00437BE6"/>
    <w:rsid w:val="00442C20"/>
    <w:rsid w:val="004445FA"/>
    <w:rsid w:val="00446467"/>
    <w:rsid w:val="00450542"/>
    <w:rsid w:val="00452E5D"/>
    <w:rsid w:val="00453A99"/>
    <w:rsid w:val="004574CD"/>
    <w:rsid w:val="00457AC0"/>
    <w:rsid w:val="00462D94"/>
    <w:rsid w:val="004635DD"/>
    <w:rsid w:val="0046585F"/>
    <w:rsid w:val="00465C9E"/>
    <w:rsid w:val="004725BF"/>
    <w:rsid w:val="004734A3"/>
    <w:rsid w:val="00474CCE"/>
    <w:rsid w:val="004752DB"/>
    <w:rsid w:val="004760C7"/>
    <w:rsid w:val="004766E2"/>
    <w:rsid w:val="00476906"/>
    <w:rsid w:val="004775AD"/>
    <w:rsid w:val="00480A3E"/>
    <w:rsid w:val="00481314"/>
    <w:rsid w:val="00481CE4"/>
    <w:rsid w:val="00483964"/>
    <w:rsid w:val="00484686"/>
    <w:rsid w:val="004846D5"/>
    <w:rsid w:val="00485417"/>
    <w:rsid w:val="00490192"/>
    <w:rsid w:val="00490E6E"/>
    <w:rsid w:val="00491748"/>
    <w:rsid w:val="00491C15"/>
    <w:rsid w:val="00493304"/>
    <w:rsid w:val="00495C64"/>
    <w:rsid w:val="00495E40"/>
    <w:rsid w:val="004A1F8B"/>
    <w:rsid w:val="004A23A8"/>
    <w:rsid w:val="004A303A"/>
    <w:rsid w:val="004B1FB7"/>
    <w:rsid w:val="004B3E2C"/>
    <w:rsid w:val="004B4702"/>
    <w:rsid w:val="004B55FA"/>
    <w:rsid w:val="004B71BE"/>
    <w:rsid w:val="004C21F8"/>
    <w:rsid w:val="004C52F7"/>
    <w:rsid w:val="004C6AC2"/>
    <w:rsid w:val="004D0633"/>
    <w:rsid w:val="004D0A43"/>
    <w:rsid w:val="004D3518"/>
    <w:rsid w:val="004D3863"/>
    <w:rsid w:val="004D48BB"/>
    <w:rsid w:val="004D7C0E"/>
    <w:rsid w:val="004D7FD7"/>
    <w:rsid w:val="004E08CF"/>
    <w:rsid w:val="004E0948"/>
    <w:rsid w:val="004E0BD5"/>
    <w:rsid w:val="004E1632"/>
    <w:rsid w:val="004E29D7"/>
    <w:rsid w:val="004E4B07"/>
    <w:rsid w:val="004E4EF3"/>
    <w:rsid w:val="004E5E16"/>
    <w:rsid w:val="004F0441"/>
    <w:rsid w:val="004F0AC4"/>
    <w:rsid w:val="004F2985"/>
    <w:rsid w:val="004F47FF"/>
    <w:rsid w:val="004F6663"/>
    <w:rsid w:val="004F6AB3"/>
    <w:rsid w:val="004F7374"/>
    <w:rsid w:val="00501055"/>
    <w:rsid w:val="00501C55"/>
    <w:rsid w:val="00502FDB"/>
    <w:rsid w:val="005056AD"/>
    <w:rsid w:val="00507113"/>
    <w:rsid w:val="00510585"/>
    <w:rsid w:val="00511D20"/>
    <w:rsid w:val="00511D4B"/>
    <w:rsid w:val="00512AC5"/>
    <w:rsid w:val="00515197"/>
    <w:rsid w:val="00515F18"/>
    <w:rsid w:val="005277C7"/>
    <w:rsid w:val="005300D1"/>
    <w:rsid w:val="00531C6D"/>
    <w:rsid w:val="0053674C"/>
    <w:rsid w:val="005413B8"/>
    <w:rsid w:val="00541B3A"/>
    <w:rsid w:val="00541B83"/>
    <w:rsid w:val="005440B1"/>
    <w:rsid w:val="005445AB"/>
    <w:rsid w:val="00544C6D"/>
    <w:rsid w:val="00546B29"/>
    <w:rsid w:val="00547514"/>
    <w:rsid w:val="0055092E"/>
    <w:rsid w:val="005526FD"/>
    <w:rsid w:val="00553598"/>
    <w:rsid w:val="005546FC"/>
    <w:rsid w:val="00561676"/>
    <w:rsid w:val="005647DE"/>
    <w:rsid w:val="00565D02"/>
    <w:rsid w:val="005674C8"/>
    <w:rsid w:val="0057275F"/>
    <w:rsid w:val="00573AA9"/>
    <w:rsid w:val="00574BDC"/>
    <w:rsid w:val="00575934"/>
    <w:rsid w:val="00577E24"/>
    <w:rsid w:val="005828AF"/>
    <w:rsid w:val="00582A09"/>
    <w:rsid w:val="00583527"/>
    <w:rsid w:val="00584803"/>
    <w:rsid w:val="00590B90"/>
    <w:rsid w:val="00592A73"/>
    <w:rsid w:val="005971BD"/>
    <w:rsid w:val="005A1981"/>
    <w:rsid w:val="005A313F"/>
    <w:rsid w:val="005A49E7"/>
    <w:rsid w:val="005A69F1"/>
    <w:rsid w:val="005B26C3"/>
    <w:rsid w:val="005B2C0F"/>
    <w:rsid w:val="005B2DEF"/>
    <w:rsid w:val="005C1111"/>
    <w:rsid w:val="005C6341"/>
    <w:rsid w:val="005C7F7D"/>
    <w:rsid w:val="005D19E6"/>
    <w:rsid w:val="005D256F"/>
    <w:rsid w:val="005D2994"/>
    <w:rsid w:val="005D4214"/>
    <w:rsid w:val="005D686B"/>
    <w:rsid w:val="005E1940"/>
    <w:rsid w:val="005E2435"/>
    <w:rsid w:val="005E2993"/>
    <w:rsid w:val="005E2F80"/>
    <w:rsid w:val="005E3001"/>
    <w:rsid w:val="005E3798"/>
    <w:rsid w:val="005E402D"/>
    <w:rsid w:val="005E6CEF"/>
    <w:rsid w:val="005F31C2"/>
    <w:rsid w:val="005F3847"/>
    <w:rsid w:val="005F7B93"/>
    <w:rsid w:val="00601DF0"/>
    <w:rsid w:val="006033A4"/>
    <w:rsid w:val="006034CF"/>
    <w:rsid w:val="006062BD"/>
    <w:rsid w:val="00610EFA"/>
    <w:rsid w:val="006112FB"/>
    <w:rsid w:val="0061302E"/>
    <w:rsid w:val="00615161"/>
    <w:rsid w:val="0061707E"/>
    <w:rsid w:val="006202B2"/>
    <w:rsid w:val="0062058E"/>
    <w:rsid w:val="006219C2"/>
    <w:rsid w:val="00625245"/>
    <w:rsid w:val="00625915"/>
    <w:rsid w:val="00631D61"/>
    <w:rsid w:val="006324E8"/>
    <w:rsid w:val="00635EB3"/>
    <w:rsid w:val="00636940"/>
    <w:rsid w:val="00642604"/>
    <w:rsid w:val="006437FF"/>
    <w:rsid w:val="00644045"/>
    <w:rsid w:val="00645727"/>
    <w:rsid w:val="00645F95"/>
    <w:rsid w:val="00647633"/>
    <w:rsid w:val="006522A3"/>
    <w:rsid w:val="00653AF9"/>
    <w:rsid w:val="006568E8"/>
    <w:rsid w:val="00657826"/>
    <w:rsid w:val="0066052B"/>
    <w:rsid w:val="0066148B"/>
    <w:rsid w:val="00661CAC"/>
    <w:rsid w:val="00662DA1"/>
    <w:rsid w:val="00663377"/>
    <w:rsid w:val="00664763"/>
    <w:rsid w:val="00667212"/>
    <w:rsid w:val="006673CA"/>
    <w:rsid w:val="00670C49"/>
    <w:rsid w:val="0067702D"/>
    <w:rsid w:val="00681210"/>
    <w:rsid w:val="0068137C"/>
    <w:rsid w:val="00683277"/>
    <w:rsid w:val="0068345C"/>
    <w:rsid w:val="0069081E"/>
    <w:rsid w:val="00691F65"/>
    <w:rsid w:val="00695D13"/>
    <w:rsid w:val="00696670"/>
    <w:rsid w:val="006976B6"/>
    <w:rsid w:val="006A0E2D"/>
    <w:rsid w:val="006A1C18"/>
    <w:rsid w:val="006A22E0"/>
    <w:rsid w:val="006A470E"/>
    <w:rsid w:val="006A493C"/>
    <w:rsid w:val="006A4B1D"/>
    <w:rsid w:val="006A532F"/>
    <w:rsid w:val="006A6144"/>
    <w:rsid w:val="006A6DAB"/>
    <w:rsid w:val="006A7365"/>
    <w:rsid w:val="006A7525"/>
    <w:rsid w:val="006A7FB3"/>
    <w:rsid w:val="006B04F9"/>
    <w:rsid w:val="006C4339"/>
    <w:rsid w:val="006C4C9D"/>
    <w:rsid w:val="006C56E8"/>
    <w:rsid w:val="006C5A07"/>
    <w:rsid w:val="006D0214"/>
    <w:rsid w:val="006D382D"/>
    <w:rsid w:val="006D4753"/>
    <w:rsid w:val="006D6BE7"/>
    <w:rsid w:val="006E0869"/>
    <w:rsid w:val="006E29E7"/>
    <w:rsid w:val="006E60C2"/>
    <w:rsid w:val="006E73E8"/>
    <w:rsid w:val="006F067E"/>
    <w:rsid w:val="006F1AF2"/>
    <w:rsid w:val="00702D26"/>
    <w:rsid w:val="007035A6"/>
    <w:rsid w:val="00706559"/>
    <w:rsid w:val="0071037C"/>
    <w:rsid w:val="007118DE"/>
    <w:rsid w:val="00711A4C"/>
    <w:rsid w:val="00712810"/>
    <w:rsid w:val="007159EF"/>
    <w:rsid w:val="007168A3"/>
    <w:rsid w:val="00716967"/>
    <w:rsid w:val="00720C54"/>
    <w:rsid w:val="00725665"/>
    <w:rsid w:val="00725DEA"/>
    <w:rsid w:val="007327BF"/>
    <w:rsid w:val="00734CF2"/>
    <w:rsid w:val="00736C11"/>
    <w:rsid w:val="00736DB1"/>
    <w:rsid w:val="00736DE1"/>
    <w:rsid w:val="007405C6"/>
    <w:rsid w:val="00742D22"/>
    <w:rsid w:val="00743879"/>
    <w:rsid w:val="00746522"/>
    <w:rsid w:val="0074760B"/>
    <w:rsid w:val="00747B38"/>
    <w:rsid w:val="007521BF"/>
    <w:rsid w:val="00752C9E"/>
    <w:rsid w:val="00753B86"/>
    <w:rsid w:val="007566ED"/>
    <w:rsid w:val="007570B2"/>
    <w:rsid w:val="00766D18"/>
    <w:rsid w:val="00767C91"/>
    <w:rsid w:val="00770ABF"/>
    <w:rsid w:val="00770C4B"/>
    <w:rsid w:val="00770CCB"/>
    <w:rsid w:val="00772820"/>
    <w:rsid w:val="00777C62"/>
    <w:rsid w:val="0078025B"/>
    <w:rsid w:val="007803CD"/>
    <w:rsid w:val="00782787"/>
    <w:rsid w:val="00782A79"/>
    <w:rsid w:val="0078320C"/>
    <w:rsid w:val="007841CB"/>
    <w:rsid w:val="007861DC"/>
    <w:rsid w:val="00793CB1"/>
    <w:rsid w:val="00795037"/>
    <w:rsid w:val="0079523A"/>
    <w:rsid w:val="007968B2"/>
    <w:rsid w:val="00797A2E"/>
    <w:rsid w:val="00797D68"/>
    <w:rsid w:val="007A15AD"/>
    <w:rsid w:val="007A1C26"/>
    <w:rsid w:val="007A2A69"/>
    <w:rsid w:val="007A436F"/>
    <w:rsid w:val="007A458C"/>
    <w:rsid w:val="007A4BE8"/>
    <w:rsid w:val="007A6CFF"/>
    <w:rsid w:val="007B025E"/>
    <w:rsid w:val="007B0530"/>
    <w:rsid w:val="007B130D"/>
    <w:rsid w:val="007B22B6"/>
    <w:rsid w:val="007B2A06"/>
    <w:rsid w:val="007B35AC"/>
    <w:rsid w:val="007B5ECC"/>
    <w:rsid w:val="007B6E4E"/>
    <w:rsid w:val="007C0B6D"/>
    <w:rsid w:val="007C0D05"/>
    <w:rsid w:val="007C197C"/>
    <w:rsid w:val="007C49F8"/>
    <w:rsid w:val="007C4F98"/>
    <w:rsid w:val="007C560B"/>
    <w:rsid w:val="007D259B"/>
    <w:rsid w:val="007D346B"/>
    <w:rsid w:val="007D4993"/>
    <w:rsid w:val="007D5034"/>
    <w:rsid w:val="007D5CC7"/>
    <w:rsid w:val="007D6F80"/>
    <w:rsid w:val="007F0613"/>
    <w:rsid w:val="007F2904"/>
    <w:rsid w:val="007F2C37"/>
    <w:rsid w:val="007F5BD7"/>
    <w:rsid w:val="007F7230"/>
    <w:rsid w:val="00800588"/>
    <w:rsid w:val="00802835"/>
    <w:rsid w:val="00802E2D"/>
    <w:rsid w:val="00804771"/>
    <w:rsid w:val="00805000"/>
    <w:rsid w:val="0080744C"/>
    <w:rsid w:val="0081005A"/>
    <w:rsid w:val="00812CF1"/>
    <w:rsid w:val="00816EBA"/>
    <w:rsid w:val="008228B8"/>
    <w:rsid w:val="00823A26"/>
    <w:rsid w:val="00823DDF"/>
    <w:rsid w:val="00824991"/>
    <w:rsid w:val="00825403"/>
    <w:rsid w:val="00825916"/>
    <w:rsid w:val="0082756A"/>
    <w:rsid w:val="008300A7"/>
    <w:rsid w:val="00830F70"/>
    <w:rsid w:val="00832EC2"/>
    <w:rsid w:val="00834D44"/>
    <w:rsid w:val="00836C31"/>
    <w:rsid w:val="00837B39"/>
    <w:rsid w:val="0083F5F3"/>
    <w:rsid w:val="00840D45"/>
    <w:rsid w:val="00841F01"/>
    <w:rsid w:val="00841F93"/>
    <w:rsid w:val="00845AF9"/>
    <w:rsid w:val="00851C90"/>
    <w:rsid w:val="00851E0E"/>
    <w:rsid w:val="00853022"/>
    <w:rsid w:val="00853D02"/>
    <w:rsid w:val="00853EF6"/>
    <w:rsid w:val="0086041D"/>
    <w:rsid w:val="00862372"/>
    <w:rsid w:val="008659EF"/>
    <w:rsid w:val="00867460"/>
    <w:rsid w:val="00870FC4"/>
    <w:rsid w:val="0087140B"/>
    <w:rsid w:val="008729E5"/>
    <w:rsid w:val="0087319E"/>
    <w:rsid w:val="00875DE8"/>
    <w:rsid w:val="00876BA1"/>
    <w:rsid w:val="008771B2"/>
    <w:rsid w:val="00877520"/>
    <w:rsid w:val="00877E41"/>
    <w:rsid w:val="008823B9"/>
    <w:rsid w:val="00884A53"/>
    <w:rsid w:val="008878EE"/>
    <w:rsid w:val="0089133B"/>
    <w:rsid w:val="00891DDE"/>
    <w:rsid w:val="00892BC6"/>
    <w:rsid w:val="00893FB4"/>
    <w:rsid w:val="00896034"/>
    <w:rsid w:val="0089663C"/>
    <w:rsid w:val="008968E8"/>
    <w:rsid w:val="00897D13"/>
    <w:rsid w:val="00897D67"/>
    <w:rsid w:val="008A2971"/>
    <w:rsid w:val="008A439C"/>
    <w:rsid w:val="008A57C7"/>
    <w:rsid w:val="008A65C7"/>
    <w:rsid w:val="008A7380"/>
    <w:rsid w:val="008B086D"/>
    <w:rsid w:val="008B1055"/>
    <w:rsid w:val="008B1580"/>
    <w:rsid w:val="008B1665"/>
    <w:rsid w:val="008B60B4"/>
    <w:rsid w:val="008C371E"/>
    <w:rsid w:val="008C3918"/>
    <w:rsid w:val="008D0E13"/>
    <w:rsid w:val="008D1D84"/>
    <w:rsid w:val="008D20C9"/>
    <w:rsid w:val="008D34FF"/>
    <w:rsid w:val="008D4162"/>
    <w:rsid w:val="008E129B"/>
    <w:rsid w:val="008E2E69"/>
    <w:rsid w:val="008E40B4"/>
    <w:rsid w:val="008E4F87"/>
    <w:rsid w:val="008E5038"/>
    <w:rsid w:val="008E598E"/>
    <w:rsid w:val="008E5D6C"/>
    <w:rsid w:val="008E6F3C"/>
    <w:rsid w:val="008F04EE"/>
    <w:rsid w:val="008F1596"/>
    <w:rsid w:val="008F326A"/>
    <w:rsid w:val="008F3595"/>
    <w:rsid w:val="008F671A"/>
    <w:rsid w:val="00901141"/>
    <w:rsid w:val="00901A47"/>
    <w:rsid w:val="00903841"/>
    <w:rsid w:val="009040D3"/>
    <w:rsid w:val="009075A2"/>
    <w:rsid w:val="0091121F"/>
    <w:rsid w:val="00911866"/>
    <w:rsid w:val="00911F6D"/>
    <w:rsid w:val="00912847"/>
    <w:rsid w:val="00912EE2"/>
    <w:rsid w:val="00914834"/>
    <w:rsid w:val="00917050"/>
    <w:rsid w:val="009236D8"/>
    <w:rsid w:val="00923A7F"/>
    <w:rsid w:val="00931F44"/>
    <w:rsid w:val="00932333"/>
    <w:rsid w:val="009324E1"/>
    <w:rsid w:val="00933B3B"/>
    <w:rsid w:val="00937016"/>
    <w:rsid w:val="009400A9"/>
    <w:rsid w:val="009444C1"/>
    <w:rsid w:val="0094524B"/>
    <w:rsid w:val="00946E44"/>
    <w:rsid w:val="00947599"/>
    <w:rsid w:val="00954F1C"/>
    <w:rsid w:val="00955DE6"/>
    <w:rsid w:val="00955F05"/>
    <w:rsid w:val="00960E55"/>
    <w:rsid w:val="009618EB"/>
    <w:rsid w:val="00962B5C"/>
    <w:rsid w:val="009648D6"/>
    <w:rsid w:val="00964D69"/>
    <w:rsid w:val="00975F63"/>
    <w:rsid w:val="0097651F"/>
    <w:rsid w:val="00977C25"/>
    <w:rsid w:val="00980701"/>
    <w:rsid w:val="009841C7"/>
    <w:rsid w:val="009852BD"/>
    <w:rsid w:val="00986E34"/>
    <w:rsid w:val="00987E6F"/>
    <w:rsid w:val="009923F8"/>
    <w:rsid w:val="00992A80"/>
    <w:rsid w:val="009935AB"/>
    <w:rsid w:val="009958C2"/>
    <w:rsid w:val="009A0AE4"/>
    <w:rsid w:val="009A2F40"/>
    <w:rsid w:val="009A57C7"/>
    <w:rsid w:val="009B0799"/>
    <w:rsid w:val="009B222B"/>
    <w:rsid w:val="009B3665"/>
    <w:rsid w:val="009B3B02"/>
    <w:rsid w:val="009B3E0C"/>
    <w:rsid w:val="009B429E"/>
    <w:rsid w:val="009B6264"/>
    <w:rsid w:val="009B6647"/>
    <w:rsid w:val="009C220F"/>
    <w:rsid w:val="009C3F7B"/>
    <w:rsid w:val="009C4D80"/>
    <w:rsid w:val="009C62F8"/>
    <w:rsid w:val="009C7408"/>
    <w:rsid w:val="009C774E"/>
    <w:rsid w:val="009D082C"/>
    <w:rsid w:val="009D27BB"/>
    <w:rsid w:val="009D3680"/>
    <w:rsid w:val="009D4025"/>
    <w:rsid w:val="009D4B90"/>
    <w:rsid w:val="009D62A0"/>
    <w:rsid w:val="009D7256"/>
    <w:rsid w:val="009E3E12"/>
    <w:rsid w:val="009E54F5"/>
    <w:rsid w:val="009F0BE8"/>
    <w:rsid w:val="009F10EB"/>
    <w:rsid w:val="009F16FA"/>
    <w:rsid w:val="009F4A74"/>
    <w:rsid w:val="009F604D"/>
    <w:rsid w:val="00A01B9B"/>
    <w:rsid w:val="00A02814"/>
    <w:rsid w:val="00A1354D"/>
    <w:rsid w:val="00A13D99"/>
    <w:rsid w:val="00A16715"/>
    <w:rsid w:val="00A21366"/>
    <w:rsid w:val="00A21A72"/>
    <w:rsid w:val="00A2385C"/>
    <w:rsid w:val="00A249FE"/>
    <w:rsid w:val="00A25F56"/>
    <w:rsid w:val="00A27A42"/>
    <w:rsid w:val="00A3068F"/>
    <w:rsid w:val="00A31AA9"/>
    <w:rsid w:val="00A34A8F"/>
    <w:rsid w:val="00A35C3C"/>
    <w:rsid w:val="00A36840"/>
    <w:rsid w:val="00A44520"/>
    <w:rsid w:val="00A445B2"/>
    <w:rsid w:val="00A4484F"/>
    <w:rsid w:val="00A44B9E"/>
    <w:rsid w:val="00A46545"/>
    <w:rsid w:val="00A46BBD"/>
    <w:rsid w:val="00A477FD"/>
    <w:rsid w:val="00A5056E"/>
    <w:rsid w:val="00A5252B"/>
    <w:rsid w:val="00A55C4B"/>
    <w:rsid w:val="00A56B7C"/>
    <w:rsid w:val="00A57C98"/>
    <w:rsid w:val="00A629CD"/>
    <w:rsid w:val="00A63A66"/>
    <w:rsid w:val="00A65339"/>
    <w:rsid w:val="00A664EC"/>
    <w:rsid w:val="00A6744C"/>
    <w:rsid w:val="00A71D34"/>
    <w:rsid w:val="00A734B6"/>
    <w:rsid w:val="00A743EC"/>
    <w:rsid w:val="00A75DB7"/>
    <w:rsid w:val="00A808D8"/>
    <w:rsid w:val="00A828AF"/>
    <w:rsid w:val="00A82D9C"/>
    <w:rsid w:val="00A87A0B"/>
    <w:rsid w:val="00A94D39"/>
    <w:rsid w:val="00A97F65"/>
    <w:rsid w:val="00AA05C7"/>
    <w:rsid w:val="00AA35FF"/>
    <w:rsid w:val="00AB15EA"/>
    <w:rsid w:val="00AB500C"/>
    <w:rsid w:val="00AC05BB"/>
    <w:rsid w:val="00AC4999"/>
    <w:rsid w:val="00AD22F5"/>
    <w:rsid w:val="00AD4A60"/>
    <w:rsid w:val="00AD6B56"/>
    <w:rsid w:val="00AE125A"/>
    <w:rsid w:val="00AE1691"/>
    <w:rsid w:val="00AE1F1B"/>
    <w:rsid w:val="00AE3919"/>
    <w:rsid w:val="00AE6626"/>
    <w:rsid w:val="00AE6EA8"/>
    <w:rsid w:val="00AF34E2"/>
    <w:rsid w:val="00AF47FF"/>
    <w:rsid w:val="00AF51EE"/>
    <w:rsid w:val="00AF5522"/>
    <w:rsid w:val="00AF5E76"/>
    <w:rsid w:val="00AF650B"/>
    <w:rsid w:val="00B04BDA"/>
    <w:rsid w:val="00B0595E"/>
    <w:rsid w:val="00B136E1"/>
    <w:rsid w:val="00B14290"/>
    <w:rsid w:val="00B14748"/>
    <w:rsid w:val="00B16D10"/>
    <w:rsid w:val="00B172E3"/>
    <w:rsid w:val="00B17353"/>
    <w:rsid w:val="00B17456"/>
    <w:rsid w:val="00B23664"/>
    <w:rsid w:val="00B240C0"/>
    <w:rsid w:val="00B32887"/>
    <w:rsid w:val="00B33EC6"/>
    <w:rsid w:val="00B346BD"/>
    <w:rsid w:val="00B35523"/>
    <w:rsid w:val="00B35691"/>
    <w:rsid w:val="00B40702"/>
    <w:rsid w:val="00B4075B"/>
    <w:rsid w:val="00B41360"/>
    <w:rsid w:val="00B41DB5"/>
    <w:rsid w:val="00B43237"/>
    <w:rsid w:val="00B50EAC"/>
    <w:rsid w:val="00B51D2C"/>
    <w:rsid w:val="00B526F4"/>
    <w:rsid w:val="00B5272B"/>
    <w:rsid w:val="00B52F5A"/>
    <w:rsid w:val="00B5343C"/>
    <w:rsid w:val="00B53A3D"/>
    <w:rsid w:val="00B54D17"/>
    <w:rsid w:val="00B56475"/>
    <w:rsid w:val="00B57079"/>
    <w:rsid w:val="00B577C0"/>
    <w:rsid w:val="00B60001"/>
    <w:rsid w:val="00B60B5B"/>
    <w:rsid w:val="00B61755"/>
    <w:rsid w:val="00B61C25"/>
    <w:rsid w:val="00B63F24"/>
    <w:rsid w:val="00B6618E"/>
    <w:rsid w:val="00B715AD"/>
    <w:rsid w:val="00B71908"/>
    <w:rsid w:val="00B72414"/>
    <w:rsid w:val="00B72FB2"/>
    <w:rsid w:val="00B74D59"/>
    <w:rsid w:val="00B80143"/>
    <w:rsid w:val="00B80B7C"/>
    <w:rsid w:val="00B81FDF"/>
    <w:rsid w:val="00B845DF"/>
    <w:rsid w:val="00B84EFE"/>
    <w:rsid w:val="00B94E48"/>
    <w:rsid w:val="00B94FDB"/>
    <w:rsid w:val="00B95D62"/>
    <w:rsid w:val="00B96A5D"/>
    <w:rsid w:val="00B97725"/>
    <w:rsid w:val="00B97AE1"/>
    <w:rsid w:val="00BA2AD7"/>
    <w:rsid w:val="00BA58AA"/>
    <w:rsid w:val="00BA6926"/>
    <w:rsid w:val="00BAC989"/>
    <w:rsid w:val="00BB1481"/>
    <w:rsid w:val="00BB1A2B"/>
    <w:rsid w:val="00BB2127"/>
    <w:rsid w:val="00BC01A2"/>
    <w:rsid w:val="00BC0D17"/>
    <w:rsid w:val="00BC4193"/>
    <w:rsid w:val="00BC4C65"/>
    <w:rsid w:val="00BC4E2C"/>
    <w:rsid w:val="00BC5AB4"/>
    <w:rsid w:val="00BC6C20"/>
    <w:rsid w:val="00BC743D"/>
    <w:rsid w:val="00BD404F"/>
    <w:rsid w:val="00BD4240"/>
    <w:rsid w:val="00BD6017"/>
    <w:rsid w:val="00BD70A5"/>
    <w:rsid w:val="00BE128B"/>
    <w:rsid w:val="00BE1DE5"/>
    <w:rsid w:val="00BE24A0"/>
    <w:rsid w:val="00BE41F4"/>
    <w:rsid w:val="00BE6217"/>
    <w:rsid w:val="00BF17C3"/>
    <w:rsid w:val="00BF1F79"/>
    <w:rsid w:val="00BF25DC"/>
    <w:rsid w:val="00BF2975"/>
    <w:rsid w:val="00BF4EBF"/>
    <w:rsid w:val="00BF5C90"/>
    <w:rsid w:val="00BF731C"/>
    <w:rsid w:val="00C007D0"/>
    <w:rsid w:val="00C00FA4"/>
    <w:rsid w:val="00C02F5F"/>
    <w:rsid w:val="00C10B40"/>
    <w:rsid w:val="00C11BC0"/>
    <w:rsid w:val="00C14193"/>
    <w:rsid w:val="00C14AA8"/>
    <w:rsid w:val="00C152CB"/>
    <w:rsid w:val="00C16386"/>
    <w:rsid w:val="00C20174"/>
    <w:rsid w:val="00C22688"/>
    <w:rsid w:val="00C22F0C"/>
    <w:rsid w:val="00C25E9B"/>
    <w:rsid w:val="00C27794"/>
    <w:rsid w:val="00C33449"/>
    <w:rsid w:val="00C33651"/>
    <w:rsid w:val="00C33E1F"/>
    <w:rsid w:val="00C37DC7"/>
    <w:rsid w:val="00C427BD"/>
    <w:rsid w:val="00C43112"/>
    <w:rsid w:val="00C43E29"/>
    <w:rsid w:val="00C443D7"/>
    <w:rsid w:val="00C45007"/>
    <w:rsid w:val="00C47643"/>
    <w:rsid w:val="00C5047E"/>
    <w:rsid w:val="00C51B38"/>
    <w:rsid w:val="00C534E4"/>
    <w:rsid w:val="00C535DB"/>
    <w:rsid w:val="00C53985"/>
    <w:rsid w:val="00C53C3A"/>
    <w:rsid w:val="00C5457A"/>
    <w:rsid w:val="00C54A21"/>
    <w:rsid w:val="00C556AA"/>
    <w:rsid w:val="00C62111"/>
    <w:rsid w:val="00C757B4"/>
    <w:rsid w:val="00C76F66"/>
    <w:rsid w:val="00C772A4"/>
    <w:rsid w:val="00C801FF"/>
    <w:rsid w:val="00C806A9"/>
    <w:rsid w:val="00C8125E"/>
    <w:rsid w:val="00C81D97"/>
    <w:rsid w:val="00C84B4A"/>
    <w:rsid w:val="00C93D7C"/>
    <w:rsid w:val="00CA31AD"/>
    <w:rsid w:val="00CA3302"/>
    <w:rsid w:val="00CA3384"/>
    <w:rsid w:val="00CA3C86"/>
    <w:rsid w:val="00CA4367"/>
    <w:rsid w:val="00CA4EE3"/>
    <w:rsid w:val="00CB22A8"/>
    <w:rsid w:val="00CB2D41"/>
    <w:rsid w:val="00CB522A"/>
    <w:rsid w:val="00CB5572"/>
    <w:rsid w:val="00CC2212"/>
    <w:rsid w:val="00CC266F"/>
    <w:rsid w:val="00CC27AC"/>
    <w:rsid w:val="00CC2DD2"/>
    <w:rsid w:val="00CC62F7"/>
    <w:rsid w:val="00CC63A2"/>
    <w:rsid w:val="00CD0D02"/>
    <w:rsid w:val="00CD0E2D"/>
    <w:rsid w:val="00CD413F"/>
    <w:rsid w:val="00CD5378"/>
    <w:rsid w:val="00CD6B35"/>
    <w:rsid w:val="00CE01C7"/>
    <w:rsid w:val="00CE0EEF"/>
    <w:rsid w:val="00CE226C"/>
    <w:rsid w:val="00CE519E"/>
    <w:rsid w:val="00CE7912"/>
    <w:rsid w:val="00CF3A60"/>
    <w:rsid w:val="00CF49F6"/>
    <w:rsid w:val="00CF567A"/>
    <w:rsid w:val="00D00C80"/>
    <w:rsid w:val="00D022DC"/>
    <w:rsid w:val="00D042F7"/>
    <w:rsid w:val="00D0549A"/>
    <w:rsid w:val="00D0563D"/>
    <w:rsid w:val="00D101C2"/>
    <w:rsid w:val="00D115B6"/>
    <w:rsid w:val="00D1496B"/>
    <w:rsid w:val="00D15B43"/>
    <w:rsid w:val="00D15C23"/>
    <w:rsid w:val="00D15C5E"/>
    <w:rsid w:val="00D21F62"/>
    <w:rsid w:val="00D223A8"/>
    <w:rsid w:val="00D22A99"/>
    <w:rsid w:val="00D25CDB"/>
    <w:rsid w:val="00D2731E"/>
    <w:rsid w:val="00D27FE7"/>
    <w:rsid w:val="00D31297"/>
    <w:rsid w:val="00D32C25"/>
    <w:rsid w:val="00D3329E"/>
    <w:rsid w:val="00D333B7"/>
    <w:rsid w:val="00D343D8"/>
    <w:rsid w:val="00D347F5"/>
    <w:rsid w:val="00D3483B"/>
    <w:rsid w:val="00D41CB0"/>
    <w:rsid w:val="00D41DF2"/>
    <w:rsid w:val="00D4592C"/>
    <w:rsid w:val="00D47547"/>
    <w:rsid w:val="00D47916"/>
    <w:rsid w:val="00D47F38"/>
    <w:rsid w:val="00D50500"/>
    <w:rsid w:val="00D5058E"/>
    <w:rsid w:val="00D514D9"/>
    <w:rsid w:val="00D51507"/>
    <w:rsid w:val="00D51523"/>
    <w:rsid w:val="00D5176C"/>
    <w:rsid w:val="00D52639"/>
    <w:rsid w:val="00D542DF"/>
    <w:rsid w:val="00D54F84"/>
    <w:rsid w:val="00D63E14"/>
    <w:rsid w:val="00D64D91"/>
    <w:rsid w:val="00D70874"/>
    <w:rsid w:val="00D70B72"/>
    <w:rsid w:val="00D70D32"/>
    <w:rsid w:val="00D70F76"/>
    <w:rsid w:val="00D72BF1"/>
    <w:rsid w:val="00D7524A"/>
    <w:rsid w:val="00D75388"/>
    <w:rsid w:val="00D77385"/>
    <w:rsid w:val="00D81A5B"/>
    <w:rsid w:val="00D82EE1"/>
    <w:rsid w:val="00D83FB6"/>
    <w:rsid w:val="00D86970"/>
    <w:rsid w:val="00D8697E"/>
    <w:rsid w:val="00D907D9"/>
    <w:rsid w:val="00D9130B"/>
    <w:rsid w:val="00D9247F"/>
    <w:rsid w:val="00D95688"/>
    <w:rsid w:val="00D9571A"/>
    <w:rsid w:val="00D96118"/>
    <w:rsid w:val="00DA015B"/>
    <w:rsid w:val="00DA0638"/>
    <w:rsid w:val="00DA1527"/>
    <w:rsid w:val="00DA360A"/>
    <w:rsid w:val="00DA7012"/>
    <w:rsid w:val="00DB56AB"/>
    <w:rsid w:val="00DB601D"/>
    <w:rsid w:val="00DC03A7"/>
    <w:rsid w:val="00DC0CD6"/>
    <w:rsid w:val="00DC3A8E"/>
    <w:rsid w:val="00DD3BD1"/>
    <w:rsid w:val="00DD6937"/>
    <w:rsid w:val="00DD789A"/>
    <w:rsid w:val="00DE0639"/>
    <w:rsid w:val="00DE06EC"/>
    <w:rsid w:val="00DE2706"/>
    <w:rsid w:val="00DE5D8A"/>
    <w:rsid w:val="00DF12F3"/>
    <w:rsid w:val="00DF5189"/>
    <w:rsid w:val="00DF6312"/>
    <w:rsid w:val="00DF6BC4"/>
    <w:rsid w:val="00DF7043"/>
    <w:rsid w:val="00E009E5"/>
    <w:rsid w:val="00E016A1"/>
    <w:rsid w:val="00E0179C"/>
    <w:rsid w:val="00E01B1F"/>
    <w:rsid w:val="00E020C8"/>
    <w:rsid w:val="00E058C6"/>
    <w:rsid w:val="00E10168"/>
    <w:rsid w:val="00E108AC"/>
    <w:rsid w:val="00E1150D"/>
    <w:rsid w:val="00E13652"/>
    <w:rsid w:val="00E153B0"/>
    <w:rsid w:val="00E2074B"/>
    <w:rsid w:val="00E2185F"/>
    <w:rsid w:val="00E2228A"/>
    <w:rsid w:val="00E24F1C"/>
    <w:rsid w:val="00E25803"/>
    <w:rsid w:val="00E3314B"/>
    <w:rsid w:val="00E358C0"/>
    <w:rsid w:val="00E405F9"/>
    <w:rsid w:val="00E4212A"/>
    <w:rsid w:val="00E457A8"/>
    <w:rsid w:val="00E4770E"/>
    <w:rsid w:val="00E503F4"/>
    <w:rsid w:val="00E50B90"/>
    <w:rsid w:val="00E5469B"/>
    <w:rsid w:val="00E546EC"/>
    <w:rsid w:val="00E557F6"/>
    <w:rsid w:val="00E5634F"/>
    <w:rsid w:val="00E57C50"/>
    <w:rsid w:val="00E63D77"/>
    <w:rsid w:val="00E64C4F"/>
    <w:rsid w:val="00E669FA"/>
    <w:rsid w:val="00E729D3"/>
    <w:rsid w:val="00E73965"/>
    <w:rsid w:val="00E75C4B"/>
    <w:rsid w:val="00E8040A"/>
    <w:rsid w:val="00E81A81"/>
    <w:rsid w:val="00E839C3"/>
    <w:rsid w:val="00E878DE"/>
    <w:rsid w:val="00E90253"/>
    <w:rsid w:val="00E9038C"/>
    <w:rsid w:val="00E90BAE"/>
    <w:rsid w:val="00E90E33"/>
    <w:rsid w:val="00E9235B"/>
    <w:rsid w:val="00E94979"/>
    <w:rsid w:val="00E94DC4"/>
    <w:rsid w:val="00E95DC8"/>
    <w:rsid w:val="00E975F1"/>
    <w:rsid w:val="00EA0F13"/>
    <w:rsid w:val="00EA5AB0"/>
    <w:rsid w:val="00EA709C"/>
    <w:rsid w:val="00EA7DF8"/>
    <w:rsid w:val="00EB1014"/>
    <w:rsid w:val="00EB1B2B"/>
    <w:rsid w:val="00EB1F56"/>
    <w:rsid w:val="00EB2690"/>
    <w:rsid w:val="00EB32F4"/>
    <w:rsid w:val="00EB4DD9"/>
    <w:rsid w:val="00EB546A"/>
    <w:rsid w:val="00EB5FB5"/>
    <w:rsid w:val="00EB6D54"/>
    <w:rsid w:val="00EC152A"/>
    <w:rsid w:val="00EC2310"/>
    <w:rsid w:val="00EC3BE8"/>
    <w:rsid w:val="00EC5307"/>
    <w:rsid w:val="00ED1183"/>
    <w:rsid w:val="00ED2B1F"/>
    <w:rsid w:val="00ED4D9E"/>
    <w:rsid w:val="00EE041E"/>
    <w:rsid w:val="00EE6A6C"/>
    <w:rsid w:val="00EF0015"/>
    <w:rsid w:val="00EF1250"/>
    <w:rsid w:val="00EF1C2C"/>
    <w:rsid w:val="00EF1D68"/>
    <w:rsid w:val="00EF4509"/>
    <w:rsid w:val="00EF6A7F"/>
    <w:rsid w:val="00F00FB0"/>
    <w:rsid w:val="00F01FCF"/>
    <w:rsid w:val="00F0315A"/>
    <w:rsid w:val="00F076CB"/>
    <w:rsid w:val="00F079C6"/>
    <w:rsid w:val="00F10E97"/>
    <w:rsid w:val="00F10FBA"/>
    <w:rsid w:val="00F110D3"/>
    <w:rsid w:val="00F13FE0"/>
    <w:rsid w:val="00F14CEB"/>
    <w:rsid w:val="00F17F66"/>
    <w:rsid w:val="00F21EDB"/>
    <w:rsid w:val="00F228FC"/>
    <w:rsid w:val="00F22DB1"/>
    <w:rsid w:val="00F2413C"/>
    <w:rsid w:val="00F248A4"/>
    <w:rsid w:val="00F2686F"/>
    <w:rsid w:val="00F26B7E"/>
    <w:rsid w:val="00F33292"/>
    <w:rsid w:val="00F36C73"/>
    <w:rsid w:val="00F377BE"/>
    <w:rsid w:val="00F44095"/>
    <w:rsid w:val="00F45CA7"/>
    <w:rsid w:val="00F466D9"/>
    <w:rsid w:val="00F47EAA"/>
    <w:rsid w:val="00F50101"/>
    <w:rsid w:val="00F50889"/>
    <w:rsid w:val="00F522DC"/>
    <w:rsid w:val="00F53CB0"/>
    <w:rsid w:val="00F560C7"/>
    <w:rsid w:val="00F56E64"/>
    <w:rsid w:val="00F622F1"/>
    <w:rsid w:val="00F627B9"/>
    <w:rsid w:val="00F655E2"/>
    <w:rsid w:val="00F66541"/>
    <w:rsid w:val="00F66CAC"/>
    <w:rsid w:val="00F66EB9"/>
    <w:rsid w:val="00F704C9"/>
    <w:rsid w:val="00F70739"/>
    <w:rsid w:val="00F7076D"/>
    <w:rsid w:val="00F71349"/>
    <w:rsid w:val="00F73631"/>
    <w:rsid w:val="00F741D0"/>
    <w:rsid w:val="00F7481C"/>
    <w:rsid w:val="00F77263"/>
    <w:rsid w:val="00F80361"/>
    <w:rsid w:val="00F80651"/>
    <w:rsid w:val="00F82C95"/>
    <w:rsid w:val="00F82CDF"/>
    <w:rsid w:val="00F84925"/>
    <w:rsid w:val="00F859C1"/>
    <w:rsid w:val="00F87611"/>
    <w:rsid w:val="00F877B8"/>
    <w:rsid w:val="00F92237"/>
    <w:rsid w:val="00F93AD3"/>
    <w:rsid w:val="00F95CE0"/>
    <w:rsid w:val="00F968E3"/>
    <w:rsid w:val="00F96F38"/>
    <w:rsid w:val="00FA0560"/>
    <w:rsid w:val="00FA29F9"/>
    <w:rsid w:val="00FA2BF6"/>
    <w:rsid w:val="00FA3343"/>
    <w:rsid w:val="00FA33AE"/>
    <w:rsid w:val="00FA4CBA"/>
    <w:rsid w:val="00FA5654"/>
    <w:rsid w:val="00FA7550"/>
    <w:rsid w:val="00FA77EC"/>
    <w:rsid w:val="00FB0D41"/>
    <w:rsid w:val="00FB0FF6"/>
    <w:rsid w:val="00FB1D93"/>
    <w:rsid w:val="00FB5305"/>
    <w:rsid w:val="00FC2E22"/>
    <w:rsid w:val="00FC3D91"/>
    <w:rsid w:val="00FC3E92"/>
    <w:rsid w:val="00FC48BE"/>
    <w:rsid w:val="00FC55B0"/>
    <w:rsid w:val="00FC6E3F"/>
    <w:rsid w:val="00FD0318"/>
    <w:rsid w:val="00FD0C0F"/>
    <w:rsid w:val="00FD11E8"/>
    <w:rsid w:val="00FD39B9"/>
    <w:rsid w:val="00FD3D26"/>
    <w:rsid w:val="00FD52B9"/>
    <w:rsid w:val="00FD52CF"/>
    <w:rsid w:val="00FD6316"/>
    <w:rsid w:val="00FD7497"/>
    <w:rsid w:val="00FE0C1B"/>
    <w:rsid w:val="00FE1A85"/>
    <w:rsid w:val="00FE3623"/>
    <w:rsid w:val="00FE4682"/>
    <w:rsid w:val="00FF44B1"/>
    <w:rsid w:val="01075EC7"/>
    <w:rsid w:val="011E1E10"/>
    <w:rsid w:val="014265A6"/>
    <w:rsid w:val="01863535"/>
    <w:rsid w:val="019C8501"/>
    <w:rsid w:val="01A3B88A"/>
    <w:rsid w:val="01B748F0"/>
    <w:rsid w:val="01C68E7F"/>
    <w:rsid w:val="01F68E33"/>
    <w:rsid w:val="01FCE786"/>
    <w:rsid w:val="01FED958"/>
    <w:rsid w:val="022CBF79"/>
    <w:rsid w:val="02348BE0"/>
    <w:rsid w:val="023A026E"/>
    <w:rsid w:val="02443682"/>
    <w:rsid w:val="027D3038"/>
    <w:rsid w:val="0282B1FE"/>
    <w:rsid w:val="0294DA2F"/>
    <w:rsid w:val="0298C1B8"/>
    <w:rsid w:val="02C47879"/>
    <w:rsid w:val="02DE9F56"/>
    <w:rsid w:val="02F89046"/>
    <w:rsid w:val="0302B3FB"/>
    <w:rsid w:val="03298A17"/>
    <w:rsid w:val="0336F1C0"/>
    <w:rsid w:val="0346BC2F"/>
    <w:rsid w:val="0347E098"/>
    <w:rsid w:val="03720246"/>
    <w:rsid w:val="03A4AFEE"/>
    <w:rsid w:val="03D94F9C"/>
    <w:rsid w:val="03EAFCB0"/>
    <w:rsid w:val="041C361F"/>
    <w:rsid w:val="044D0D03"/>
    <w:rsid w:val="046AD7AF"/>
    <w:rsid w:val="0490974D"/>
    <w:rsid w:val="04CA0E52"/>
    <w:rsid w:val="04D668B2"/>
    <w:rsid w:val="04E3950B"/>
    <w:rsid w:val="04E61A0F"/>
    <w:rsid w:val="0506DE8B"/>
    <w:rsid w:val="050F7FE7"/>
    <w:rsid w:val="052CE160"/>
    <w:rsid w:val="0545FE86"/>
    <w:rsid w:val="0560515E"/>
    <w:rsid w:val="05665F50"/>
    <w:rsid w:val="0575734E"/>
    <w:rsid w:val="0587065E"/>
    <w:rsid w:val="059321C7"/>
    <w:rsid w:val="05969938"/>
    <w:rsid w:val="05A859A2"/>
    <w:rsid w:val="05B59E8F"/>
    <w:rsid w:val="05DA2465"/>
    <w:rsid w:val="05DDAAE4"/>
    <w:rsid w:val="05E61AAD"/>
    <w:rsid w:val="0612FBE5"/>
    <w:rsid w:val="06159D31"/>
    <w:rsid w:val="0640E4BC"/>
    <w:rsid w:val="064FE7AA"/>
    <w:rsid w:val="066058B5"/>
    <w:rsid w:val="06827155"/>
    <w:rsid w:val="0685DDA7"/>
    <w:rsid w:val="06BF3C37"/>
    <w:rsid w:val="06C65958"/>
    <w:rsid w:val="06C75C86"/>
    <w:rsid w:val="070CD62D"/>
    <w:rsid w:val="071122EB"/>
    <w:rsid w:val="0727C199"/>
    <w:rsid w:val="073A8397"/>
    <w:rsid w:val="0770C70C"/>
    <w:rsid w:val="077CBBF2"/>
    <w:rsid w:val="07894579"/>
    <w:rsid w:val="07910BF6"/>
    <w:rsid w:val="079925C5"/>
    <w:rsid w:val="07ECDDE7"/>
    <w:rsid w:val="07F6212D"/>
    <w:rsid w:val="0841B480"/>
    <w:rsid w:val="08659429"/>
    <w:rsid w:val="08760ECE"/>
    <w:rsid w:val="08B676AF"/>
    <w:rsid w:val="0934E29C"/>
    <w:rsid w:val="093ED2F8"/>
    <w:rsid w:val="097C22DF"/>
    <w:rsid w:val="0980E859"/>
    <w:rsid w:val="09E24E84"/>
    <w:rsid w:val="0A01A018"/>
    <w:rsid w:val="0A05077D"/>
    <w:rsid w:val="0A2270D3"/>
    <w:rsid w:val="0A3E4754"/>
    <w:rsid w:val="0A47F5ED"/>
    <w:rsid w:val="0A58F26B"/>
    <w:rsid w:val="0A837316"/>
    <w:rsid w:val="0AB6C9E8"/>
    <w:rsid w:val="0ABB01F8"/>
    <w:rsid w:val="0ACDA3B9"/>
    <w:rsid w:val="0AD9BF83"/>
    <w:rsid w:val="0AE9F262"/>
    <w:rsid w:val="0B0F1DC7"/>
    <w:rsid w:val="0B18744E"/>
    <w:rsid w:val="0B4CED83"/>
    <w:rsid w:val="0B650AE4"/>
    <w:rsid w:val="0B66BB8E"/>
    <w:rsid w:val="0B8FA21B"/>
    <w:rsid w:val="0BC69A25"/>
    <w:rsid w:val="0C1CE090"/>
    <w:rsid w:val="0C24136C"/>
    <w:rsid w:val="0C25778B"/>
    <w:rsid w:val="0C2802E1"/>
    <w:rsid w:val="0C2D7585"/>
    <w:rsid w:val="0C88F0AF"/>
    <w:rsid w:val="0CC16B4D"/>
    <w:rsid w:val="0CC2B2F8"/>
    <w:rsid w:val="0CCA02F1"/>
    <w:rsid w:val="0D1C135B"/>
    <w:rsid w:val="0D73A9D9"/>
    <w:rsid w:val="0D7F86E0"/>
    <w:rsid w:val="0DA348C0"/>
    <w:rsid w:val="0DCE262A"/>
    <w:rsid w:val="0DD1691D"/>
    <w:rsid w:val="0E0283B3"/>
    <w:rsid w:val="0E2791E6"/>
    <w:rsid w:val="0E4BC519"/>
    <w:rsid w:val="0E7B9B90"/>
    <w:rsid w:val="0E85742F"/>
    <w:rsid w:val="0EC9F2E6"/>
    <w:rsid w:val="0ECDB56D"/>
    <w:rsid w:val="0ED0943D"/>
    <w:rsid w:val="0ED122DD"/>
    <w:rsid w:val="0EE7A29F"/>
    <w:rsid w:val="0EFA68E1"/>
    <w:rsid w:val="0F059678"/>
    <w:rsid w:val="0F281ED3"/>
    <w:rsid w:val="0F58A387"/>
    <w:rsid w:val="0F751039"/>
    <w:rsid w:val="0F821B69"/>
    <w:rsid w:val="0F83ADE8"/>
    <w:rsid w:val="0FD39121"/>
    <w:rsid w:val="0FE375EC"/>
    <w:rsid w:val="0FEBB1F2"/>
    <w:rsid w:val="0FEF228A"/>
    <w:rsid w:val="0FF1D3E5"/>
    <w:rsid w:val="100173C8"/>
    <w:rsid w:val="102BDB5C"/>
    <w:rsid w:val="104F3CB2"/>
    <w:rsid w:val="1057E972"/>
    <w:rsid w:val="106B10B6"/>
    <w:rsid w:val="109466F6"/>
    <w:rsid w:val="10C1F317"/>
    <w:rsid w:val="10D50D22"/>
    <w:rsid w:val="10FDFA85"/>
    <w:rsid w:val="1127284E"/>
    <w:rsid w:val="11284E09"/>
    <w:rsid w:val="11632306"/>
    <w:rsid w:val="11723042"/>
    <w:rsid w:val="11B5B1D0"/>
    <w:rsid w:val="11C24C06"/>
    <w:rsid w:val="11E736AA"/>
    <w:rsid w:val="12498B6B"/>
    <w:rsid w:val="128933D5"/>
    <w:rsid w:val="12A54392"/>
    <w:rsid w:val="12A728B2"/>
    <w:rsid w:val="12B8B938"/>
    <w:rsid w:val="12E0DCA6"/>
    <w:rsid w:val="12FE7D48"/>
    <w:rsid w:val="13111ECE"/>
    <w:rsid w:val="13174503"/>
    <w:rsid w:val="132684C7"/>
    <w:rsid w:val="133BE2CC"/>
    <w:rsid w:val="135D9A89"/>
    <w:rsid w:val="13BFF5C5"/>
    <w:rsid w:val="13D1190E"/>
    <w:rsid w:val="13DCA6FA"/>
    <w:rsid w:val="13E287FC"/>
    <w:rsid w:val="1415922E"/>
    <w:rsid w:val="141ED1DA"/>
    <w:rsid w:val="141F6465"/>
    <w:rsid w:val="14234C67"/>
    <w:rsid w:val="142A46EC"/>
    <w:rsid w:val="14342396"/>
    <w:rsid w:val="1438941D"/>
    <w:rsid w:val="144E3530"/>
    <w:rsid w:val="14A838E2"/>
    <w:rsid w:val="14AC8EEB"/>
    <w:rsid w:val="14E12F90"/>
    <w:rsid w:val="14F06F88"/>
    <w:rsid w:val="14FAA10B"/>
    <w:rsid w:val="152C11B0"/>
    <w:rsid w:val="155802EC"/>
    <w:rsid w:val="155BC2F9"/>
    <w:rsid w:val="156E5B0B"/>
    <w:rsid w:val="15819EA9"/>
    <w:rsid w:val="158F43F9"/>
    <w:rsid w:val="15944086"/>
    <w:rsid w:val="1594BBEF"/>
    <w:rsid w:val="1597E7C3"/>
    <w:rsid w:val="15B9261D"/>
    <w:rsid w:val="160BFFFF"/>
    <w:rsid w:val="162FBD75"/>
    <w:rsid w:val="163FFC21"/>
    <w:rsid w:val="165D5B87"/>
    <w:rsid w:val="167358CF"/>
    <w:rsid w:val="1698BD99"/>
    <w:rsid w:val="169B0DE8"/>
    <w:rsid w:val="16A2BD0A"/>
    <w:rsid w:val="16A60D82"/>
    <w:rsid w:val="16C1ECE2"/>
    <w:rsid w:val="16F2B3E5"/>
    <w:rsid w:val="17146AC0"/>
    <w:rsid w:val="17155804"/>
    <w:rsid w:val="17955827"/>
    <w:rsid w:val="17EDADE2"/>
    <w:rsid w:val="1865E4CE"/>
    <w:rsid w:val="18733A0F"/>
    <w:rsid w:val="1874C36A"/>
    <w:rsid w:val="18D6AA09"/>
    <w:rsid w:val="19087406"/>
    <w:rsid w:val="1912911E"/>
    <w:rsid w:val="193D2D85"/>
    <w:rsid w:val="1941A668"/>
    <w:rsid w:val="196A54E6"/>
    <w:rsid w:val="1978AA15"/>
    <w:rsid w:val="1994FBFE"/>
    <w:rsid w:val="19AD7CF0"/>
    <w:rsid w:val="19C330AA"/>
    <w:rsid w:val="1A0664CC"/>
    <w:rsid w:val="1A13C8A8"/>
    <w:rsid w:val="1A2E0CD2"/>
    <w:rsid w:val="1A4EEB6B"/>
    <w:rsid w:val="1A585DF8"/>
    <w:rsid w:val="1A59CCF2"/>
    <w:rsid w:val="1A5C8D18"/>
    <w:rsid w:val="1AA79F52"/>
    <w:rsid w:val="1AAA56E2"/>
    <w:rsid w:val="1AB2854B"/>
    <w:rsid w:val="1ACC7E14"/>
    <w:rsid w:val="1AD7C87B"/>
    <w:rsid w:val="1ADB8D40"/>
    <w:rsid w:val="1B0FC4C6"/>
    <w:rsid w:val="1B4C0647"/>
    <w:rsid w:val="1BB51218"/>
    <w:rsid w:val="1BB7AA5A"/>
    <w:rsid w:val="1C232BCF"/>
    <w:rsid w:val="1C2AB992"/>
    <w:rsid w:val="1C346EA0"/>
    <w:rsid w:val="1C739880"/>
    <w:rsid w:val="1C866B82"/>
    <w:rsid w:val="1D02D181"/>
    <w:rsid w:val="1D06EABC"/>
    <w:rsid w:val="1D3059C8"/>
    <w:rsid w:val="1D30D1F9"/>
    <w:rsid w:val="1D34F20A"/>
    <w:rsid w:val="1D3AD31E"/>
    <w:rsid w:val="1D523D40"/>
    <w:rsid w:val="1D552060"/>
    <w:rsid w:val="1D693A08"/>
    <w:rsid w:val="1D8D6889"/>
    <w:rsid w:val="1D97CDC2"/>
    <w:rsid w:val="1DA775F8"/>
    <w:rsid w:val="1DCE053D"/>
    <w:rsid w:val="1DD88FE5"/>
    <w:rsid w:val="1DEE8F8F"/>
    <w:rsid w:val="1DF404F9"/>
    <w:rsid w:val="1E08DB01"/>
    <w:rsid w:val="1E12FA11"/>
    <w:rsid w:val="1E485F09"/>
    <w:rsid w:val="1E568444"/>
    <w:rsid w:val="1E573E5E"/>
    <w:rsid w:val="1E5BB8C2"/>
    <w:rsid w:val="1E907F28"/>
    <w:rsid w:val="1E9E3088"/>
    <w:rsid w:val="1EAA86FE"/>
    <w:rsid w:val="1EB00B82"/>
    <w:rsid w:val="1F136DFD"/>
    <w:rsid w:val="1F19288A"/>
    <w:rsid w:val="1F2478B2"/>
    <w:rsid w:val="1F5D584C"/>
    <w:rsid w:val="1FC5EE61"/>
    <w:rsid w:val="1FCBA182"/>
    <w:rsid w:val="1FD91996"/>
    <w:rsid w:val="1FDA0863"/>
    <w:rsid w:val="1FFD8EFD"/>
    <w:rsid w:val="20009008"/>
    <w:rsid w:val="20168B29"/>
    <w:rsid w:val="20177329"/>
    <w:rsid w:val="202665D4"/>
    <w:rsid w:val="205A9F1C"/>
    <w:rsid w:val="20696FE1"/>
    <w:rsid w:val="2078CF61"/>
    <w:rsid w:val="20995FDC"/>
    <w:rsid w:val="209E92D2"/>
    <w:rsid w:val="20C31ED4"/>
    <w:rsid w:val="20CA5AA6"/>
    <w:rsid w:val="20CE4C60"/>
    <w:rsid w:val="20ED86B8"/>
    <w:rsid w:val="20FF272B"/>
    <w:rsid w:val="2113655F"/>
    <w:rsid w:val="2122C677"/>
    <w:rsid w:val="212F118F"/>
    <w:rsid w:val="21512199"/>
    <w:rsid w:val="2180E20F"/>
    <w:rsid w:val="218ECF5A"/>
    <w:rsid w:val="218F0558"/>
    <w:rsid w:val="21B894F4"/>
    <w:rsid w:val="21DE9BA8"/>
    <w:rsid w:val="21E64CBA"/>
    <w:rsid w:val="21F80572"/>
    <w:rsid w:val="220BCBDF"/>
    <w:rsid w:val="22253690"/>
    <w:rsid w:val="22480B77"/>
    <w:rsid w:val="22527C2A"/>
    <w:rsid w:val="225C979E"/>
    <w:rsid w:val="2277B8A9"/>
    <w:rsid w:val="2278DBE2"/>
    <w:rsid w:val="22804274"/>
    <w:rsid w:val="22ABB78E"/>
    <w:rsid w:val="22B6AD46"/>
    <w:rsid w:val="22CF74BD"/>
    <w:rsid w:val="2334C9BC"/>
    <w:rsid w:val="236CA560"/>
    <w:rsid w:val="239A8218"/>
    <w:rsid w:val="239E9A11"/>
    <w:rsid w:val="23EC1C21"/>
    <w:rsid w:val="24215C54"/>
    <w:rsid w:val="242FA098"/>
    <w:rsid w:val="2442B545"/>
    <w:rsid w:val="24455112"/>
    <w:rsid w:val="24622B62"/>
    <w:rsid w:val="246F1DB9"/>
    <w:rsid w:val="247855EA"/>
    <w:rsid w:val="247C39F6"/>
    <w:rsid w:val="2496F773"/>
    <w:rsid w:val="24988A0B"/>
    <w:rsid w:val="24AFBA7D"/>
    <w:rsid w:val="24CA2066"/>
    <w:rsid w:val="24CCE427"/>
    <w:rsid w:val="24EF83CC"/>
    <w:rsid w:val="24FE5FE6"/>
    <w:rsid w:val="25093328"/>
    <w:rsid w:val="255C01A6"/>
    <w:rsid w:val="25851D05"/>
    <w:rsid w:val="25A90924"/>
    <w:rsid w:val="25E7962D"/>
    <w:rsid w:val="25FD500B"/>
    <w:rsid w:val="26122D2E"/>
    <w:rsid w:val="2618C1B0"/>
    <w:rsid w:val="26518C64"/>
    <w:rsid w:val="26557B21"/>
    <w:rsid w:val="2657EFD9"/>
    <w:rsid w:val="267DC674"/>
    <w:rsid w:val="26C0153D"/>
    <w:rsid w:val="26E57EF3"/>
    <w:rsid w:val="26EA9A70"/>
    <w:rsid w:val="26FC4B0F"/>
    <w:rsid w:val="270B2C17"/>
    <w:rsid w:val="271C0ACC"/>
    <w:rsid w:val="2766B536"/>
    <w:rsid w:val="278C6EB4"/>
    <w:rsid w:val="27A09C62"/>
    <w:rsid w:val="27B7D872"/>
    <w:rsid w:val="27DB5A03"/>
    <w:rsid w:val="27E5C90B"/>
    <w:rsid w:val="27F25B87"/>
    <w:rsid w:val="280E5D41"/>
    <w:rsid w:val="280FAF0F"/>
    <w:rsid w:val="281AA6C1"/>
    <w:rsid w:val="284F58EA"/>
    <w:rsid w:val="285CA738"/>
    <w:rsid w:val="286EBEE7"/>
    <w:rsid w:val="28700B9F"/>
    <w:rsid w:val="28803806"/>
    <w:rsid w:val="28A95E19"/>
    <w:rsid w:val="28E56AE2"/>
    <w:rsid w:val="291146C6"/>
    <w:rsid w:val="2911C57E"/>
    <w:rsid w:val="2917BA9E"/>
    <w:rsid w:val="29338702"/>
    <w:rsid w:val="294016C4"/>
    <w:rsid w:val="296BC734"/>
    <w:rsid w:val="2971AE05"/>
    <w:rsid w:val="297B67F9"/>
    <w:rsid w:val="297BA431"/>
    <w:rsid w:val="2994EA22"/>
    <w:rsid w:val="29994B1B"/>
    <w:rsid w:val="29C7F5DD"/>
    <w:rsid w:val="29DBCB07"/>
    <w:rsid w:val="29EA170E"/>
    <w:rsid w:val="29F7114E"/>
    <w:rsid w:val="2A0E0174"/>
    <w:rsid w:val="2A46B5FA"/>
    <w:rsid w:val="2A844ECE"/>
    <w:rsid w:val="2A929B56"/>
    <w:rsid w:val="2AA3337E"/>
    <w:rsid w:val="2ABA9AD7"/>
    <w:rsid w:val="2ABE030D"/>
    <w:rsid w:val="2ABED588"/>
    <w:rsid w:val="2ACB244B"/>
    <w:rsid w:val="2AF3491A"/>
    <w:rsid w:val="2B04AFEB"/>
    <w:rsid w:val="2B0CFF5E"/>
    <w:rsid w:val="2B69096F"/>
    <w:rsid w:val="2B713E95"/>
    <w:rsid w:val="2B7B97CE"/>
    <w:rsid w:val="2B95EB59"/>
    <w:rsid w:val="2B9C3FFF"/>
    <w:rsid w:val="2BAA0F3E"/>
    <w:rsid w:val="2BB9390B"/>
    <w:rsid w:val="2BEE6062"/>
    <w:rsid w:val="2BF85D52"/>
    <w:rsid w:val="2C1041C8"/>
    <w:rsid w:val="2C1343DE"/>
    <w:rsid w:val="2C2C9A18"/>
    <w:rsid w:val="2C33AB7E"/>
    <w:rsid w:val="2C73BE18"/>
    <w:rsid w:val="2CA4D8C4"/>
    <w:rsid w:val="2CDE2CB9"/>
    <w:rsid w:val="2CDE888E"/>
    <w:rsid w:val="2CE85F35"/>
    <w:rsid w:val="2D1008C4"/>
    <w:rsid w:val="2D24CD15"/>
    <w:rsid w:val="2D25C8F1"/>
    <w:rsid w:val="2D5CB338"/>
    <w:rsid w:val="2D798F26"/>
    <w:rsid w:val="2DA782A8"/>
    <w:rsid w:val="2DB53F47"/>
    <w:rsid w:val="2DB938F1"/>
    <w:rsid w:val="2DED1C0C"/>
    <w:rsid w:val="2DFD853C"/>
    <w:rsid w:val="2E052AC5"/>
    <w:rsid w:val="2E2AD7C1"/>
    <w:rsid w:val="2E5F3776"/>
    <w:rsid w:val="2E8629FB"/>
    <w:rsid w:val="2EC56C8E"/>
    <w:rsid w:val="2EED495D"/>
    <w:rsid w:val="2EFCECA2"/>
    <w:rsid w:val="2F0B04FE"/>
    <w:rsid w:val="2F0CB0CB"/>
    <w:rsid w:val="2F5F74DE"/>
    <w:rsid w:val="2F6A63FA"/>
    <w:rsid w:val="2F7249C7"/>
    <w:rsid w:val="2F77C68C"/>
    <w:rsid w:val="2FF5A8F0"/>
    <w:rsid w:val="300D661C"/>
    <w:rsid w:val="303EA75B"/>
    <w:rsid w:val="3043AF79"/>
    <w:rsid w:val="3050C465"/>
    <w:rsid w:val="30548604"/>
    <w:rsid w:val="307E389C"/>
    <w:rsid w:val="30951E7C"/>
    <w:rsid w:val="30B1A9B6"/>
    <w:rsid w:val="30C687B2"/>
    <w:rsid w:val="30E5D430"/>
    <w:rsid w:val="30EDFF1D"/>
    <w:rsid w:val="30F49B58"/>
    <w:rsid w:val="31197062"/>
    <w:rsid w:val="311AE371"/>
    <w:rsid w:val="311D8F0F"/>
    <w:rsid w:val="3137855A"/>
    <w:rsid w:val="3168F6E2"/>
    <w:rsid w:val="318E4D1C"/>
    <w:rsid w:val="319585EB"/>
    <w:rsid w:val="31A08330"/>
    <w:rsid w:val="31D8C03A"/>
    <w:rsid w:val="31FF0349"/>
    <w:rsid w:val="327CEAA5"/>
    <w:rsid w:val="32967A0B"/>
    <w:rsid w:val="329CB72E"/>
    <w:rsid w:val="32AB8E51"/>
    <w:rsid w:val="32B5FD73"/>
    <w:rsid w:val="32BAB855"/>
    <w:rsid w:val="32BADEF4"/>
    <w:rsid w:val="32DF77E4"/>
    <w:rsid w:val="332A00D7"/>
    <w:rsid w:val="3335E055"/>
    <w:rsid w:val="333E882F"/>
    <w:rsid w:val="3368D7D4"/>
    <w:rsid w:val="3387C3A9"/>
    <w:rsid w:val="338B7793"/>
    <w:rsid w:val="33A4E727"/>
    <w:rsid w:val="33AB72EC"/>
    <w:rsid w:val="33C0289F"/>
    <w:rsid w:val="33EEA5B8"/>
    <w:rsid w:val="340BF7B3"/>
    <w:rsid w:val="3443FA59"/>
    <w:rsid w:val="346AD788"/>
    <w:rsid w:val="346B127F"/>
    <w:rsid w:val="349CF2B5"/>
    <w:rsid w:val="34B42C5F"/>
    <w:rsid w:val="34CF715A"/>
    <w:rsid w:val="34E0670E"/>
    <w:rsid w:val="34E0A332"/>
    <w:rsid w:val="3528A1D1"/>
    <w:rsid w:val="35294C49"/>
    <w:rsid w:val="3564156C"/>
    <w:rsid w:val="35912FB0"/>
    <w:rsid w:val="35919255"/>
    <w:rsid w:val="35EE9AC5"/>
    <w:rsid w:val="36042225"/>
    <w:rsid w:val="36125306"/>
    <w:rsid w:val="36210902"/>
    <w:rsid w:val="3634D318"/>
    <w:rsid w:val="363DF3ED"/>
    <w:rsid w:val="364ED546"/>
    <w:rsid w:val="365937DB"/>
    <w:rsid w:val="365EB778"/>
    <w:rsid w:val="3666DA9A"/>
    <w:rsid w:val="36746E62"/>
    <w:rsid w:val="36AD71E1"/>
    <w:rsid w:val="36CC88F8"/>
    <w:rsid w:val="36E62B2C"/>
    <w:rsid w:val="36E83614"/>
    <w:rsid w:val="36F02D3E"/>
    <w:rsid w:val="377CB321"/>
    <w:rsid w:val="3797529A"/>
    <w:rsid w:val="37D47C2D"/>
    <w:rsid w:val="38015DA0"/>
    <w:rsid w:val="3816B05C"/>
    <w:rsid w:val="381C80B3"/>
    <w:rsid w:val="383918B9"/>
    <w:rsid w:val="38785C67"/>
    <w:rsid w:val="38A779C1"/>
    <w:rsid w:val="38C7E605"/>
    <w:rsid w:val="38D2EA83"/>
    <w:rsid w:val="38DEEE47"/>
    <w:rsid w:val="38E10761"/>
    <w:rsid w:val="39237D92"/>
    <w:rsid w:val="3928FAA9"/>
    <w:rsid w:val="39330247"/>
    <w:rsid w:val="398F6C2E"/>
    <w:rsid w:val="39C74F2A"/>
    <w:rsid w:val="39D6549A"/>
    <w:rsid w:val="39FD2E0A"/>
    <w:rsid w:val="3A68A067"/>
    <w:rsid w:val="3A77A3D1"/>
    <w:rsid w:val="3ABCF40C"/>
    <w:rsid w:val="3AC9795A"/>
    <w:rsid w:val="3AD2207E"/>
    <w:rsid w:val="3AF8D9EC"/>
    <w:rsid w:val="3B4691D4"/>
    <w:rsid w:val="3B7281C7"/>
    <w:rsid w:val="3B9602E5"/>
    <w:rsid w:val="3BB7F7A5"/>
    <w:rsid w:val="3C073BDC"/>
    <w:rsid w:val="3C125DCB"/>
    <w:rsid w:val="3C1B609F"/>
    <w:rsid w:val="3C1E7BF0"/>
    <w:rsid w:val="3C3629F4"/>
    <w:rsid w:val="3C391C5E"/>
    <w:rsid w:val="3C42F4D0"/>
    <w:rsid w:val="3C97FE7D"/>
    <w:rsid w:val="3C9B3B10"/>
    <w:rsid w:val="3CA9ED72"/>
    <w:rsid w:val="3CF6BB60"/>
    <w:rsid w:val="3CF9465A"/>
    <w:rsid w:val="3CFC3D65"/>
    <w:rsid w:val="3D0AA90E"/>
    <w:rsid w:val="3D12CF6B"/>
    <w:rsid w:val="3D2CB413"/>
    <w:rsid w:val="3D318297"/>
    <w:rsid w:val="3D3C016A"/>
    <w:rsid w:val="3D4CF0FD"/>
    <w:rsid w:val="3D5F942F"/>
    <w:rsid w:val="3D6679CB"/>
    <w:rsid w:val="3D86AB41"/>
    <w:rsid w:val="3D8BCBAC"/>
    <w:rsid w:val="3D8D7828"/>
    <w:rsid w:val="3D904847"/>
    <w:rsid w:val="3DD49F7F"/>
    <w:rsid w:val="3DE27541"/>
    <w:rsid w:val="3E3F5050"/>
    <w:rsid w:val="3E49DEC2"/>
    <w:rsid w:val="3E70D4C9"/>
    <w:rsid w:val="3E88E5C4"/>
    <w:rsid w:val="3E89D074"/>
    <w:rsid w:val="3EB82424"/>
    <w:rsid w:val="3EBF0931"/>
    <w:rsid w:val="3EEA4B9A"/>
    <w:rsid w:val="3F0A29A2"/>
    <w:rsid w:val="3F17A1D8"/>
    <w:rsid w:val="3F1B34C4"/>
    <w:rsid w:val="3F1FF164"/>
    <w:rsid w:val="3F2D32E3"/>
    <w:rsid w:val="3F31D2AB"/>
    <w:rsid w:val="3F6964F8"/>
    <w:rsid w:val="3F7BD833"/>
    <w:rsid w:val="3F7E5AB3"/>
    <w:rsid w:val="3F99AA2C"/>
    <w:rsid w:val="3FC272A4"/>
    <w:rsid w:val="3FCE2C6B"/>
    <w:rsid w:val="3FDAC117"/>
    <w:rsid w:val="3FF724AD"/>
    <w:rsid w:val="400072F5"/>
    <w:rsid w:val="4069DACD"/>
    <w:rsid w:val="40A01D75"/>
    <w:rsid w:val="40DCC8B8"/>
    <w:rsid w:val="418CF922"/>
    <w:rsid w:val="41A31354"/>
    <w:rsid w:val="41FB74D0"/>
    <w:rsid w:val="4209DCDD"/>
    <w:rsid w:val="4227B3F8"/>
    <w:rsid w:val="423192A5"/>
    <w:rsid w:val="423A699D"/>
    <w:rsid w:val="423C47D6"/>
    <w:rsid w:val="425FCDCC"/>
    <w:rsid w:val="4286DDB6"/>
    <w:rsid w:val="42C2825E"/>
    <w:rsid w:val="42DA18CA"/>
    <w:rsid w:val="42E66373"/>
    <w:rsid w:val="4329A4A4"/>
    <w:rsid w:val="4342986A"/>
    <w:rsid w:val="435B66C5"/>
    <w:rsid w:val="439724F1"/>
    <w:rsid w:val="43B155E3"/>
    <w:rsid w:val="43B55B4B"/>
    <w:rsid w:val="43B91AED"/>
    <w:rsid w:val="43CB21A7"/>
    <w:rsid w:val="43CB6E89"/>
    <w:rsid w:val="43E3E16B"/>
    <w:rsid w:val="43FEA01C"/>
    <w:rsid w:val="44129B7B"/>
    <w:rsid w:val="4412CBB0"/>
    <w:rsid w:val="44247CC2"/>
    <w:rsid w:val="44257722"/>
    <w:rsid w:val="448BCA01"/>
    <w:rsid w:val="449863D8"/>
    <w:rsid w:val="44E94778"/>
    <w:rsid w:val="4503934E"/>
    <w:rsid w:val="45633684"/>
    <w:rsid w:val="45A2E1A7"/>
    <w:rsid w:val="45BDC8C0"/>
    <w:rsid w:val="45C3ADEC"/>
    <w:rsid w:val="45DBE5C5"/>
    <w:rsid w:val="45E120E1"/>
    <w:rsid w:val="46100E08"/>
    <w:rsid w:val="461E379F"/>
    <w:rsid w:val="463ECA98"/>
    <w:rsid w:val="465E2B69"/>
    <w:rsid w:val="46619D4F"/>
    <w:rsid w:val="46826249"/>
    <w:rsid w:val="469216F9"/>
    <w:rsid w:val="46A629E3"/>
    <w:rsid w:val="46BDF676"/>
    <w:rsid w:val="46D53527"/>
    <w:rsid w:val="46D9EE1E"/>
    <w:rsid w:val="46F64AE5"/>
    <w:rsid w:val="47016ACA"/>
    <w:rsid w:val="47056495"/>
    <w:rsid w:val="470CD80A"/>
    <w:rsid w:val="471A9785"/>
    <w:rsid w:val="47701713"/>
    <w:rsid w:val="479E900D"/>
    <w:rsid w:val="47EBB550"/>
    <w:rsid w:val="48014443"/>
    <w:rsid w:val="481EAC54"/>
    <w:rsid w:val="482CBE38"/>
    <w:rsid w:val="482FF401"/>
    <w:rsid w:val="483D9EE9"/>
    <w:rsid w:val="484C682C"/>
    <w:rsid w:val="4877DF50"/>
    <w:rsid w:val="487CE8D9"/>
    <w:rsid w:val="48958724"/>
    <w:rsid w:val="48A8CA9F"/>
    <w:rsid w:val="48F0FB77"/>
    <w:rsid w:val="4949E72E"/>
    <w:rsid w:val="4967D3D8"/>
    <w:rsid w:val="498DF15D"/>
    <w:rsid w:val="49A364BF"/>
    <w:rsid w:val="49BEF5BE"/>
    <w:rsid w:val="49ECD6AC"/>
    <w:rsid w:val="4A1AAA5B"/>
    <w:rsid w:val="4A243C89"/>
    <w:rsid w:val="4A4364DF"/>
    <w:rsid w:val="4A937860"/>
    <w:rsid w:val="4AABF793"/>
    <w:rsid w:val="4AAC9606"/>
    <w:rsid w:val="4ABE8ADA"/>
    <w:rsid w:val="4AC0C0B0"/>
    <w:rsid w:val="4AD0C609"/>
    <w:rsid w:val="4AE4E42A"/>
    <w:rsid w:val="4AE51243"/>
    <w:rsid w:val="4AFCA3BD"/>
    <w:rsid w:val="4B02941F"/>
    <w:rsid w:val="4B3A9744"/>
    <w:rsid w:val="4B4D470A"/>
    <w:rsid w:val="4B640D0E"/>
    <w:rsid w:val="4B9C8B34"/>
    <w:rsid w:val="4BBBDD03"/>
    <w:rsid w:val="4C0178BC"/>
    <w:rsid w:val="4C17F044"/>
    <w:rsid w:val="4C2A04B9"/>
    <w:rsid w:val="4C2A1F2F"/>
    <w:rsid w:val="4C4DE8F2"/>
    <w:rsid w:val="4C8990E9"/>
    <w:rsid w:val="4CCC9BE6"/>
    <w:rsid w:val="4CD75173"/>
    <w:rsid w:val="4D0228B0"/>
    <w:rsid w:val="4D07A4E5"/>
    <w:rsid w:val="4D33B156"/>
    <w:rsid w:val="4D35E774"/>
    <w:rsid w:val="4D363CAE"/>
    <w:rsid w:val="4D67E40C"/>
    <w:rsid w:val="4D7D08BF"/>
    <w:rsid w:val="4D872E02"/>
    <w:rsid w:val="4D8CB056"/>
    <w:rsid w:val="4D932AAC"/>
    <w:rsid w:val="4DD26816"/>
    <w:rsid w:val="4DD7AB45"/>
    <w:rsid w:val="4E21D052"/>
    <w:rsid w:val="4E284AEB"/>
    <w:rsid w:val="4E34A95E"/>
    <w:rsid w:val="4E4C8297"/>
    <w:rsid w:val="4E513F6E"/>
    <w:rsid w:val="4E58D662"/>
    <w:rsid w:val="4E5EFFD9"/>
    <w:rsid w:val="4E62F98A"/>
    <w:rsid w:val="4E8F2DBE"/>
    <w:rsid w:val="4EB05C4F"/>
    <w:rsid w:val="4EBCEE6F"/>
    <w:rsid w:val="4ED2974E"/>
    <w:rsid w:val="4F16A2A2"/>
    <w:rsid w:val="4F1D0D52"/>
    <w:rsid w:val="4F48EC08"/>
    <w:rsid w:val="4F4955D8"/>
    <w:rsid w:val="4F553219"/>
    <w:rsid w:val="4F5C0A3E"/>
    <w:rsid w:val="4F6FC7F1"/>
    <w:rsid w:val="4F810BDE"/>
    <w:rsid w:val="4F89B523"/>
    <w:rsid w:val="4F8CF817"/>
    <w:rsid w:val="4FBAF751"/>
    <w:rsid w:val="4FC35836"/>
    <w:rsid w:val="4FD40B6F"/>
    <w:rsid w:val="4FD5E346"/>
    <w:rsid w:val="4FE9A2B5"/>
    <w:rsid w:val="4FEBAA47"/>
    <w:rsid w:val="502D170E"/>
    <w:rsid w:val="50C063AA"/>
    <w:rsid w:val="50EF07A1"/>
    <w:rsid w:val="50F02AE1"/>
    <w:rsid w:val="5117B252"/>
    <w:rsid w:val="511D45EF"/>
    <w:rsid w:val="513AB176"/>
    <w:rsid w:val="513F027C"/>
    <w:rsid w:val="51505C70"/>
    <w:rsid w:val="515A955F"/>
    <w:rsid w:val="5161395E"/>
    <w:rsid w:val="51719B37"/>
    <w:rsid w:val="51B855BB"/>
    <w:rsid w:val="51D73218"/>
    <w:rsid w:val="51EB2DAF"/>
    <w:rsid w:val="51FE83AA"/>
    <w:rsid w:val="5210A058"/>
    <w:rsid w:val="521BF2B8"/>
    <w:rsid w:val="522BE847"/>
    <w:rsid w:val="524E3284"/>
    <w:rsid w:val="526CC0E6"/>
    <w:rsid w:val="52770ED4"/>
    <w:rsid w:val="5279AC95"/>
    <w:rsid w:val="529FF023"/>
    <w:rsid w:val="52CBF8B6"/>
    <w:rsid w:val="52D8A939"/>
    <w:rsid w:val="52FEAFF0"/>
    <w:rsid w:val="5301B6DB"/>
    <w:rsid w:val="533621CA"/>
    <w:rsid w:val="534AF373"/>
    <w:rsid w:val="5358AC27"/>
    <w:rsid w:val="537B4EE1"/>
    <w:rsid w:val="537C97B5"/>
    <w:rsid w:val="53883C19"/>
    <w:rsid w:val="53932A96"/>
    <w:rsid w:val="53C50F1F"/>
    <w:rsid w:val="53D10B97"/>
    <w:rsid w:val="53E14596"/>
    <w:rsid w:val="540F985F"/>
    <w:rsid w:val="5416D20D"/>
    <w:rsid w:val="543722C9"/>
    <w:rsid w:val="5445934C"/>
    <w:rsid w:val="545EBDB4"/>
    <w:rsid w:val="54673388"/>
    <w:rsid w:val="5471A293"/>
    <w:rsid w:val="54801DE0"/>
    <w:rsid w:val="54A08D78"/>
    <w:rsid w:val="54A761DD"/>
    <w:rsid w:val="54A825EC"/>
    <w:rsid w:val="54B0E8BD"/>
    <w:rsid w:val="54C89CDB"/>
    <w:rsid w:val="54CFC7E5"/>
    <w:rsid w:val="54D29E95"/>
    <w:rsid w:val="54E1B035"/>
    <w:rsid w:val="54FA891B"/>
    <w:rsid w:val="552BF4CF"/>
    <w:rsid w:val="552CE613"/>
    <w:rsid w:val="556CCC08"/>
    <w:rsid w:val="557F949A"/>
    <w:rsid w:val="55A66926"/>
    <w:rsid w:val="55CCD1FC"/>
    <w:rsid w:val="55D00068"/>
    <w:rsid w:val="562409C0"/>
    <w:rsid w:val="56455D34"/>
    <w:rsid w:val="56487702"/>
    <w:rsid w:val="5658ACAC"/>
    <w:rsid w:val="566DDD5A"/>
    <w:rsid w:val="567F0772"/>
    <w:rsid w:val="56A29FDD"/>
    <w:rsid w:val="56A86137"/>
    <w:rsid w:val="57332654"/>
    <w:rsid w:val="574CF604"/>
    <w:rsid w:val="574F3521"/>
    <w:rsid w:val="5757A718"/>
    <w:rsid w:val="57A40528"/>
    <w:rsid w:val="57D8557C"/>
    <w:rsid w:val="5817A9D6"/>
    <w:rsid w:val="58285F00"/>
    <w:rsid w:val="584FA432"/>
    <w:rsid w:val="58E93C7B"/>
    <w:rsid w:val="5901619C"/>
    <w:rsid w:val="591C8899"/>
    <w:rsid w:val="595E1F54"/>
    <w:rsid w:val="596098F8"/>
    <w:rsid w:val="5977A716"/>
    <w:rsid w:val="59B17D31"/>
    <w:rsid w:val="59CC679A"/>
    <w:rsid w:val="59EAB82E"/>
    <w:rsid w:val="59F1AE73"/>
    <w:rsid w:val="5A85E161"/>
    <w:rsid w:val="5AB87BFA"/>
    <w:rsid w:val="5AC4DFA3"/>
    <w:rsid w:val="5AF14177"/>
    <w:rsid w:val="5B28A48E"/>
    <w:rsid w:val="5B3469FB"/>
    <w:rsid w:val="5B34ADC1"/>
    <w:rsid w:val="5B47C056"/>
    <w:rsid w:val="5B8427AF"/>
    <w:rsid w:val="5B8F9F98"/>
    <w:rsid w:val="5BAF9236"/>
    <w:rsid w:val="5BF4A9A8"/>
    <w:rsid w:val="5C0CC8BA"/>
    <w:rsid w:val="5C1EB779"/>
    <w:rsid w:val="5C452AD7"/>
    <w:rsid w:val="5C577A84"/>
    <w:rsid w:val="5C771329"/>
    <w:rsid w:val="5C80A3F5"/>
    <w:rsid w:val="5CB23ED0"/>
    <w:rsid w:val="5D1365AD"/>
    <w:rsid w:val="5D232C7C"/>
    <w:rsid w:val="5D2376DF"/>
    <w:rsid w:val="5D4CE98F"/>
    <w:rsid w:val="5D5131AB"/>
    <w:rsid w:val="5D5704F2"/>
    <w:rsid w:val="5D5FD1C9"/>
    <w:rsid w:val="5D8024CE"/>
    <w:rsid w:val="5DA6C1A4"/>
    <w:rsid w:val="5E137CFB"/>
    <w:rsid w:val="5E22AFA2"/>
    <w:rsid w:val="5E5A3573"/>
    <w:rsid w:val="5E8AB062"/>
    <w:rsid w:val="5EE739E3"/>
    <w:rsid w:val="5F01FACF"/>
    <w:rsid w:val="5F02CD86"/>
    <w:rsid w:val="5F140111"/>
    <w:rsid w:val="5F14E040"/>
    <w:rsid w:val="5F19D688"/>
    <w:rsid w:val="5F3CB5A5"/>
    <w:rsid w:val="6018038D"/>
    <w:rsid w:val="6058809E"/>
    <w:rsid w:val="6079C054"/>
    <w:rsid w:val="6081E929"/>
    <w:rsid w:val="60913E00"/>
    <w:rsid w:val="60A37A0E"/>
    <w:rsid w:val="60BC1A15"/>
    <w:rsid w:val="60FB98DB"/>
    <w:rsid w:val="614A74EF"/>
    <w:rsid w:val="616397F5"/>
    <w:rsid w:val="616BDF08"/>
    <w:rsid w:val="6197E612"/>
    <w:rsid w:val="619DAA6A"/>
    <w:rsid w:val="61B1D1F9"/>
    <w:rsid w:val="61B7FDF6"/>
    <w:rsid w:val="61C00473"/>
    <w:rsid w:val="61F7C1AF"/>
    <w:rsid w:val="6209103A"/>
    <w:rsid w:val="6217D996"/>
    <w:rsid w:val="621EE6EB"/>
    <w:rsid w:val="626C1189"/>
    <w:rsid w:val="6286E644"/>
    <w:rsid w:val="6287F011"/>
    <w:rsid w:val="62A62A88"/>
    <w:rsid w:val="62A74E84"/>
    <w:rsid w:val="62AE017B"/>
    <w:rsid w:val="62BCB0C5"/>
    <w:rsid w:val="62CC4657"/>
    <w:rsid w:val="62FF621A"/>
    <w:rsid w:val="632B2A74"/>
    <w:rsid w:val="633D8926"/>
    <w:rsid w:val="63887FD3"/>
    <w:rsid w:val="638E8001"/>
    <w:rsid w:val="63D71E75"/>
    <w:rsid w:val="641FA800"/>
    <w:rsid w:val="64235BB2"/>
    <w:rsid w:val="642C4419"/>
    <w:rsid w:val="64483296"/>
    <w:rsid w:val="648A60DF"/>
    <w:rsid w:val="649BC378"/>
    <w:rsid w:val="650DCFBA"/>
    <w:rsid w:val="6513076C"/>
    <w:rsid w:val="651EE33E"/>
    <w:rsid w:val="652053AF"/>
    <w:rsid w:val="6552090D"/>
    <w:rsid w:val="6555727F"/>
    <w:rsid w:val="656785AE"/>
    <w:rsid w:val="658458F9"/>
    <w:rsid w:val="65C69061"/>
    <w:rsid w:val="6608480E"/>
    <w:rsid w:val="6662B29F"/>
    <w:rsid w:val="669FC62A"/>
    <w:rsid w:val="66B08E29"/>
    <w:rsid w:val="66B8E56E"/>
    <w:rsid w:val="66B90866"/>
    <w:rsid w:val="66C9EA5D"/>
    <w:rsid w:val="66C9EE02"/>
    <w:rsid w:val="66E4C000"/>
    <w:rsid w:val="66EA6886"/>
    <w:rsid w:val="67059F01"/>
    <w:rsid w:val="6723725A"/>
    <w:rsid w:val="674FC082"/>
    <w:rsid w:val="6774D192"/>
    <w:rsid w:val="678D084F"/>
    <w:rsid w:val="679E1BE5"/>
    <w:rsid w:val="67EA7176"/>
    <w:rsid w:val="683A2C93"/>
    <w:rsid w:val="6845435F"/>
    <w:rsid w:val="686B5495"/>
    <w:rsid w:val="6877E5BA"/>
    <w:rsid w:val="688FB49D"/>
    <w:rsid w:val="68AEAF61"/>
    <w:rsid w:val="68D3CF00"/>
    <w:rsid w:val="69013E7E"/>
    <w:rsid w:val="6920F085"/>
    <w:rsid w:val="69524AA0"/>
    <w:rsid w:val="6955AE55"/>
    <w:rsid w:val="696B43C3"/>
    <w:rsid w:val="697A8187"/>
    <w:rsid w:val="699351A5"/>
    <w:rsid w:val="69EA0344"/>
    <w:rsid w:val="6A114DFF"/>
    <w:rsid w:val="6A5E2F7F"/>
    <w:rsid w:val="6A88C7BE"/>
    <w:rsid w:val="6A9C1221"/>
    <w:rsid w:val="6AB030DE"/>
    <w:rsid w:val="6AEC695F"/>
    <w:rsid w:val="6B3A2299"/>
    <w:rsid w:val="6B4253E7"/>
    <w:rsid w:val="6B55E309"/>
    <w:rsid w:val="6B5A5C25"/>
    <w:rsid w:val="6B5A6514"/>
    <w:rsid w:val="6B830F9E"/>
    <w:rsid w:val="6B8395F8"/>
    <w:rsid w:val="6B83D40A"/>
    <w:rsid w:val="6C184745"/>
    <w:rsid w:val="6C1EF4F4"/>
    <w:rsid w:val="6C314AE6"/>
    <w:rsid w:val="6C5CBC06"/>
    <w:rsid w:val="6C6E90F5"/>
    <w:rsid w:val="6C700A87"/>
    <w:rsid w:val="6C869E16"/>
    <w:rsid w:val="6C9E5CD1"/>
    <w:rsid w:val="6C9EDDDE"/>
    <w:rsid w:val="6CAD8069"/>
    <w:rsid w:val="6CB1C09F"/>
    <w:rsid w:val="6CE2550D"/>
    <w:rsid w:val="6CE9FE59"/>
    <w:rsid w:val="6D832688"/>
    <w:rsid w:val="6D973CBC"/>
    <w:rsid w:val="6D9F646B"/>
    <w:rsid w:val="6DA3B3B2"/>
    <w:rsid w:val="6DA4F3F4"/>
    <w:rsid w:val="6DE463CA"/>
    <w:rsid w:val="6DEBB4E6"/>
    <w:rsid w:val="6E219EC4"/>
    <w:rsid w:val="6E542935"/>
    <w:rsid w:val="6E804DFC"/>
    <w:rsid w:val="6E8F4286"/>
    <w:rsid w:val="6E8FA462"/>
    <w:rsid w:val="6E9E57A4"/>
    <w:rsid w:val="6ECAB2D3"/>
    <w:rsid w:val="6EE59ABE"/>
    <w:rsid w:val="6EF69C65"/>
    <w:rsid w:val="6EFCCD7C"/>
    <w:rsid w:val="6F01E590"/>
    <w:rsid w:val="6F3743F4"/>
    <w:rsid w:val="6F3CAB77"/>
    <w:rsid w:val="6F562094"/>
    <w:rsid w:val="6F714DF7"/>
    <w:rsid w:val="6FAAA99B"/>
    <w:rsid w:val="6FABAFF2"/>
    <w:rsid w:val="6FAD53B7"/>
    <w:rsid w:val="6FDDB31A"/>
    <w:rsid w:val="6FF0732D"/>
    <w:rsid w:val="700FCE1F"/>
    <w:rsid w:val="7044F178"/>
    <w:rsid w:val="7055552D"/>
    <w:rsid w:val="7065B06E"/>
    <w:rsid w:val="707FCA52"/>
    <w:rsid w:val="7091A667"/>
    <w:rsid w:val="70C31A4C"/>
    <w:rsid w:val="70CEAC77"/>
    <w:rsid w:val="70F9E6B5"/>
    <w:rsid w:val="7124F515"/>
    <w:rsid w:val="7126AF4B"/>
    <w:rsid w:val="7156C4EA"/>
    <w:rsid w:val="715ADAFE"/>
    <w:rsid w:val="715DB3B0"/>
    <w:rsid w:val="71670101"/>
    <w:rsid w:val="71733C0F"/>
    <w:rsid w:val="71A63211"/>
    <w:rsid w:val="71AD0C98"/>
    <w:rsid w:val="71F2BBC2"/>
    <w:rsid w:val="7212624F"/>
    <w:rsid w:val="7233CB50"/>
    <w:rsid w:val="723A983D"/>
    <w:rsid w:val="723D3386"/>
    <w:rsid w:val="724308D8"/>
    <w:rsid w:val="725E5524"/>
    <w:rsid w:val="727D4E51"/>
    <w:rsid w:val="729B0DB3"/>
    <w:rsid w:val="72A2BA21"/>
    <w:rsid w:val="72B97F18"/>
    <w:rsid w:val="72B9A061"/>
    <w:rsid w:val="730E6282"/>
    <w:rsid w:val="7311ED4E"/>
    <w:rsid w:val="73E0BDE7"/>
    <w:rsid w:val="73E3B60A"/>
    <w:rsid w:val="73F00714"/>
    <w:rsid w:val="73F03E02"/>
    <w:rsid w:val="73FC4587"/>
    <w:rsid w:val="74025138"/>
    <w:rsid w:val="7402CCF2"/>
    <w:rsid w:val="74235986"/>
    <w:rsid w:val="7423A62A"/>
    <w:rsid w:val="74501974"/>
    <w:rsid w:val="7464D593"/>
    <w:rsid w:val="74DC8E9D"/>
    <w:rsid w:val="74F9033D"/>
    <w:rsid w:val="750345AB"/>
    <w:rsid w:val="75336892"/>
    <w:rsid w:val="75455A84"/>
    <w:rsid w:val="755CD381"/>
    <w:rsid w:val="75799C6A"/>
    <w:rsid w:val="757DF685"/>
    <w:rsid w:val="75A44EBB"/>
    <w:rsid w:val="75E2142F"/>
    <w:rsid w:val="75E45643"/>
    <w:rsid w:val="75EF836A"/>
    <w:rsid w:val="762CD990"/>
    <w:rsid w:val="766FCD0A"/>
    <w:rsid w:val="767B7722"/>
    <w:rsid w:val="76A7EE51"/>
    <w:rsid w:val="76AC9989"/>
    <w:rsid w:val="76AF9DEA"/>
    <w:rsid w:val="76B005A3"/>
    <w:rsid w:val="76C8CE4D"/>
    <w:rsid w:val="76DFACDA"/>
    <w:rsid w:val="76E6A678"/>
    <w:rsid w:val="76FE2BC2"/>
    <w:rsid w:val="774281EC"/>
    <w:rsid w:val="776B532F"/>
    <w:rsid w:val="7773A25F"/>
    <w:rsid w:val="77B4E123"/>
    <w:rsid w:val="77C23183"/>
    <w:rsid w:val="77EBC8EE"/>
    <w:rsid w:val="7878808B"/>
    <w:rsid w:val="78A30DD4"/>
    <w:rsid w:val="78A69C1E"/>
    <w:rsid w:val="78E1A2A2"/>
    <w:rsid w:val="791AAEB2"/>
    <w:rsid w:val="791E5A3B"/>
    <w:rsid w:val="791FD6F2"/>
    <w:rsid w:val="79317512"/>
    <w:rsid w:val="7962884C"/>
    <w:rsid w:val="79AFDC00"/>
    <w:rsid w:val="79C42BE3"/>
    <w:rsid w:val="79D4B034"/>
    <w:rsid w:val="79F2C887"/>
    <w:rsid w:val="79F80A51"/>
    <w:rsid w:val="7A2F7062"/>
    <w:rsid w:val="7A3239A4"/>
    <w:rsid w:val="7A34992D"/>
    <w:rsid w:val="7A64A773"/>
    <w:rsid w:val="7ADCC936"/>
    <w:rsid w:val="7B488742"/>
    <w:rsid w:val="7B8CB64C"/>
    <w:rsid w:val="7BBD0C57"/>
    <w:rsid w:val="7BC52D16"/>
    <w:rsid w:val="7C0CD5A3"/>
    <w:rsid w:val="7C11CAD0"/>
    <w:rsid w:val="7C2867B1"/>
    <w:rsid w:val="7C9BC87B"/>
    <w:rsid w:val="7CA2C230"/>
    <w:rsid w:val="7CB27EEB"/>
    <w:rsid w:val="7CB5FF43"/>
    <w:rsid w:val="7CDE040E"/>
    <w:rsid w:val="7CDFE571"/>
    <w:rsid w:val="7CE471DE"/>
    <w:rsid w:val="7CEE2C47"/>
    <w:rsid w:val="7CF371B8"/>
    <w:rsid w:val="7CF4D830"/>
    <w:rsid w:val="7D1F7E0F"/>
    <w:rsid w:val="7D4D0D83"/>
    <w:rsid w:val="7D846965"/>
    <w:rsid w:val="7D9028C2"/>
    <w:rsid w:val="7DD7A36F"/>
    <w:rsid w:val="7DE6374E"/>
    <w:rsid w:val="7E1394D4"/>
    <w:rsid w:val="7E1E3130"/>
    <w:rsid w:val="7E275FBD"/>
    <w:rsid w:val="7E9A0F84"/>
    <w:rsid w:val="7E9BB3C7"/>
    <w:rsid w:val="7EA9CA5A"/>
    <w:rsid w:val="7EB96663"/>
    <w:rsid w:val="7EC7B732"/>
    <w:rsid w:val="7EDDA573"/>
    <w:rsid w:val="7EE39E39"/>
    <w:rsid w:val="7EE3D48B"/>
    <w:rsid w:val="7F392F55"/>
    <w:rsid w:val="7F3C1B9C"/>
    <w:rsid w:val="7F436C87"/>
    <w:rsid w:val="7F4D1B30"/>
    <w:rsid w:val="7F5E8608"/>
    <w:rsid w:val="7F616C35"/>
    <w:rsid w:val="7F74A325"/>
    <w:rsid w:val="7F8DA1E6"/>
    <w:rsid w:val="7F9E8093"/>
    <w:rsid w:val="7FAF7743"/>
    <w:rsid w:val="7FD9DE94"/>
    <w:rsid w:val="7FDBAF38"/>
    <w:rsid w:val="7FF69DA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4D11EB"/>
  <w15:chartTrackingRefBased/>
  <w15:docId w15:val="{CA069A4F-B79D-42C7-9F29-0C7B42F3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BD"/>
  </w:style>
  <w:style w:type="paragraph" w:styleId="Heading1">
    <w:name w:val="heading 1"/>
    <w:basedOn w:val="Normal"/>
    <w:next w:val="Normal"/>
    <w:link w:val="Heading1Char"/>
    <w:uiPriority w:val="9"/>
    <w:qFormat/>
    <w:rsid w:val="00277D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F10E97"/>
    <w:pPr>
      <w:keepNext/>
      <w:tabs>
        <w:tab w:val="left" w:pos="720"/>
      </w:tabs>
      <w:spacing w:before="120" w:after="120" w:line="240" w:lineRule="auto"/>
      <w:jc w:val="center"/>
      <w:outlineLvl w:val="1"/>
    </w:pPr>
    <w:rPr>
      <w:rFonts w:ascii="Times New Roman" w:eastAsia="Times New Roman" w:hAnsi="Times New Roman" w:cs="Times New Roman"/>
      <w:b/>
      <w:bCs/>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4C9"/>
    <w:rPr>
      <w:sz w:val="16"/>
      <w:szCs w:val="16"/>
    </w:rPr>
  </w:style>
  <w:style w:type="paragraph" w:styleId="CommentText">
    <w:name w:val="annotation text"/>
    <w:basedOn w:val="Normal"/>
    <w:link w:val="CommentTextChar"/>
    <w:uiPriority w:val="99"/>
    <w:semiHidden/>
    <w:unhideWhenUsed/>
    <w:rsid w:val="00F704C9"/>
    <w:pPr>
      <w:spacing w:line="240" w:lineRule="auto"/>
    </w:pPr>
    <w:rPr>
      <w:sz w:val="20"/>
      <w:szCs w:val="20"/>
    </w:rPr>
  </w:style>
  <w:style w:type="character" w:customStyle="1" w:styleId="CommentTextChar">
    <w:name w:val="Comment Text Char"/>
    <w:basedOn w:val="DefaultParagraphFont"/>
    <w:link w:val="CommentText"/>
    <w:uiPriority w:val="99"/>
    <w:semiHidden/>
    <w:rsid w:val="00F704C9"/>
    <w:rPr>
      <w:sz w:val="20"/>
      <w:szCs w:val="20"/>
    </w:rPr>
  </w:style>
  <w:style w:type="paragraph" w:styleId="ListParagraph">
    <w:name w:val="List Paragraph"/>
    <w:aliases w:val="Bullets,Paragraphe de liste1,List Paragraph (numbered (a)),List Paragraph11,List Paragraph1,Para,List Paragraph IC Documents,References,Párrafo de lista,references,Lapis Bulleted List,Dot pt,F5 List Paragraph,No Spacing1"/>
    <w:basedOn w:val="Normal"/>
    <w:link w:val="ListParagraphChar"/>
    <w:uiPriority w:val="1"/>
    <w:qFormat/>
    <w:rsid w:val="00F704C9"/>
    <w:pPr>
      <w:ind w:left="720"/>
      <w:contextualSpacing/>
    </w:pPr>
  </w:style>
  <w:style w:type="paragraph" w:styleId="BalloonText">
    <w:name w:val="Balloon Text"/>
    <w:basedOn w:val="Normal"/>
    <w:link w:val="BalloonTextChar"/>
    <w:uiPriority w:val="99"/>
    <w:semiHidden/>
    <w:unhideWhenUsed/>
    <w:rsid w:val="00F70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7C62"/>
    <w:rPr>
      <w:b/>
      <w:bCs/>
    </w:rPr>
  </w:style>
  <w:style w:type="character" w:customStyle="1" w:styleId="CommentSubjectChar">
    <w:name w:val="Comment Subject Char"/>
    <w:basedOn w:val="CommentTextChar"/>
    <w:link w:val="CommentSubject"/>
    <w:uiPriority w:val="99"/>
    <w:semiHidden/>
    <w:rsid w:val="00777C62"/>
    <w:rPr>
      <w:b/>
      <w:bCs/>
      <w:sz w:val="20"/>
      <w:szCs w:val="20"/>
    </w:rPr>
  </w:style>
  <w:style w:type="paragraph" w:styleId="Revision">
    <w:name w:val="Revision"/>
    <w:hidden/>
    <w:uiPriority w:val="99"/>
    <w:semiHidden/>
    <w:rsid w:val="00AA35FF"/>
    <w:pPr>
      <w:spacing w:after="0" w:line="240" w:lineRule="auto"/>
    </w:pPr>
  </w:style>
  <w:style w:type="character" w:customStyle="1" w:styleId="Heading2Char">
    <w:name w:val="Heading 2 Char"/>
    <w:basedOn w:val="DefaultParagraphFont"/>
    <w:link w:val="Heading2"/>
    <w:uiPriority w:val="9"/>
    <w:rsid w:val="00F10E97"/>
    <w:rPr>
      <w:rFonts w:ascii="Times New Roman" w:eastAsia="Times New Roman" w:hAnsi="Times New Roman" w:cs="Times New Roman"/>
      <w:b/>
      <w:bCs/>
      <w:iCs/>
      <w:szCs w:val="24"/>
      <w:lang w:val="en-GB"/>
    </w:rPr>
  </w:style>
  <w:style w:type="character" w:customStyle="1" w:styleId="normaltextrun">
    <w:name w:val="normaltextrun"/>
    <w:basedOn w:val="DefaultParagraphFont"/>
    <w:rsid w:val="00BF25DC"/>
  </w:style>
  <w:style w:type="character" w:customStyle="1" w:styleId="eop">
    <w:name w:val="eop"/>
    <w:basedOn w:val="DefaultParagraphFont"/>
    <w:rsid w:val="00BF25DC"/>
  </w:style>
  <w:style w:type="paragraph" w:styleId="Header">
    <w:name w:val="header"/>
    <w:basedOn w:val="Normal"/>
    <w:link w:val="HeaderChar"/>
    <w:uiPriority w:val="99"/>
    <w:unhideWhenUsed/>
    <w:rsid w:val="0037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075"/>
  </w:style>
  <w:style w:type="paragraph" w:styleId="Footer">
    <w:name w:val="footer"/>
    <w:basedOn w:val="Normal"/>
    <w:link w:val="FooterChar"/>
    <w:uiPriority w:val="99"/>
    <w:unhideWhenUsed/>
    <w:rsid w:val="0037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075"/>
  </w:style>
  <w:style w:type="character" w:styleId="Hyperlink">
    <w:name w:val="Hyperlink"/>
    <w:uiPriority w:val="99"/>
    <w:rsid w:val="006D0214"/>
    <w:rPr>
      <w:rFonts w:cs="Times New Roman"/>
      <w:color w:val="0000FF"/>
      <w:u w:val="single"/>
    </w:rPr>
  </w:style>
  <w:style w:type="character" w:customStyle="1" w:styleId="Onopgelostemelding1">
    <w:name w:val="Onopgeloste melding1"/>
    <w:basedOn w:val="DefaultParagraphFont"/>
    <w:uiPriority w:val="99"/>
    <w:semiHidden/>
    <w:unhideWhenUsed/>
    <w:rsid w:val="00DD789A"/>
    <w:rPr>
      <w:color w:val="605E5C"/>
      <w:shd w:val="clear" w:color="auto" w:fill="E1DFDD"/>
    </w:rPr>
  </w:style>
  <w:style w:type="paragraph" w:styleId="NormalWeb">
    <w:name w:val="Normal (Web)"/>
    <w:basedOn w:val="Normal"/>
    <w:uiPriority w:val="99"/>
    <w:unhideWhenUsed/>
    <w:rsid w:val="007B6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E3314B"/>
    <w:pPr>
      <w:autoSpaceDE w:val="0"/>
      <w:autoSpaceDN w:val="0"/>
      <w:adjustRightInd w:val="0"/>
      <w:spacing w:after="0" w:line="240" w:lineRule="auto"/>
    </w:pPr>
    <w:rPr>
      <w:rFonts w:ascii="Palatino Linotype" w:hAnsi="Palatino Linotype" w:cs="Palatino Linotype"/>
      <w:color w:val="000000"/>
      <w:sz w:val="24"/>
      <w:szCs w:val="24"/>
      <w:lang w:val="en-US"/>
    </w:rPr>
  </w:style>
  <w:style w:type="character" w:customStyle="1" w:styleId="Heading1Char">
    <w:name w:val="Heading 1 Char"/>
    <w:basedOn w:val="DefaultParagraphFont"/>
    <w:link w:val="Heading1"/>
    <w:uiPriority w:val="9"/>
    <w:rsid w:val="00277D42"/>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sid w:val="00277D42"/>
    <w:rPr>
      <w:vertAlign w:val="superscript"/>
    </w:rPr>
  </w:style>
  <w:style w:type="character" w:styleId="Emphasis">
    <w:name w:val="Emphasis"/>
    <w:basedOn w:val="DefaultParagraphFont"/>
    <w:uiPriority w:val="20"/>
    <w:qFormat/>
    <w:rsid w:val="00277D42"/>
    <w:rPr>
      <w:i/>
      <w:iCs/>
    </w:rPr>
  </w:style>
  <w:style w:type="character" w:customStyle="1" w:styleId="ListParagraphChar">
    <w:name w:val="List Paragraph Char"/>
    <w:aliases w:val="Bullets Char,Paragraphe de liste1 Char,List Paragraph (numbered (a)) Char,List Paragraph11 Char,List Paragraph1 Char,Para Char,List Paragraph IC Documents Char,References Char,Párrafo de lista Char,references Char,Dot pt Char"/>
    <w:basedOn w:val="DefaultParagraphFont"/>
    <w:link w:val="ListParagraph"/>
    <w:uiPriority w:val="34"/>
    <w:qFormat/>
    <w:rsid w:val="00277D42"/>
  </w:style>
  <w:style w:type="paragraph" w:customStyle="1" w:styleId="bodytext">
    <w:name w:val="bodytext"/>
    <w:basedOn w:val="Normal"/>
    <w:rsid w:val="00277D4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5716">
      <w:bodyDiv w:val="1"/>
      <w:marLeft w:val="0"/>
      <w:marRight w:val="0"/>
      <w:marTop w:val="0"/>
      <w:marBottom w:val="0"/>
      <w:divBdr>
        <w:top w:val="none" w:sz="0" w:space="0" w:color="auto"/>
        <w:left w:val="none" w:sz="0" w:space="0" w:color="auto"/>
        <w:bottom w:val="none" w:sz="0" w:space="0" w:color="auto"/>
        <w:right w:val="none" w:sz="0" w:space="0" w:color="auto"/>
      </w:divBdr>
    </w:div>
    <w:div w:id="142939939">
      <w:bodyDiv w:val="1"/>
      <w:marLeft w:val="0"/>
      <w:marRight w:val="0"/>
      <w:marTop w:val="0"/>
      <w:marBottom w:val="0"/>
      <w:divBdr>
        <w:top w:val="none" w:sz="0" w:space="0" w:color="auto"/>
        <w:left w:val="none" w:sz="0" w:space="0" w:color="auto"/>
        <w:bottom w:val="none" w:sz="0" w:space="0" w:color="auto"/>
        <w:right w:val="none" w:sz="0" w:space="0" w:color="auto"/>
      </w:divBdr>
    </w:div>
    <w:div w:id="240680001">
      <w:bodyDiv w:val="1"/>
      <w:marLeft w:val="0"/>
      <w:marRight w:val="0"/>
      <w:marTop w:val="0"/>
      <w:marBottom w:val="0"/>
      <w:divBdr>
        <w:top w:val="none" w:sz="0" w:space="0" w:color="auto"/>
        <w:left w:val="none" w:sz="0" w:space="0" w:color="auto"/>
        <w:bottom w:val="none" w:sz="0" w:space="0" w:color="auto"/>
        <w:right w:val="none" w:sz="0" w:space="0" w:color="auto"/>
      </w:divBdr>
    </w:div>
    <w:div w:id="336616659">
      <w:bodyDiv w:val="1"/>
      <w:marLeft w:val="0"/>
      <w:marRight w:val="0"/>
      <w:marTop w:val="0"/>
      <w:marBottom w:val="0"/>
      <w:divBdr>
        <w:top w:val="none" w:sz="0" w:space="0" w:color="auto"/>
        <w:left w:val="none" w:sz="0" w:space="0" w:color="auto"/>
        <w:bottom w:val="none" w:sz="0" w:space="0" w:color="auto"/>
        <w:right w:val="none" w:sz="0" w:space="0" w:color="auto"/>
      </w:divBdr>
    </w:div>
    <w:div w:id="357515082">
      <w:bodyDiv w:val="1"/>
      <w:marLeft w:val="0"/>
      <w:marRight w:val="0"/>
      <w:marTop w:val="0"/>
      <w:marBottom w:val="0"/>
      <w:divBdr>
        <w:top w:val="none" w:sz="0" w:space="0" w:color="auto"/>
        <w:left w:val="none" w:sz="0" w:space="0" w:color="auto"/>
        <w:bottom w:val="none" w:sz="0" w:space="0" w:color="auto"/>
        <w:right w:val="none" w:sz="0" w:space="0" w:color="auto"/>
      </w:divBdr>
    </w:div>
    <w:div w:id="503983521">
      <w:bodyDiv w:val="1"/>
      <w:marLeft w:val="0"/>
      <w:marRight w:val="0"/>
      <w:marTop w:val="0"/>
      <w:marBottom w:val="0"/>
      <w:divBdr>
        <w:top w:val="none" w:sz="0" w:space="0" w:color="auto"/>
        <w:left w:val="none" w:sz="0" w:space="0" w:color="auto"/>
        <w:bottom w:val="none" w:sz="0" w:space="0" w:color="auto"/>
        <w:right w:val="none" w:sz="0" w:space="0" w:color="auto"/>
      </w:divBdr>
    </w:div>
    <w:div w:id="520751757">
      <w:bodyDiv w:val="1"/>
      <w:marLeft w:val="0"/>
      <w:marRight w:val="0"/>
      <w:marTop w:val="0"/>
      <w:marBottom w:val="0"/>
      <w:divBdr>
        <w:top w:val="none" w:sz="0" w:space="0" w:color="auto"/>
        <w:left w:val="none" w:sz="0" w:space="0" w:color="auto"/>
        <w:bottom w:val="none" w:sz="0" w:space="0" w:color="auto"/>
        <w:right w:val="none" w:sz="0" w:space="0" w:color="auto"/>
      </w:divBdr>
    </w:div>
    <w:div w:id="596443647">
      <w:bodyDiv w:val="1"/>
      <w:marLeft w:val="0"/>
      <w:marRight w:val="0"/>
      <w:marTop w:val="0"/>
      <w:marBottom w:val="0"/>
      <w:divBdr>
        <w:top w:val="none" w:sz="0" w:space="0" w:color="auto"/>
        <w:left w:val="none" w:sz="0" w:space="0" w:color="auto"/>
        <w:bottom w:val="none" w:sz="0" w:space="0" w:color="auto"/>
        <w:right w:val="none" w:sz="0" w:space="0" w:color="auto"/>
      </w:divBdr>
    </w:div>
    <w:div w:id="613445953">
      <w:bodyDiv w:val="1"/>
      <w:marLeft w:val="0"/>
      <w:marRight w:val="0"/>
      <w:marTop w:val="0"/>
      <w:marBottom w:val="0"/>
      <w:divBdr>
        <w:top w:val="none" w:sz="0" w:space="0" w:color="auto"/>
        <w:left w:val="none" w:sz="0" w:space="0" w:color="auto"/>
        <w:bottom w:val="none" w:sz="0" w:space="0" w:color="auto"/>
        <w:right w:val="none" w:sz="0" w:space="0" w:color="auto"/>
      </w:divBdr>
    </w:div>
    <w:div w:id="849832758">
      <w:bodyDiv w:val="1"/>
      <w:marLeft w:val="0"/>
      <w:marRight w:val="0"/>
      <w:marTop w:val="0"/>
      <w:marBottom w:val="0"/>
      <w:divBdr>
        <w:top w:val="none" w:sz="0" w:space="0" w:color="auto"/>
        <w:left w:val="none" w:sz="0" w:space="0" w:color="auto"/>
        <w:bottom w:val="none" w:sz="0" w:space="0" w:color="auto"/>
        <w:right w:val="none" w:sz="0" w:space="0" w:color="auto"/>
      </w:divBdr>
    </w:div>
    <w:div w:id="945774245">
      <w:bodyDiv w:val="1"/>
      <w:marLeft w:val="0"/>
      <w:marRight w:val="0"/>
      <w:marTop w:val="0"/>
      <w:marBottom w:val="0"/>
      <w:divBdr>
        <w:top w:val="none" w:sz="0" w:space="0" w:color="auto"/>
        <w:left w:val="none" w:sz="0" w:space="0" w:color="auto"/>
        <w:bottom w:val="none" w:sz="0" w:space="0" w:color="auto"/>
        <w:right w:val="none" w:sz="0" w:space="0" w:color="auto"/>
      </w:divBdr>
    </w:div>
    <w:div w:id="947397246">
      <w:bodyDiv w:val="1"/>
      <w:marLeft w:val="0"/>
      <w:marRight w:val="0"/>
      <w:marTop w:val="0"/>
      <w:marBottom w:val="0"/>
      <w:divBdr>
        <w:top w:val="none" w:sz="0" w:space="0" w:color="auto"/>
        <w:left w:val="none" w:sz="0" w:space="0" w:color="auto"/>
        <w:bottom w:val="none" w:sz="0" w:space="0" w:color="auto"/>
        <w:right w:val="none" w:sz="0" w:space="0" w:color="auto"/>
      </w:divBdr>
    </w:div>
    <w:div w:id="1023433129">
      <w:bodyDiv w:val="1"/>
      <w:marLeft w:val="0"/>
      <w:marRight w:val="0"/>
      <w:marTop w:val="0"/>
      <w:marBottom w:val="0"/>
      <w:divBdr>
        <w:top w:val="none" w:sz="0" w:space="0" w:color="auto"/>
        <w:left w:val="none" w:sz="0" w:space="0" w:color="auto"/>
        <w:bottom w:val="none" w:sz="0" w:space="0" w:color="auto"/>
        <w:right w:val="none" w:sz="0" w:space="0" w:color="auto"/>
      </w:divBdr>
    </w:div>
    <w:div w:id="1083258609">
      <w:bodyDiv w:val="1"/>
      <w:marLeft w:val="0"/>
      <w:marRight w:val="0"/>
      <w:marTop w:val="0"/>
      <w:marBottom w:val="0"/>
      <w:divBdr>
        <w:top w:val="none" w:sz="0" w:space="0" w:color="auto"/>
        <w:left w:val="none" w:sz="0" w:space="0" w:color="auto"/>
        <w:bottom w:val="none" w:sz="0" w:space="0" w:color="auto"/>
        <w:right w:val="none" w:sz="0" w:space="0" w:color="auto"/>
      </w:divBdr>
    </w:div>
    <w:div w:id="1091312891">
      <w:bodyDiv w:val="1"/>
      <w:marLeft w:val="0"/>
      <w:marRight w:val="0"/>
      <w:marTop w:val="0"/>
      <w:marBottom w:val="0"/>
      <w:divBdr>
        <w:top w:val="none" w:sz="0" w:space="0" w:color="auto"/>
        <w:left w:val="none" w:sz="0" w:space="0" w:color="auto"/>
        <w:bottom w:val="none" w:sz="0" w:space="0" w:color="auto"/>
        <w:right w:val="none" w:sz="0" w:space="0" w:color="auto"/>
      </w:divBdr>
    </w:div>
    <w:div w:id="1154418587">
      <w:bodyDiv w:val="1"/>
      <w:marLeft w:val="0"/>
      <w:marRight w:val="0"/>
      <w:marTop w:val="0"/>
      <w:marBottom w:val="0"/>
      <w:divBdr>
        <w:top w:val="none" w:sz="0" w:space="0" w:color="auto"/>
        <w:left w:val="none" w:sz="0" w:space="0" w:color="auto"/>
        <w:bottom w:val="none" w:sz="0" w:space="0" w:color="auto"/>
        <w:right w:val="none" w:sz="0" w:space="0" w:color="auto"/>
      </w:divBdr>
    </w:div>
    <w:div w:id="1173494525">
      <w:bodyDiv w:val="1"/>
      <w:marLeft w:val="0"/>
      <w:marRight w:val="0"/>
      <w:marTop w:val="0"/>
      <w:marBottom w:val="0"/>
      <w:divBdr>
        <w:top w:val="none" w:sz="0" w:space="0" w:color="auto"/>
        <w:left w:val="none" w:sz="0" w:space="0" w:color="auto"/>
        <w:bottom w:val="none" w:sz="0" w:space="0" w:color="auto"/>
        <w:right w:val="none" w:sz="0" w:space="0" w:color="auto"/>
      </w:divBdr>
    </w:div>
    <w:div w:id="1190681624">
      <w:bodyDiv w:val="1"/>
      <w:marLeft w:val="0"/>
      <w:marRight w:val="0"/>
      <w:marTop w:val="0"/>
      <w:marBottom w:val="0"/>
      <w:divBdr>
        <w:top w:val="none" w:sz="0" w:space="0" w:color="auto"/>
        <w:left w:val="none" w:sz="0" w:space="0" w:color="auto"/>
        <w:bottom w:val="none" w:sz="0" w:space="0" w:color="auto"/>
        <w:right w:val="none" w:sz="0" w:space="0" w:color="auto"/>
      </w:divBdr>
      <w:divsChild>
        <w:div w:id="64845524">
          <w:marLeft w:val="0"/>
          <w:marRight w:val="0"/>
          <w:marTop w:val="0"/>
          <w:marBottom w:val="0"/>
          <w:divBdr>
            <w:top w:val="none" w:sz="0" w:space="0" w:color="auto"/>
            <w:left w:val="none" w:sz="0" w:space="0" w:color="auto"/>
            <w:bottom w:val="none" w:sz="0" w:space="0" w:color="auto"/>
            <w:right w:val="none" w:sz="0" w:space="0" w:color="auto"/>
          </w:divBdr>
          <w:divsChild>
            <w:div w:id="1625817485">
              <w:marLeft w:val="0"/>
              <w:marRight w:val="0"/>
              <w:marTop w:val="0"/>
              <w:marBottom w:val="0"/>
              <w:divBdr>
                <w:top w:val="none" w:sz="0" w:space="0" w:color="auto"/>
                <w:left w:val="none" w:sz="0" w:space="0" w:color="auto"/>
                <w:bottom w:val="none" w:sz="0" w:space="0" w:color="auto"/>
                <w:right w:val="none" w:sz="0" w:space="0" w:color="auto"/>
              </w:divBdr>
            </w:div>
          </w:divsChild>
        </w:div>
        <w:div w:id="73859931">
          <w:marLeft w:val="0"/>
          <w:marRight w:val="0"/>
          <w:marTop w:val="0"/>
          <w:marBottom w:val="0"/>
          <w:divBdr>
            <w:top w:val="none" w:sz="0" w:space="0" w:color="auto"/>
            <w:left w:val="none" w:sz="0" w:space="0" w:color="auto"/>
            <w:bottom w:val="none" w:sz="0" w:space="0" w:color="auto"/>
            <w:right w:val="none" w:sz="0" w:space="0" w:color="auto"/>
          </w:divBdr>
          <w:divsChild>
            <w:div w:id="1273516091">
              <w:marLeft w:val="0"/>
              <w:marRight w:val="0"/>
              <w:marTop w:val="0"/>
              <w:marBottom w:val="0"/>
              <w:divBdr>
                <w:top w:val="none" w:sz="0" w:space="0" w:color="auto"/>
                <w:left w:val="none" w:sz="0" w:space="0" w:color="auto"/>
                <w:bottom w:val="none" w:sz="0" w:space="0" w:color="auto"/>
                <w:right w:val="none" w:sz="0" w:space="0" w:color="auto"/>
              </w:divBdr>
            </w:div>
          </w:divsChild>
        </w:div>
        <w:div w:id="1150096044">
          <w:marLeft w:val="0"/>
          <w:marRight w:val="0"/>
          <w:marTop w:val="0"/>
          <w:marBottom w:val="0"/>
          <w:divBdr>
            <w:top w:val="none" w:sz="0" w:space="0" w:color="auto"/>
            <w:left w:val="none" w:sz="0" w:space="0" w:color="auto"/>
            <w:bottom w:val="none" w:sz="0" w:space="0" w:color="auto"/>
            <w:right w:val="none" w:sz="0" w:space="0" w:color="auto"/>
          </w:divBdr>
          <w:divsChild>
            <w:div w:id="1336422428">
              <w:marLeft w:val="0"/>
              <w:marRight w:val="0"/>
              <w:marTop w:val="0"/>
              <w:marBottom w:val="0"/>
              <w:divBdr>
                <w:top w:val="none" w:sz="0" w:space="0" w:color="auto"/>
                <w:left w:val="none" w:sz="0" w:space="0" w:color="auto"/>
                <w:bottom w:val="none" w:sz="0" w:space="0" w:color="auto"/>
                <w:right w:val="none" w:sz="0" w:space="0" w:color="auto"/>
              </w:divBdr>
            </w:div>
          </w:divsChild>
        </w:div>
        <w:div w:id="1285817159">
          <w:marLeft w:val="0"/>
          <w:marRight w:val="0"/>
          <w:marTop w:val="0"/>
          <w:marBottom w:val="0"/>
          <w:divBdr>
            <w:top w:val="none" w:sz="0" w:space="0" w:color="auto"/>
            <w:left w:val="none" w:sz="0" w:space="0" w:color="auto"/>
            <w:bottom w:val="none" w:sz="0" w:space="0" w:color="auto"/>
            <w:right w:val="none" w:sz="0" w:space="0" w:color="auto"/>
          </w:divBdr>
          <w:divsChild>
            <w:div w:id="2047095093">
              <w:marLeft w:val="0"/>
              <w:marRight w:val="0"/>
              <w:marTop w:val="0"/>
              <w:marBottom w:val="0"/>
              <w:divBdr>
                <w:top w:val="none" w:sz="0" w:space="0" w:color="auto"/>
                <w:left w:val="none" w:sz="0" w:space="0" w:color="auto"/>
                <w:bottom w:val="none" w:sz="0" w:space="0" w:color="auto"/>
                <w:right w:val="none" w:sz="0" w:space="0" w:color="auto"/>
              </w:divBdr>
            </w:div>
          </w:divsChild>
        </w:div>
        <w:div w:id="1415281628">
          <w:marLeft w:val="0"/>
          <w:marRight w:val="0"/>
          <w:marTop w:val="0"/>
          <w:marBottom w:val="0"/>
          <w:divBdr>
            <w:top w:val="none" w:sz="0" w:space="0" w:color="auto"/>
            <w:left w:val="none" w:sz="0" w:space="0" w:color="auto"/>
            <w:bottom w:val="none" w:sz="0" w:space="0" w:color="auto"/>
            <w:right w:val="none" w:sz="0" w:space="0" w:color="auto"/>
          </w:divBdr>
          <w:divsChild>
            <w:div w:id="422801531">
              <w:marLeft w:val="0"/>
              <w:marRight w:val="0"/>
              <w:marTop w:val="0"/>
              <w:marBottom w:val="0"/>
              <w:divBdr>
                <w:top w:val="none" w:sz="0" w:space="0" w:color="auto"/>
                <w:left w:val="none" w:sz="0" w:space="0" w:color="auto"/>
                <w:bottom w:val="none" w:sz="0" w:space="0" w:color="auto"/>
                <w:right w:val="none" w:sz="0" w:space="0" w:color="auto"/>
              </w:divBdr>
            </w:div>
          </w:divsChild>
        </w:div>
        <w:div w:id="1601059769">
          <w:marLeft w:val="0"/>
          <w:marRight w:val="0"/>
          <w:marTop w:val="0"/>
          <w:marBottom w:val="0"/>
          <w:divBdr>
            <w:top w:val="none" w:sz="0" w:space="0" w:color="auto"/>
            <w:left w:val="none" w:sz="0" w:space="0" w:color="auto"/>
            <w:bottom w:val="none" w:sz="0" w:space="0" w:color="auto"/>
            <w:right w:val="none" w:sz="0" w:space="0" w:color="auto"/>
          </w:divBdr>
          <w:divsChild>
            <w:div w:id="1718890502">
              <w:marLeft w:val="0"/>
              <w:marRight w:val="0"/>
              <w:marTop w:val="0"/>
              <w:marBottom w:val="0"/>
              <w:divBdr>
                <w:top w:val="none" w:sz="0" w:space="0" w:color="auto"/>
                <w:left w:val="none" w:sz="0" w:space="0" w:color="auto"/>
                <w:bottom w:val="none" w:sz="0" w:space="0" w:color="auto"/>
                <w:right w:val="none" w:sz="0" w:space="0" w:color="auto"/>
              </w:divBdr>
            </w:div>
          </w:divsChild>
        </w:div>
        <w:div w:id="1812867818">
          <w:marLeft w:val="0"/>
          <w:marRight w:val="0"/>
          <w:marTop w:val="0"/>
          <w:marBottom w:val="0"/>
          <w:divBdr>
            <w:top w:val="none" w:sz="0" w:space="0" w:color="auto"/>
            <w:left w:val="none" w:sz="0" w:space="0" w:color="auto"/>
            <w:bottom w:val="none" w:sz="0" w:space="0" w:color="auto"/>
            <w:right w:val="none" w:sz="0" w:space="0" w:color="auto"/>
          </w:divBdr>
          <w:divsChild>
            <w:div w:id="1161232930">
              <w:marLeft w:val="0"/>
              <w:marRight w:val="0"/>
              <w:marTop w:val="0"/>
              <w:marBottom w:val="0"/>
              <w:divBdr>
                <w:top w:val="none" w:sz="0" w:space="0" w:color="auto"/>
                <w:left w:val="none" w:sz="0" w:space="0" w:color="auto"/>
                <w:bottom w:val="none" w:sz="0" w:space="0" w:color="auto"/>
                <w:right w:val="none" w:sz="0" w:space="0" w:color="auto"/>
              </w:divBdr>
            </w:div>
          </w:divsChild>
        </w:div>
        <w:div w:id="1938752599">
          <w:marLeft w:val="0"/>
          <w:marRight w:val="0"/>
          <w:marTop w:val="0"/>
          <w:marBottom w:val="0"/>
          <w:divBdr>
            <w:top w:val="none" w:sz="0" w:space="0" w:color="auto"/>
            <w:left w:val="none" w:sz="0" w:space="0" w:color="auto"/>
            <w:bottom w:val="none" w:sz="0" w:space="0" w:color="auto"/>
            <w:right w:val="none" w:sz="0" w:space="0" w:color="auto"/>
          </w:divBdr>
          <w:divsChild>
            <w:div w:id="100220969">
              <w:marLeft w:val="0"/>
              <w:marRight w:val="0"/>
              <w:marTop w:val="0"/>
              <w:marBottom w:val="0"/>
              <w:divBdr>
                <w:top w:val="none" w:sz="0" w:space="0" w:color="auto"/>
                <w:left w:val="none" w:sz="0" w:space="0" w:color="auto"/>
                <w:bottom w:val="none" w:sz="0" w:space="0" w:color="auto"/>
                <w:right w:val="none" w:sz="0" w:space="0" w:color="auto"/>
              </w:divBdr>
            </w:div>
          </w:divsChild>
        </w:div>
        <w:div w:id="1943148051">
          <w:marLeft w:val="0"/>
          <w:marRight w:val="0"/>
          <w:marTop w:val="0"/>
          <w:marBottom w:val="0"/>
          <w:divBdr>
            <w:top w:val="none" w:sz="0" w:space="0" w:color="auto"/>
            <w:left w:val="none" w:sz="0" w:space="0" w:color="auto"/>
            <w:bottom w:val="none" w:sz="0" w:space="0" w:color="auto"/>
            <w:right w:val="none" w:sz="0" w:space="0" w:color="auto"/>
          </w:divBdr>
          <w:divsChild>
            <w:div w:id="8192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5877">
      <w:bodyDiv w:val="1"/>
      <w:marLeft w:val="0"/>
      <w:marRight w:val="0"/>
      <w:marTop w:val="0"/>
      <w:marBottom w:val="0"/>
      <w:divBdr>
        <w:top w:val="none" w:sz="0" w:space="0" w:color="auto"/>
        <w:left w:val="none" w:sz="0" w:space="0" w:color="auto"/>
        <w:bottom w:val="none" w:sz="0" w:space="0" w:color="auto"/>
        <w:right w:val="none" w:sz="0" w:space="0" w:color="auto"/>
      </w:divBdr>
    </w:div>
    <w:div w:id="1257521152">
      <w:bodyDiv w:val="1"/>
      <w:marLeft w:val="0"/>
      <w:marRight w:val="0"/>
      <w:marTop w:val="0"/>
      <w:marBottom w:val="0"/>
      <w:divBdr>
        <w:top w:val="none" w:sz="0" w:space="0" w:color="auto"/>
        <w:left w:val="none" w:sz="0" w:space="0" w:color="auto"/>
        <w:bottom w:val="none" w:sz="0" w:space="0" w:color="auto"/>
        <w:right w:val="none" w:sz="0" w:space="0" w:color="auto"/>
      </w:divBdr>
    </w:div>
    <w:div w:id="1260524211">
      <w:bodyDiv w:val="1"/>
      <w:marLeft w:val="0"/>
      <w:marRight w:val="0"/>
      <w:marTop w:val="0"/>
      <w:marBottom w:val="0"/>
      <w:divBdr>
        <w:top w:val="none" w:sz="0" w:space="0" w:color="auto"/>
        <w:left w:val="none" w:sz="0" w:space="0" w:color="auto"/>
        <w:bottom w:val="none" w:sz="0" w:space="0" w:color="auto"/>
        <w:right w:val="none" w:sz="0" w:space="0" w:color="auto"/>
      </w:divBdr>
    </w:div>
    <w:div w:id="1299263961">
      <w:bodyDiv w:val="1"/>
      <w:marLeft w:val="0"/>
      <w:marRight w:val="0"/>
      <w:marTop w:val="0"/>
      <w:marBottom w:val="0"/>
      <w:divBdr>
        <w:top w:val="none" w:sz="0" w:space="0" w:color="auto"/>
        <w:left w:val="none" w:sz="0" w:space="0" w:color="auto"/>
        <w:bottom w:val="none" w:sz="0" w:space="0" w:color="auto"/>
        <w:right w:val="none" w:sz="0" w:space="0" w:color="auto"/>
      </w:divBdr>
    </w:div>
    <w:div w:id="1301686067">
      <w:bodyDiv w:val="1"/>
      <w:marLeft w:val="0"/>
      <w:marRight w:val="0"/>
      <w:marTop w:val="0"/>
      <w:marBottom w:val="0"/>
      <w:divBdr>
        <w:top w:val="none" w:sz="0" w:space="0" w:color="auto"/>
        <w:left w:val="none" w:sz="0" w:space="0" w:color="auto"/>
        <w:bottom w:val="none" w:sz="0" w:space="0" w:color="auto"/>
        <w:right w:val="none" w:sz="0" w:space="0" w:color="auto"/>
      </w:divBdr>
    </w:div>
    <w:div w:id="1329483421">
      <w:bodyDiv w:val="1"/>
      <w:marLeft w:val="0"/>
      <w:marRight w:val="0"/>
      <w:marTop w:val="0"/>
      <w:marBottom w:val="0"/>
      <w:divBdr>
        <w:top w:val="none" w:sz="0" w:space="0" w:color="auto"/>
        <w:left w:val="none" w:sz="0" w:space="0" w:color="auto"/>
        <w:bottom w:val="none" w:sz="0" w:space="0" w:color="auto"/>
        <w:right w:val="none" w:sz="0" w:space="0" w:color="auto"/>
      </w:divBdr>
    </w:div>
    <w:div w:id="1364937714">
      <w:bodyDiv w:val="1"/>
      <w:marLeft w:val="0"/>
      <w:marRight w:val="0"/>
      <w:marTop w:val="0"/>
      <w:marBottom w:val="0"/>
      <w:divBdr>
        <w:top w:val="none" w:sz="0" w:space="0" w:color="auto"/>
        <w:left w:val="none" w:sz="0" w:space="0" w:color="auto"/>
        <w:bottom w:val="none" w:sz="0" w:space="0" w:color="auto"/>
        <w:right w:val="none" w:sz="0" w:space="0" w:color="auto"/>
      </w:divBdr>
    </w:div>
    <w:div w:id="1409116532">
      <w:bodyDiv w:val="1"/>
      <w:marLeft w:val="0"/>
      <w:marRight w:val="0"/>
      <w:marTop w:val="0"/>
      <w:marBottom w:val="0"/>
      <w:divBdr>
        <w:top w:val="none" w:sz="0" w:space="0" w:color="auto"/>
        <w:left w:val="none" w:sz="0" w:space="0" w:color="auto"/>
        <w:bottom w:val="none" w:sz="0" w:space="0" w:color="auto"/>
        <w:right w:val="none" w:sz="0" w:space="0" w:color="auto"/>
      </w:divBdr>
    </w:div>
    <w:div w:id="1581134119">
      <w:bodyDiv w:val="1"/>
      <w:marLeft w:val="0"/>
      <w:marRight w:val="0"/>
      <w:marTop w:val="0"/>
      <w:marBottom w:val="0"/>
      <w:divBdr>
        <w:top w:val="none" w:sz="0" w:space="0" w:color="auto"/>
        <w:left w:val="none" w:sz="0" w:space="0" w:color="auto"/>
        <w:bottom w:val="none" w:sz="0" w:space="0" w:color="auto"/>
        <w:right w:val="none" w:sz="0" w:space="0" w:color="auto"/>
      </w:divBdr>
    </w:div>
    <w:div w:id="1595282012">
      <w:bodyDiv w:val="1"/>
      <w:marLeft w:val="0"/>
      <w:marRight w:val="0"/>
      <w:marTop w:val="0"/>
      <w:marBottom w:val="0"/>
      <w:divBdr>
        <w:top w:val="none" w:sz="0" w:space="0" w:color="auto"/>
        <w:left w:val="none" w:sz="0" w:space="0" w:color="auto"/>
        <w:bottom w:val="none" w:sz="0" w:space="0" w:color="auto"/>
        <w:right w:val="none" w:sz="0" w:space="0" w:color="auto"/>
      </w:divBdr>
    </w:div>
    <w:div w:id="1633747933">
      <w:bodyDiv w:val="1"/>
      <w:marLeft w:val="0"/>
      <w:marRight w:val="0"/>
      <w:marTop w:val="0"/>
      <w:marBottom w:val="0"/>
      <w:divBdr>
        <w:top w:val="none" w:sz="0" w:space="0" w:color="auto"/>
        <w:left w:val="none" w:sz="0" w:space="0" w:color="auto"/>
        <w:bottom w:val="none" w:sz="0" w:space="0" w:color="auto"/>
        <w:right w:val="none" w:sz="0" w:space="0" w:color="auto"/>
      </w:divBdr>
      <w:divsChild>
        <w:div w:id="40790342">
          <w:marLeft w:val="0"/>
          <w:marRight w:val="0"/>
          <w:marTop w:val="0"/>
          <w:marBottom w:val="0"/>
          <w:divBdr>
            <w:top w:val="none" w:sz="0" w:space="0" w:color="auto"/>
            <w:left w:val="none" w:sz="0" w:space="0" w:color="auto"/>
            <w:bottom w:val="none" w:sz="0" w:space="0" w:color="auto"/>
            <w:right w:val="none" w:sz="0" w:space="0" w:color="auto"/>
          </w:divBdr>
          <w:divsChild>
            <w:div w:id="466434102">
              <w:marLeft w:val="0"/>
              <w:marRight w:val="0"/>
              <w:marTop w:val="0"/>
              <w:marBottom w:val="0"/>
              <w:divBdr>
                <w:top w:val="none" w:sz="0" w:space="0" w:color="auto"/>
                <w:left w:val="none" w:sz="0" w:space="0" w:color="auto"/>
                <w:bottom w:val="none" w:sz="0" w:space="0" w:color="auto"/>
                <w:right w:val="none" w:sz="0" w:space="0" w:color="auto"/>
              </w:divBdr>
            </w:div>
          </w:divsChild>
        </w:div>
        <w:div w:id="225799082">
          <w:marLeft w:val="0"/>
          <w:marRight w:val="0"/>
          <w:marTop w:val="0"/>
          <w:marBottom w:val="0"/>
          <w:divBdr>
            <w:top w:val="none" w:sz="0" w:space="0" w:color="auto"/>
            <w:left w:val="none" w:sz="0" w:space="0" w:color="auto"/>
            <w:bottom w:val="none" w:sz="0" w:space="0" w:color="auto"/>
            <w:right w:val="none" w:sz="0" w:space="0" w:color="auto"/>
          </w:divBdr>
          <w:divsChild>
            <w:div w:id="1068502948">
              <w:marLeft w:val="0"/>
              <w:marRight w:val="0"/>
              <w:marTop w:val="0"/>
              <w:marBottom w:val="0"/>
              <w:divBdr>
                <w:top w:val="none" w:sz="0" w:space="0" w:color="auto"/>
                <w:left w:val="none" w:sz="0" w:space="0" w:color="auto"/>
                <w:bottom w:val="none" w:sz="0" w:space="0" w:color="auto"/>
                <w:right w:val="none" w:sz="0" w:space="0" w:color="auto"/>
              </w:divBdr>
            </w:div>
          </w:divsChild>
        </w:div>
        <w:div w:id="241304677">
          <w:marLeft w:val="0"/>
          <w:marRight w:val="0"/>
          <w:marTop w:val="0"/>
          <w:marBottom w:val="0"/>
          <w:divBdr>
            <w:top w:val="none" w:sz="0" w:space="0" w:color="auto"/>
            <w:left w:val="none" w:sz="0" w:space="0" w:color="auto"/>
            <w:bottom w:val="none" w:sz="0" w:space="0" w:color="auto"/>
            <w:right w:val="none" w:sz="0" w:space="0" w:color="auto"/>
          </w:divBdr>
          <w:divsChild>
            <w:div w:id="1855225124">
              <w:marLeft w:val="0"/>
              <w:marRight w:val="0"/>
              <w:marTop w:val="0"/>
              <w:marBottom w:val="0"/>
              <w:divBdr>
                <w:top w:val="none" w:sz="0" w:space="0" w:color="auto"/>
                <w:left w:val="none" w:sz="0" w:space="0" w:color="auto"/>
                <w:bottom w:val="none" w:sz="0" w:space="0" w:color="auto"/>
                <w:right w:val="none" w:sz="0" w:space="0" w:color="auto"/>
              </w:divBdr>
            </w:div>
          </w:divsChild>
        </w:div>
        <w:div w:id="808135931">
          <w:marLeft w:val="0"/>
          <w:marRight w:val="0"/>
          <w:marTop w:val="0"/>
          <w:marBottom w:val="0"/>
          <w:divBdr>
            <w:top w:val="none" w:sz="0" w:space="0" w:color="auto"/>
            <w:left w:val="none" w:sz="0" w:space="0" w:color="auto"/>
            <w:bottom w:val="none" w:sz="0" w:space="0" w:color="auto"/>
            <w:right w:val="none" w:sz="0" w:space="0" w:color="auto"/>
          </w:divBdr>
          <w:divsChild>
            <w:div w:id="1920403514">
              <w:marLeft w:val="0"/>
              <w:marRight w:val="0"/>
              <w:marTop w:val="0"/>
              <w:marBottom w:val="0"/>
              <w:divBdr>
                <w:top w:val="none" w:sz="0" w:space="0" w:color="auto"/>
                <w:left w:val="none" w:sz="0" w:space="0" w:color="auto"/>
                <w:bottom w:val="none" w:sz="0" w:space="0" w:color="auto"/>
                <w:right w:val="none" w:sz="0" w:space="0" w:color="auto"/>
              </w:divBdr>
            </w:div>
          </w:divsChild>
        </w:div>
        <w:div w:id="823934573">
          <w:marLeft w:val="0"/>
          <w:marRight w:val="0"/>
          <w:marTop w:val="0"/>
          <w:marBottom w:val="0"/>
          <w:divBdr>
            <w:top w:val="none" w:sz="0" w:space="0" w:color="auto"/>
            <w:left w:val="none" w:sz="0" w:space="0" w:color="auto"/>
            <w:bottom w:val="none" w:sz="0" w:space="0" w:color="auto"/>
            <w:right w:val="none" w:sz="0" w:space="0" w:color="auto"/>
          </w:divBdr>
          <w:divsChild>
            <w:div w:id="760101066">
              <w:marLeft w:val="0"/>
              <w:marRight w:val="0"/>
              <w:marTop w:val="0"/>
              <w:marBottom w:val="0"/>
              <w:divBdr>
                <w:top w:val="none" w:sz="0" w:space="0" w:color="auto"/>
                <w:left w:val="none" w:sz="0" w:space="0" w:color="auto"/>
                <w:bottom w:val="none" w:sz="0" w:space="0" w:color="auto"/>
                <w:right w:val="none" w:sz="0" w:space="0" w:color="auto"/>
              </w:divBdr>
            </w:div>
          </w:divsChild>
        </w:div>
        <w:div w:id="842932178">
          <w:marLeft w:val="0"/>
          <w:marRight w:val="0"/>
          <w:marTop w:val="0"/>
          <w:marBottom w:val="0"/>
          <w:divBdr>
            <w:top w:val="none" w:sz="0" w:space="0" w:color="auto"/>
            <w:left w:val="none" w:sz="0" w:space="0" w:color="auto"/>
            <w:bottom w:val="none" w:sz="0" w:space="0" w:color="auto"/>
            <w:right w:val="none" w:sz="0" w:space="0" w:color="auto"/>
          </w:divBdr>
          <w:divsChild>
            <w:div w:id="648945978">
              <w:marLeft w:val="0"/>
              <w:marRight w:val="0"/>
              <w:marTop w:val="0"/>
              <w:marBottom w:val="0"/>
              <w:divBdr>
                <w:top w:val="none" w:sz="0" w:space="0" w:color="auto"/>
                <w:left w:val="none" w:sz="0" w:space="0" w:color="auto"/>
                <w:bottom w:val="none" w:sz="0" w:space="0" w:color="auto"/>
                <w:right w:val="none" w:sz="0" w:space="0" w:color="auto"/>
              </w:divBdr>
            </w:div>
          </w:divsChild>
        </w:div>
        <w:div w:id="856625490">
          <w:marLeft w:val="0"/>
          <w:marRight w:val="0"/>
          <w:marTop w:val="0"/>
          <w:marBottom w:val="0"/>
          <w:divBdr>
            <w:top w:val="none" w:sz="0" w:space="0" w:color="auto"/>
            <w:left w:val="none" w:sz="0" w:space="0" w:color="auto"/>
            <w:bottom w:val="none" w:sz="0" w:space="0" w:color="auto"/>
            <w:right w:val="none" w:sz="0" w:space="0" w:color="auto"/>
          </w:divBdr>
          <w:divsChild>
            <w:div w:id="794449267">
              <w:marLeft w:val="0"/>
              <w:marRight w:val="0"/>
              <w:marTop w:val="0"/>
              <w:marBottom w:val="0"/>
              <w:divBdr>
                <w:top w:val="none" w:sz="0" w:space="0" w:color="auto"/>
                <w:left w:val="none" w:sz="0" w:space="0" w:color="auto"/>
                <w:bottom w:val="none" w:sz="0" w:space="0" w:color="auto"/>
                <w:right w:val="none" w:sz="0" w:space="0" w:color="auto"/>
              </w:divBdr>
            </w:div>
          </w:divsChild>
        </w:div>
        <w:div w:id="938026292">
          <w:marLeft w:val="0"/>
          <w:marRight w:val="0"/>
          <w:marTop w:val="0"/>
          <w:marBottom w:val="0"/>
          <w:divBdr>
            <w:top w:val="none" w:sz="0" w:space="0" w:color="auto"/>
            <w:left w:val="none" w:sz="0" w:space="0" w:color="auto"/>
            <w:bottom w:val="none" w:sz="0" w:space="0" w:color="auto"/>
            <w:right w:val="none" w:sz="0" w:space="0" w:color="auto"/>
          </w:divBdr>
          <w:divsChild>
            <w:div w:id="180239622">
              <w:marLeft w:val="0"/>
              <w:marRight w:val="0"/>
              <w:marTop w:val="0"/>
              <w:marBottom w:val="0"/>
              <w:divBdr>
                <w:top w:val="none" w:sz="0" w:space="0" w:color="auto"/>
                <w:left w:val="none" w:sz="0" w:space="0" w:color="auto"/>
                <w:bottom w:val="none" w:sz="0" w:space="0" w:color="auto"/>
                <w:right w:val="none" w:sz="0" w:space="0" w:color="auto"/>
              </w:divBdr>
            </w:div>
          </w:divsChild>
        </w:div>
        <w:div w:id="955867164">
          <w:marLeft w:val="0"/>
          <w:marRight w:val="0"/>
          <w:marTop w:val="0"/>
          <w:marBottom w:val="0"/>
          <w:divBdr>
            <w:top w:val="none" w:sz="0" w:space="0" w:color="auto"/>
            <w:left w:val="none" w:sz="0" w:space="0" w:color="auto"/>
            <w:bottom w:val="none" w:sz="0" w:space="0" w:color="auto"/>
            <w:right w:val="none" w:sz="0" w:space="0" w:color="auto"/>
          </w:divBdr>
          <w:divsChild>
            <w:div w:id="1125006889">
              <w:marLeft w:val="0"/>
              <w:marRight w:val="0"/>
              <w:marTop w:val="0"/>
              <w:marBottom w:val="0"/>
              <w:divBdr>
                <w:top w:val="none" w:sz="0" w:space="0" w:color="auto"/>
                <w:left w:val="none" w:sz="0" w:space="0" w:color="auto"/>
                <w:bottom w:val="none" w:sz="0" w:space="0" w:color="auto"/>
                <w:right w:val="none" w:sz="0" w:space="0" w:color="auto"/>
              </w:divBdr>
            </w:div>
          </w:divsChild>
        </w:div>
        <w:div w:id="1043485428">
          <w:marLeft w:val="0"/>
          <w:marRight w:val="0"/>
          <w:marTop w:val="0"/>
          <w:marBottom w:val="0"/>
          <w:divBdr>
            <w:top w:val="none" w:sz="0" w:space="0" w:color="auto"/>
            <w:left w:val="none" w:sz="0" w:space="0" w:color="auto"/>
            <w:bottom w:val="none" w:sz="0" w:space="0" w:color="auto"/>
            <w:right w:val="none" w:sz="0" w:space="0" w:color="auto"/>
          </w:divBdr>
          <w:divsChild>
            <w:div w:id="491484864">
              <w:marLeft w:val="0"/>
              <w:marRight w:val="0"/>
              <w:marTop w:val="0"/>
              <w:marBottom w:val="0"/>
              <w:divBdr>
                <w:top w:val="none" w:sz="0" w:space="0" w:color="auto"/>
                <w:left w:val="none" w:sz="0" w:space="0" w:color="auto"/>
                <w:bottom w:val="none" w:sz="0" w:space="0" w:color="auto"/>
                <w:right w:val="none" w:sz="0" w:space="0" w:color="auto"/>
              </w:divBdr>
            </w:div>
          </w:divsChild>
        </w:div>
        <w:div w:id="1230112235">
          <w:marLeft w:val="0"/>
          <w:marRight w:val="0"/>
          <w:marTop w:val="0"/>
          <w:marBottom w:val="0"/>
          <w:divBdr>
            <w:top w:val="none" w:sz="0" w:space="0" w:color="auto"/>
            <w:left w:val="none" w:sz="0" w:space="0" w:color="auto"/>
            <w:bottom w:val="none" w:sz="0" w:space="0" w:color="auto"/>
            <w:right w:val="none" w:sz="0" w:space="0" w:color="auto"/>
          </w:divBdr>
          <w:divsChild>
            <w:div w:id="1472013793">
              <w:marLeft w:val="0"/>
              <w:marRight w:val="0"/>
              <w:marTop w:val="0"/>
              <w:marBottom w:val="0"/>
              <w:divBdr>
                <w:top w:val="none" w:sz="0" w:space="0" w:color="auto"/>
                <w:left w:val="none" w:sz="0" w:space="0" w:color="auto"/>
                <w:bottom w:val="none" w:sz="0" w:space="0" w:color="auto"/>
                <w:right w:val="none" w:sz="0" w:space="0" w:color="auto"/>
              </w:divBdr>
            </w:div>
          </w:divsChild>
        </w:div>
        <w:div w:id="1495410176">
          <w:marLeft w:val="0"/>
          <w:marRight w:val="0"/>
          <w:marTop w:val="0"/>
          <w:marBottom w:val="0"/>
          <w:divBdr>
            <w:top w:val="none" w:sz="0" w:space="0" w:color="auto"/>
            <w:left w:val="none" w:sz="0" w:space="0" w:color="auto"/>
            <w:bottom w:val="none" w:sz="0" w:space="0" w:color="auto"/>
            <w:right w:val="none" w:sz="0" w:space="0" w:color="auto"/>
          </w:divBdr>
          <w:divsChild>
            <w:div w:id="62531512">
              <w:marLeft w:val="0"/>
              <w:marRight w:val="0"/>
              <w:marTop w:val="0"/>
              <w:marBottom w:val="0"/>
              <w:divBdr>
                <w:top w:val="none" w:sz="0" w:space="0" w:color="auto"/>
                <w:left w:val="none" w:sz="0" w:space="0" w:color="auto"/>
                <w:bottom w:val="none" w:sz="0" w:space="0" w:color="auto"/>
                <w:right w:val="none" w:sz="0" w:space="0" w:color="auto"/>
              </w:divBdr>
            </w:div>
          </w:divsChild>
        </w:div>
        <w:div w:id="1788700660">
          <w:marLeft w:val="0"/>
          <w:marRight w:val="0"/>
          <w:marTop w:val="0"/>
          <w:marBottom w:val="0"/>
          <w:divBdr>
            <w:top w:val="none" w:sz="0" w:space="0" w:color="auto"/>
            <w:left w:val="none" w:sz="0" w:space="0" w:color="auto"/>
            <w:bottom w:val="none" w:sz="0" w:space="0" w:color="auto"/>
            <w:right w:val="none" w:sz="0" w:space="0" w:color="auto"/>
          </w:divBdr>
          <w:divsChild>
            <w:div w:id="2142112905">
              <w:marLeft w:val="0"/>
              <w:marRight w:val="0"/>
              <w:marTop w:val="0"/>
              <w:marBottom w:val="0"/>
              <w:divBdr>
                <w:top w:val="none" w:sz="0" w:space="0" w:color="auto"/>
                <w:left w:val="none" w:sz="0" w:space="0" w:color="auto"/>
                <w:bottom w:val="none" w:sz="0" w:space="0" w:color="auto"/>
                <w:right w:val="none" w:sz="0" w:space="0" w:color="auto"/>
              </w:divBdr>
            </w:div>
          </w:divsChild>
        </w:div>
        <w:div w:id="1998655704">
          <w:marLeft w:val="0"/>
          <w:marRight w:val="0"/>
          <w:marTop w:val="0"/>
          <w:marBottom w:val="0"/>
          <w:divBdr>
            <w:top w:val="none" w:sz="0" w:space="0" w:color="auto"/>
            <w:left w:val="none" w:sz="0" w:space="0" w:color="auto"/>
            <w:bottom w:val="none" w:sz="0" w:space="0" w:color="auto"/>
            <w:right w:val="none" w:sz="0" w:space="0" w:color="auto"/>
          </w:divBdr>
          <w:divsChild>
            <w:div w:id="12396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5351">
      <w:bodyDiv w:val="1"/>
      <w:marLeft w:val="0"/>
      <w:marRight w:val="0"/>
      <w:marTop w:val="0"/>
      <w:marBottom w:val="0"/>
      <w:divBdr>
        <w:top w:val="none" w:sz="0" w:space="0" w:color="auto"/>
        <w:left w:val="none" w:sz="0" w:space="0" w:color="auto"/>
        <w:bottom w:val="none" w:sz="0" w:space="0" w:color="auto"/>
        <w:right w:val="none" w:sz="0" w:space="0" w:color="auto"/>
      </w:divBdr>
    </w:div>
    <w:div w:id="1696734503">
      <w:bodyDiv w:val="1"/>
      <w:marLeft w:val="0"/>
      <w:marRight w:val="0"/>
      <w:marTop w:val="0"/>
      <w:marBottom w:val="0"/>
      <w:divBdr>
        <w:top w:val="none" w:sz="0" w:space="0" w:color="auto"/>
        <w:left w:val="none" w:sz="0" w:space="0" w:color="auto"/>
        <w:bottom w:val="none" w:sz="0" w:space="0" w:color="auto"/>
        <w:right w:val="none" w:sz="0" w:space="0" w:color="auto"/>
      </w:divBdr>
    </w:div>
    <w:div w:id="1760130068">
      <w:bodyDiv w:val="1"/>
      <w:marLeft w:val="0"/>
      <w:marRight w:val="0"/>
      <w:marTop w:val="0"/>
      <w:marBottom w:val="0"/>
      <w:divBdr>
        <w:top w:val="none" w:sz="0" w:space="0" w:color="auto"/>
        <w:left w:val="none" w:sz="0" w:space="0" w:color="auto"/>
        <w:bottom w:val="none" w:sz="0" w:space="0" w:color="auto"/>
        <w:right w:val="none" w:sz="0" w:space="0" w:color="auto"/>
      </w:divBdr>
    </w:div>
    <w:div w:id="1769498251">
      <w:bodyDiv w:val="1"/>
      <w:marLeft w:val="0"/>
      <w:marRight w:val="0"/>
      <w:marTop w:val="0"/>
      <w:marBottom w:val="0"/>
      <w:divBdr>
        <w:top w:val="none" w:sz="0" w:space="0" w:color="auto"/>
        <w:left w:val="none" w:sz="0" w:space="0" w:color="auto"/>
        <w:bottom w:val="none" w:sz="0" w:space="0" w:color="auto"/>
        <w:right w:val="none" w:sz="0" w:space="0" w:color="auto"/>
      </w:divBdr>
    </w:div>
    <w:div w:id="1780836616">
      <w:bodyDiv w:val="1"/>
      <w:marLeft w:val="0"/>
      <w:marRight w:val="0"/>
      <w:marTop w:val="0"/>
      <w:marBottom w:val="0"/>
      <w:divBdr>
        <w:top w:val="none" w:sz="0" w:space="0" w:color="auto"/>
        <w:left w:val="none" w:sz="0" w:space="0" w:color="auto"/>
        <w:bottom w:val="none" w:sz="0" w:space="0" w:color="auto"/>
        <w:right w:val="none" w:sz="0" w:space="0" w:color="auto"/>
      </w:divBdr>
    </w:div>
    <w:div w:id="1888955509">
      <w:bodyDiv w:val="1"/>
      <w:marLeft w:val="0"/>
      <w:marRight w:val="0"/>
      <w:marTop w:val="0"/>
      <w:marBottom w:val="0"/>
      <w:divBdr>
        <w:top w:val="none" w:sz="0" w:space="0" w:color="auto"/>
        <w:left w:val="none" w:sz="0" w:space="0" w:color="auto"/>
        <w:bottom w:val="none" w:sz="0" w:space="0" w:color="auto"/>
        <w:right w:val="none" w:sz="0" w:space="0" w:color="auto"/>
      </w:divBdr>
    </w:div>
    <w:div w:id="1987739401">
      <w:bodyDiv w:val="1"/>
      <w:marLeft w:val="0"/>
      <w:marRight w:val="0"/>
      <w:marTop w:val="0"/>
      <w:marBottom w:val="0"/>
      <w:divBdr>
        <w:top w:val="none" w:sz="0" w:space="0" w:color="auto"/>
        <w:left w:val="none" w:sz="0" w:space="0" w:color="auto"/>
        <w:bottom w:val="none" w:sz="0" w:space="0" w:color="auto"/>
        <w:right w:val="none" w:sz="0" w:space="0" w:color="auto"/>
      </w:divBdr>
    </w:div>
    <w:div w:id="2015722887">
      <w:bodyDiv w:val="1"/>
      <w:marLeft w:val="0"/>
      <w:marRight w:val="0"/>
      <w:marTop w:val="0"/>
      <w:marBottom w:val="0"/>
      <w:divBdr>
        <w:top w:val="none" w:sz="0" w:space="0" w:color="auto"/>
        <w:left w:val="none" w:sz="0" w:space="0" w:color="auto"/>
        <w:bottom w:val="none" w:sz="0" w:space="0" w:color="auto"/>
        <w:right w:val="none" w:sz="0" w:space="0" w:color="auto"/>
      </w:divBdr>
    </w:div>
    <w:div w:id="2016758405">
      <w:bodyDiv w:val="1"/>
      <w:marLeft w:val="0"/>
      <w:marRight w:val="0"/>
      <w:marTop w:val="0"/>
      <w:marBottom w:val="0"/>
      <w:divBdr>
        <w:top w:val="none" w:sz="0" w:space="0" w:color="auto"/>
        <w:left w:val="none" w:sz="0" w:space="0" w:color="auto"/>
        <w:bottom w:val="none" w:sz="0" w:space="0" w:color="auto"/>
        <w:right w:val="none" w:sz="0" w:space="0" w:color="auto"/>
      </w:divBdr>
    </w:div>
    <w:div w:id="2039231490">
      <w:bodyDiv w:val="1"/>
      <w:marLeft w:val="0"/>
      <w:marRight w:val="0"/>
      <w:marTop w:val="0"/>
      <w:marBottom w:val="0"/>
      <w:divBdr>
        <w:top w:val="none" w:sz="0" w:space="0" w:color="auto"/>
        <w:left w:val="none" w:sz="0" w:space="0" w:color="auto"/>
        <w:bottom w:val="none" w:sz="0" w:space="0" w:color="auto"/>
        <w:right w:val="none" w:sz="0" w:space="0" w:color="auto"/>
      </w:divBdr>
    </w:div>
    <w:div w:id="2090999202">
      <w:bodyDiv w:val="1"/>
      <w:marLeft w:val="0"/>
      <w:marRight w:val="0"/>
      <w:marTop w:val="0"/>
      <w:marBottom w:val="0"/>
      <w:divBdr>
        <w:top w:val="none" w:sz="0" w:space="0" w:color="auto"/>
        <w:left w:val="none" w:sz="0" w:space="0" w:color="auto"/>
        <w:bottom w:val="none" w:sz="0" w:space="0" w:color="auto"/>
        <w:right w:val="none" w:sz="0" w:space="0" w:color="auto"/>
      </w:divBdr>
    </w:div>
    <w:div w:id="21326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d.int/sbstta/sbstta-24/post2020-monitoring-en.pdf" TargetMode="External"/><Relationship Id="rId18" Type="http://schemas.openxmlformats.org/officeDocument/2006/relationships/hyperlink" Target="https://www.cbd.int/sbstta/sbstta-24/post2020-monitoring-en.pdf" TargetMode="External"/><Relationship Id="rId26" Type="http://schemas.openxmlformats.org/officeDocument/2006/relationships/hyperlink" Target="https://publications.jrc.ec.europa.eu/repository/bitstream/JRC118594/technicalreport_fao_frag.pdf" TargetMode="External"/><Relationship Id="rId3" Type="http://schemas.openxmlformats.org/officeDocument/2006/relationships/customXml" Target="../customXml/item3.xml"/><Relationship Id="rId21" Type="http://schemas.openxmlformats.org/officeDocument/2006/relationships/hyperlink" Target="https://www.cbd.int/sbstta/sbstta-24/post2020-monitoring-en.pdf" TargetMode="External"/><Relationship Id="rId7" Type="http://schemas.openxmlformats.org/officeDocument/2006/relationships/settings" Target="settings.xml"/><Relationship Id="rId12" Type="http://schemas.openxmlformats.org/officeDocument/2006/relationships/hyperlink" Target="https://www.cbd.int/sbstta/sbstta-24/post2020-monitoring-en.pdf" TargetMode="External"/><Relationship Id="rId17" Type="http://schemas.openxmlformats.org/officeDocument/2006/relationships/footer" Target="footer1.xml"/><Relationship Id="rId25" Type="http://schemas.openxmlformats.org/officeDocument/2006/relationships/hyperlink" Target="https://doi.org/10.1111/geb.12449"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cbd.int/sbstta/sbstta-24/post2020-monitoring-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sbstta/sbstta-24/post2020-monitoring-en.pdf" TargetMode="External"/><Relationship Id="rId24" Type="http://schemas.openxmlformats.org/officeDocument/2006/relationships/hyperlink" Target="http://www.fao.org/sustainable-development-goals/indicators/1441/en/" TargetMode="External"/><Relationship Id="rId5" Type="http://schemas.openxmlformats.org/officeDocument/2006/relationships/numbering" Target="numbering.xml"/><Relationship Id="rId15" Type="http://schemas.openxmlformats.org/officeDocument/2006/relationships/hyperlink" Target="mailto:secretariat@cbd.int" TargetMode="External"/><Relationship Id="rId23" Type="http://schemas.openxmlformats.org/officeDocument/2006/relationships/hyperlink" Target="https://unstats.un.org/sdgs/iaeg-sdg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sbstta/sbstta-24/post2020-monitoring-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sbstta/sbstta-24/post2020-monitoring-en.pdf" TargetMode="External"/><Relationship Id="rId22" Type="http://schemas.openxmlformats.org/officeDocument/2006/relationships/hyperlink" Target="http://www.fao.org/sustainable-development-goals/indicators/1441/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3" ma:contentTypeDescription="Creare un nuovo documento." ma:contentTypeScope="" ma:versionID="9852e78d230dc092ccaf6aacf34ce079">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62da2887741fb97881108c19e0ba2d9e"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E9E21-E937-45D3-9B36-AB22728A797C}">
  <ds:schemaRefs>
    <ds:schemaRef ds:uri="http://schemas.microsoft.com/sharepoint/v3/contenttype/forms"/>
  </ds:schemaRefs>
</ds:datastoreItem>
</file>

<file path=customXml/itemProps2.xml><?xml version="1.0" encoding="utf-8"?>
<ds:datastoreItem xmlns:ds="http://schemas.openxmlformats.org/officeDocument/2006/customXml" ds:itemID="{8233AC24-70AE-4304-823C-6E4C6DB7AD7D}">
  <ds:schemaRefs>
    <ds:schemaRef ds:uri="3c9ac98d-36e3-464e-9a3d-571690e2b8cf"/>
    <ds:schemaRef ds:uri="http://purl.org/dc/elements/1.1/"/>
    <ds:schemaRef ds:uri="http://schemas.microsoft.com/office/2006/metadata/properties"/>
    <ds:schemaRef ds:uri="http://purl.org/dc/terms/"/>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A1EDB29-4DEC-4219-862E-E851E5CA9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583C3-F288-47AE-B2FB-82C6D677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Shestakov</dc:creator>
  <cp:keywords/>
  <dc:description/>
  <cp:lastModifiedBy>Hoffmann, IreneMaria (OCBC)</cp:lastModifiedBy>
  <cp:revision>3</cp:revision>
  <dcterms:created xsi:type="dcterms:W3CDTF">2020-08-18T12:09:00Z</dcterms:created>
  <dcterms:modified xsi:type="dcterms:W3CDTF">2020-08-18T12:09:00Z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