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87A0B22" w:rsidR="00236608" w:rsidRPr="000C0B6C" w:rsidRDefault="000A216E" w:rsidP="009251C2">
            <w:r>
              <w:t>Hoffmann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EA4C84D" w:rsidR="00236608" w:rsidRPr="000C0B6C" w:rsidRDefault="000A216E" w:rsidP="009251C2">
            <w:r>
              <w:t>Michael</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1D80F8F" w:rsidR="00236608" w:rsidRPr="000C0B6C" w:rsidRDefault="003A5FA4" w:rsidP="009251C2">
            <w:r>
              <w:t>Zoological Society of London</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471DBD8E" w:rsidR="00236608" w:rsidRPr="000C0B6C" w:rsidRDefault="003A5FA4" w:rsidP="009251C2">
            <w:r>
              <w:t>Regents Park, NW1 4RY</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0C911701" w:rsidR="00236608" w:rsidRPr="000C0B6C" w:rsidRDefault="003A5FA4" w:rsidP="009251C2">
            <w:r>
              <w:t>London</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34701E9" w:rsidR="00236608" w:rsidRPr="000C0B6C" w:rsidRDefault="003A5FA4" w:rsidP="009251C2">
            <w:r>
              <w:t>United Kingdom</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7D64648C" w:rsidR="00236608" w:rsidRPr="000C0B6C" w:rsidRDefault="003A5FA4" w:rsidP="009251C2">
            <w:r>
              <w:t>Mike.hoffmann@zsl.org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41105F" w:rsidRPr="0041105F" w14:paraId="0218D2ED"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54C0A954" w14:textId="77777777" w:rsidR="0041105F" w:rsidRPr="00BF1BDD" w:rsidRDefault="0041105F" w:rsidP="00743A2F">
            <w:pPr>
              <w:rPr>
                <w:bCs/>
              </w:rPr>
            </w:pPr>
            <w:r w:rsidRPr="00BF1BDD">
              <w:rPr>
                <w:bCs/>
              </w:rPr>
              <w:t>5</w:t>
            </w:r>
          </w:p>
        </w:tc>
        <w:tc>
          <w:tcPr>
            <w:tcW w:w="1231" w:type="dxa"/>
            <w:tcBorders>
              <w:top w:val="single" w:sz="4" w:space="0" w:color="auto"/>
              <w:left w:val="single" w:sz="4" w:space="0" w:color="auto"/>
              <w:bottom w:val="single" w:sz="4" w:space="0" w:color="auto"/>
              <w:right w:val="single" w:sz="4" w:space="0" w:color="auto"/>
            </w:tcBorders>
          </w:tcPr>
          <w:p w14:paraId="7E2CDBCC" w14:textId="77777777" w:rsidR="0041105F" w:rsidRPr="00BF1BDD" w:rsidRDefault="0041105F" w:rsidP="00743A2F">
            <w:pPr>
              <w:rPr>
                <w:bCs/>
              </w:rPr>
            </w:pPr>
            <w:r w:rsidRPr="00BF1BDD">
              <w:rPr>
                <w:bCs/>
              </w:rPr>
              <w:t>22</w:t>
            </w:r>
          </w:p>
        </w:tc>
        <w:tc>
          <w:tcPr>
            <w:tcW w:w="8139" w:type="dxa"/>
            <w:gridSpan w:val="2"/>
            <w:tcBorders>
              <w:top w:val="single" w:sz="4" w:space="0" w:color="auto"/>
              <w:left w:val="single" w:sz="4" w:space="0" w:color="auto"/>
              <w:bottom w:val="single" w:sz="4" w:space="0" w:color="auto"/>
              <w:right w:val="single" w:sz="4" w:space="0" w:color="auto"/>
            </w:tcBorders>
          </w:tcPr>
          <w:p w14:paraId="19F90A9C" w14:textId="5ACC34D6" w:rsidR="0041105F" w:rsidRPr="00BF1BDD" w:rsidRDefault="0041105F" w:rsidP="00743A2F">
            <w:pPr>
              <w:rPr>
                <w:bCs/>
              </w:rPr>
            </w:pPr>
            <w:r w:rsidRPr="00BF1BDD">
              <w:rPr>
                <w:bCs/>
              </w:rPr>
              <w:t xml:space="preserve">Change </w:t>
            </w:r>
            <w:r w:rsidR="00F625D8" w:rsidRPr="00BF1BDD">
              <w:rPr>
                <w:bCs/>
              </w:rPr>
              <w:t>“</w:t>
            </w:r>
            <w:r w:rsidRPr="00BF1BDD">
              <w:rPr>
                <w:bCs/>
              </w:rPr>
              <w:t>land-/sea-use</w:t>
            </w:r>
            <w:r w:rsidR="00F625D8" w:rsidRPr="00BF1BDD">
              <w:rPr>
                <w:bCs/>
              </w:rPr>
              <w:t>”</w:t>
            </w:r>
            <w:r w:rsidRPr="00BF1BDD">
              <w:rPr>
                <w:bCs/>
              </w:rPr>
              <w:t xml:space="preserve"> to </w:t>
            </w:r>
            <w:r w:rsidR="00F625D8" w:rsidRPr="00BF1BDD">
              <w:rPr>
                <w:bCs/>
              </w:rPr>
              <w:t>“</w:t>
            </w:r>
            <w:r w:rsidRPr="00BF1BDD">
              <w:rPr>
                <w:bCs/>
              </w:rPr>
              <w:t>land-/water-use</w:t>
            </w:r>
            <w:r w:rsidR="00F625D8" w:rsidRPr="00BF1BDD">
              <w:rPr>
                <w:bCs/>
              </w:rPr>
              <w:t>”</w:t>
            </w:r>
            <w:r w:rsidRPr="00BF1BDD">
              <w:rPr>
                <w:bCs/>
              </w:rPr>
              <w:t xml:space="preserve"> throughout the document</w:t>
            </w:r>
            <w:r w:rsidR="00F625D8" w:rsidRPr="00BF1BDD">
              <w:rPr>
                <w:bCs/>
              </w:rPr>
              <w:t>. Neither land nor sea adequately reflect freshwater</w:t>
            </w:r>
            <w:r w:rsidRPr="00BF1BDD">
              <w:rPr>
                <w:bCs/>
              </w:rPr>
              <w:t>.</w:t>
            </w:r>
          </w:p>
        </w:tc>
      </w:tr>
      <w:tr w:rsidR="003D1219" w:rsidRPr="000C0B6C" w14:paraId="0C9C63D9" w14:textId="77777777" w:rsidTr="009251C2">
        <w:trPr>
          <w:trHeight w:val="224"/>
        </w:trPr>
        <w:tc>
          <w:tcPr>
            <w:tcW w:w="818" w:type="dxa"/>
          </w:tcPr>
          <w:p w14:paraId="46581EE4" w14:textId="3BD1C488" w:rsidR="003D1219" w:rsidRPr="00BF1BDD" w:rsidRDefault="003D1219" w:rsidP="003D1219">
            <w:r w:rsidRPr="00BF1BDD">
              <w:rPr>
                <w:bCs/>
              </w:rPr>
              <w:t>6</w:t>
            </w:r>
          </w:p>
        </w:tc>
        <w:tc>
          <w:tcPr>
            <w:tcW w:w="1231" w:type="dxa"/>
          </w:tcPr>
          <w:p w14:paraId="3DA5E0E9" w14:textId="796D79BB" w:rsidR="003D1219" w:rsidRPr="00BF1BDD" w:rsidRDefault="003D1219" w:rsidP="003D1219">
            <w:r w:rsidRPr="00BF1BDD">
              <w:rPr>
                <w:bCs/>
              </w:rPr>
              <w:t>24</w:t>
            </w:r>
          </w:p>
        </w:tc>
        <w:tc>
          <w:tcPr>
            <w:tcW w:w="8139" w:type="dxa"/>
            <w:gridSpan w:val="2"/>
          </w:tcPr>
          <w:p w14:paraId="77E40373" w14:textId="15312276" w:rsidR="003D1219" w:rsidRPr="00BF1BDD" w:rsidRDefault="003D1219" w:rsidP="003D1219">
            <w:pPr>
              <w:rPr>
                <w:bCs/>
              </w:rPr>
            </w:pPr>
            <w:r w:rsidRPr="00BF1BDD">
              <w:rPr>
                <w:bCs/>
              </w:rPr>
              <w:t xml:space="preserve">Suggest change ‘For most species in the wild’ to ‘For many species in the wild’. </w:t>
            </w:r>
          </w:p>
          <w:p w14:paraId="0165512F" w14:textId="77777777" w:rsidR="003D1219" w:rsidRPr="00BF1BDD" w:rsidRDefault="003D1219" w:rsidP="003D1219">
            <w:pPr>
              <w:rPr>
                <w:bCs/>
              </w:rPr>
            </w:pPr>
          </w:p>
          <w:p w14:paraId="1FB20CA9" w14:textId="0CB723E2" w:rsidR="003D1219" w:rsidRPr="00BF1BDD" w:rsidRDefault="003D1219" w:rsidP="003D1219">
            <w:r w:rsidRPr="00BF1BDD">
              <w:rPr>
                <w:bCs/>
              </w:rPr>
              <w:t>The results from the Living Planet Index suggest that around half of species and populations in the index are declining</w:t>
            </w:r>
            <w:r w:rsidRPr="00BF1BDD">
              <w:rPr>
                <w:bCs/>
              </w:rPr>
              <w:t xml:space="preserve">: </w:t>
            </w:r>
            <w:hyperlink r:id="rId10" w:history="1">
              <w:r w:rsidRPr="00BF1BDD">
                <w:rPr>
                  <w:rStyle w:val="Hyperlink"/>
                  <w:bCs/>
                </w:rPr>
                <w:t>https://livingplanet.panda.org/en-gb/</w:t>
              </w:r>
            </w:hyperlink>
            <w:r w:rsidRPr="00BF1BDD">
              <w:rPr>
                <w:bCs/>
              </w:rPr>
              <w:t xml:space="preserve"> </w:t>
            </w:r>
          </w:p>
        </w:tc>
      </w:tr>
      <w:tr w:rsidR="003D1219" w:rsidRPr="000C0B6C" w14:paraId="5B7AF230" w14:textId="77777777" w:rsidTr="009251C2">
        <w:trPr>
          <w:trHeight w:val="233"/>
        </w:trPr>
        <w:tc>
          <w:tcPr>
            <w:tcW w:w="818" w:type="dxa"/>
          </w:tcPr>
          <w:p w14:paraId="40A5C95A" w14:textId="53416626" w:rsidR="003D1219" w:rsidRPr="00BF1BDD" w:rsidRDefault="003D1219" w:rsidP="003D1219">
            <w:r w:rsidRPr="00BF1BDD">
              <w:rPr>
                <w:bCs/>
              </w:rPr>
              <w:t>6</w:t>
            </w:r>
          </w:p>
        </w:tc>
        <w:tc>
          <w:tcPr>
            <w:tcW w:w="1231" w:type="dxa"/>
          </w:tcPr>
          <w:p w14:paraId="332A5A56" w14:textId="0EF89B25" w:rsidR="003D1219" w:rsidRPr="00BF1BDD" w:rsidRDefault="003D1219" w:rsidP="003D1219">
            <w:r w:rsidRPr="00BF1BDD">
              <w:rPr>
                <w:bCs/>
              </w:rPr>
              <w:t>24</w:t>
            </w:r>
          </w:p>
        </w:tc>
        <w:tc>
          <w:tcPr>
            <w:tcW w:w="8139" w:type="dxa"/>
            <w:gridSpan w:val="2"/>
          </w:tcPr>
          <w:p w14:paraId="7AD86A82" w14:textId="3BC63960" w:rsidR="003D1219" w:rsidRPr="00BF1BDD" w:rsidRDefault="003D1219" w:rsidP="003D1219">
            <w:r w:rsidRPr="00BF1BDD">
              <w:rPr>
                <w:bCs/>
              </w:rPr>
              <w:t xml:space="preserve">Suggested change: insert the word “relative” i.e. </w:t>
            </w:r>
            <w:r w:rsidR="00BF1BDD">
              <w:rPr>
                <w:bCs/>
              </w:rPr>
              <w:t>“…</w:t>
            </w:r>
            <w:r w:rsidRPr="00BF1BDD">
              <w:rPr>
                <w:b/>
              </w:rPr>
              <w:t>relative</w:t>
            </w:r>
            <w:r w:rsidRPr="00BF1BDD">
              <w:rPr>
                <w:bCs/>
              </w:rPr>
              <w:t xml:space="preserve"> population abundance is declining</w:t>
            </w:r>
            <w:r w:rsidR="00BF1BDD">
              <w:rPr>
                <w:bCs/>
              </w:rPr>
              <w:t>”</w:t>
            </w:r>
            <w:r w:rsidRPr="00BF1BDD">
              <w:rPr>
                <w:bCs/>
              </w:rPr>
              <w:t xml:space="preserve">. </w:t>
            </w:r>
            <w:r w:rsidRPr="00BF1BDD">
              <w:rPr>
                <w:bCs/>
              </w:rPr>
              <w:t xml:space="preserve">It is often assumed that references to changes in abundance refer to relative abundance (e.g. Williams et al 2020 </w:t>
            </w:r>
            <w:hyperlink r:id="rId11" w:history="1">
              <w:r w:rsidRPr="00BF1BDD">
                <w:rPr>
                  <w:rStyle w:val="Hyperlink"/>
                  <w:bCs/>
                </w:rPr>
                <w:t>https://conbio.onlinelibrary.wiley.com/doi/full/10.1111/conl.12778</w:t>
              </w:r>
            </w:hyperlink>
            <w:r w:rsidRPr="00BF1BDD">
              <w:rPr>
                <w:bCs/>
              </w:rPr>
              <w:t xml:space="preserve">) but it would be better to make it explicit  </w:t>
            </w:r>
          </w:p>
        </w:tc>
      </w:tr>
      <w:tr w:rsidR="003D1219" w:rsidRPr="000C0B6C" w14:paraId="2F31E944" w14:textId="77777777" w:rsidTr="009251C2">
        <w:trPr>
          <w:trHeight w:val="233"/>
        </w:trPr>
        <w:tc>
          <w:tcPr>
            <w:tcW w:w="818" w:type="dxa"/>
          </w:tcPr>
          <w:p w14:paraId="4403EB4F" w14:textId="0118D315" w:rsidR="003D1219" w:rsidRPr="00BF1BDD" w:rsidRDefault="003D1219" w:rsidP="003D1219">
            <w:r w:rsidRPr="00BF1BDD">
              <w:t>6</w:t>
            </w:r>
          </w:p>
        </w:tc>
        <w:tc>
          <w:tcPr>
            <w:tcW w:w="1231" w:type="dxa"/>
          </w:tcPr>
          <w:p w14:paraId="6566FE61" w14:textId="30667EE8" w:rsidR="003D1219" w:rsidRPr="00BF1BDD" w:rsidRDefault="003D1219" w:rsidP="003D1219">
            <w:r w:rsidRPr="00BF1BDD">
              <w:t>24</w:t>
            </w:r>
          </w:p>
        </w:tc>
        <w:tc>
          <w:tcPr>
            <w:tcW w:w="8139" w:type="dxa"/>
            <w:gridSpan w:val="2"/>
          </w:tcPr>
          <w:p w14:paraId="3B39B06C" w14:textId="327E373E" w:rsidR="003D1219" w:rsidRPr="00BF1BDD" w:rsidRDefault="003D1219" w:rsidP="003D1219">
            <w:r w:rsidRPr="00BF1BDD">
              <w:t xml:space="preserve">Insert the word “average” in last sentence of this paragraph, as “…an </w:t>
            </w:r>
            <w:r w:rsidRPr="00BF1BDD">
              <w:rPr>
                <w:b/>
                <w:bCs/>
              </w:rPr>
              <w:t>average</w:t>
            </w:r>
            <w:r w:rsidRPr="00BF1BDD">
              <w:t xml:space="preserve"> 68 per cent decline since 1970…”</w:t>
            </w:r>
          </w:p>
        </w:tc>
      </w:tr>
      <w:tr w:rsidR="003D1219" w:rsidRPr="000C0B6C" w14:paraId="6153AF8D" w14:textId="77777777" w:rsidTr="009251C2">
        <w:trPr>
          <w:trHeight w:val="233"/>
        </w:trPr>
        <w:tc>
          <w:tcPr>
            <w:tcW w:w="818" w:type="dxa"/>
          </w:tcPr>
          <w:p w14:paraId="66AF3500" w14:textId="636408FB" w:rsidR="003D1219" w:rsidRPr="00BF1BDD" w:rsidRDefault="003D1219" w:rsidP="003D1219">
            <w:r w:rsidRPr="00BF1BDD">
              <w:t>6</w:t>
            </w:r>
          </w:p>
        </w:tc>
        <w:tc>
          <w:tcPr>
            <w:tcW w:w="1231" w:type="dxa"/>
          </w:tcPr>
          <w:p w14:paraId="6A91318A" w14:textId="4D7C1AF2" w:rsidR="003D1219" w:rsidRPr="00BF1BDD" w:rsidRDefault="003D1219" w:rsidP="003D1219">
            <w:r w:rsidRPr="00BF1BDD">
              <w:t>25</w:t>
            </w:r>
          </w:p>
        </w:tc>
        <w:tc>
          <w:tcPr>
            <w:tcW w:w="8139" w:type="dxa"/>
            <w:gridSpan w:val="2"/>
          </w:tcPr>
          <w:p w14:paraId="57D07B87" w14:textId="03AE015C" w:rsidR="003D1219" w:rsidRPr="00BF1BDD" w:rsidRDefault="003D1219" w:rsidP="003D1219">
            <w:r w:rsidRPr="00BF1BDD">
              <w:t>“as well as to maintain or improve … the natural geographical extent of all species”.</w:t>
            </w:r>
          </w:p>
          <w:p w14:paraId="01430B6F" w14:textId="77777777" w:rsidR="003D1219" w:rsidRPr="00BF1BDD" w:rsidRDefault="003D1219" w:rsidP="003D1219"/>
          <w:p w14:paraId="5F267497" w14:textId="7058739B" w:rsidR="003D1219" w:rsidRPr="00BF1BDD" w:rsidRDefault="003D1219" w:rsidP="003D1219">
            <w:r w:rsidRPr="00BF1BDD">
              <w:t xml:space="preserve">Note that to reach the 2050 Vision, </w:t>
            </w:r>
            <w:r w:rsidR="00B95189">
              <w:t>“</w:t>
            </w:r>
            <w:r w:rsidRPr="00BF1BDD">
              <w:rPr>
                <w:b/>
                <w:bCs/>
              </w:rPr>
              <w:t xml:space="preserve">it may also be necessary to expand the </w:t>
            </w:r>
            <w:r w:rsidRPr="00BF1BDD">
              <w:rPr>
                <w:b/>
                <w:bCs/>
                <w:u w:val="single"/>
              </w:rPr>
              <w:t>non-natural</w:t>
            </w:r>
            <w:r w:rsidRPr="00BF1BDD">
              <w:rPr>
                <w:b/>
                <w:bCs/>
              </w:rPr>
              <w:t xml:space="preserve"> geographical extent of species, through, for example, assisted </w:t>
            </w:r>
            <w:r w:rsidRPr="00BF1BDD">
              <w:rPr>
                <w:b/>
                <w:bCs/>
              </w:rPr>
              <w:lastRenderedPageBreak/>
              <w:t>colonization and ecological replacement</w:t>
            </w:r>
            <w:r w:rsidR="00B95189">
              <w:rPr>
                <w:b/>
                <w:bCs/>
              </w:rPr>
              <w:t>”</w:t>
            </w:r>
            <w:r w:rsidRPr="00BF1BDD">
              <w:t xml:space="preserve">. IUCN maintains guidelines to inform such processes: </w:t>
            </w:r>
            <w:hyperlink r:id="rId12" w:history="1">
              <w:r w:rsidRPr="00BF1BDD">
                <w:rPr>
                  <w:rStyle w:val="Hyperlink"/>
                </w:rPr>
                <w:t>https://portals.iucn.org/library/node/47739</w:t>
              </w:r>
            </w:hyperlink>
            <w:r w:rsidRPr="00BF1BDD">
              <w:t xml:space="preserve"> </w:t>
            </w:r>
          </w:p>
        </w:tc>
      </w:tr>
      <w:tr w:rsidR="007978FE" w:rsidRPr="000C0B6C" w14:paraId="2DB4ABE2" w14:textId="77777777" w:rsidTr="009251C2">
        <w:trPr>
          <w:trHeight w:val="224"/>
        </w:trPr>
        <w:tc>
          <w:tcPr>
            <w:tcW w:w="818" w:type="dxa"/>
          </w:tcPr>
          <w:p w14:paraId="15625B50" w14:textId="3FA36776" w:rsidR="007978FE" w:rsidRPr="00933A9D" w:rsidRDefault="007978FE" w:rsidP="007978FE">
            <w:r>
              <w:lastRenderedPageBreak/>
              <w:t>6</w:t>
            </w:r>
          </w:p>
        </w:tc>
        <w:tc>
          <w:tcPr>
            <w:tcW w:w="1231" w:type="dxa"/>
          </w:tcPr>
          <w:p w14:paraId="7955C54E" w14:textId="7AC4FCC5" w:rsidR="007978FE" w:rsidRPr="00933A9D" w:rsidRDefault="007978FE" w:rsidP="007978FE">
            <w:r>
              <w:t>25</w:t>
            </w:r>
          </w:p>
        </w:tc>
        <w:tc>
          <w:tcPr>
            <w:tcW w:w="8139" w:type="dxa"/>
            <w:gridSpan w:val="2"/>
          </w:tcPr>
          <w:p w14:paraId="6A7F38D8" w14:textId="745C5D35" w:rsidR="007978FE" w:rsidRPr="00B95189" w:rsidRDefault="007978FE" w:rsidP="007978FE">
            <w:r w:rsidRPr="00B95189">
              <w:rPr>
                <w:bCs/>
              </w:rPr>
              <w:t xml:space="preserve">Suggested change: insert the word “relative” i.e. </w:t>
            </w:r>
            <w:r w:rsidR="00B95189">
              <w:rPr>
                <w:bCs/>
              </w:rPr>
              <w:t>“…</w:t>
            </w:r>
            <w:r w:rsidRPr="00B95189">
              <w:rPr>
                <w:bCs/>
              </w:rPr>
              <w:t xml:space="preserve">improve the </w:t>
            </w:r>
            <w:r w:rsidRPr="00B95189">
              <w:rPr>
                <w:b/>
              </w:rPr>
              <w:t>relative</w:t>
            </w:r>
            <w:r w:rsidRPr="00B95189">
              <w:rPr>
                <w:bCs/>
              </w:rPr>
              <w:t xml:space="preserve"> population abundances</w:t>
            </w:r>
            <w:r w:rsidR="004C3E52">
              <w:rPr>
                <w:bCs/>
              </w:rPr>
              <w:t>…</w:t>
            </w:r>
            <w:r w:rsidR="00B95189">
              <w:rPr>
                <w:bCs/>
              </w:rPr>
              <w:t>”</w:t>
            </w:r>
            <w:r w:rsidRPr="00B95189">
              <w:rPr>
                <w:bCs/>
              </w:rPr>
              <w:t xml:space="preserve">. </w:t>
            </w:r>
            <w:r w:rsidRPr="00B95189">
              <w:rPr>
                <w:bCs/>
              </w:rPr>
              <w:t xml:space="preserve">It is often assumed that references to changes in abundance refer to relative abundance (e.g. Williams et al 2020 </w:t>
            </w:r>
            <w:hyperlink r:id="rId13" w:history="1">
              <w:r w:rsidRPr="00B95189">
                <w:rPr>
                  <w:rStyle w:val="Hyperlink"/>
                  <w:bCs/>
                </w:rPr>
                <w:t>https://conbio.onlinelibrary.wiley.com/doi/full/10.1111/conl.12778</w:t>
              </w:r>
            </w:hyperlink>
            <w:r w:rsidRPr="00B95189">
              <w:rPr>
                <w:bCs/>
              </w:rPr>
              <w:t xml:space="preserve">) but it would be better to make it explicit  </w:t>
            </w:r>
          </w:p>
        </w:tc>
      </w:tr>
      <w:tr w:rsidR="007978FE" w:rsidRPr="000C0B6C" w14:paraId="6D0FC60A" w14:textId="77777777" w:rsidTr="009251C2">
        <w:trPr>
          <w:trHeight w:val="224"/>
        </w:trPr>
        <w:tc>
          <w:tcPr>
            <w:tcW w:w="818" w:type="dxa"/>
          </w:tcPr>
          <w:p w14:paraId="6282A73C" w14:textId="531EE5A6" w:rsidR="007978FE" w:rsidRPr="00933A9D" w:rsidRDefault="007978FE" w:rsidP="007978FE">
            <w:r w:rsidRPr="00933A9D">
              <w:t>6</w:t>
            </w:r>
          </w:p>
        </w:tc>
        <w:tc>
          <w:tcPr>
            <w:tcW w:w="1231" w:type="dxa"/>
          </w:tcPr>
          <w:p w14:paraId="4956A208" w14:textId="760FB1A4" w:rsidR="007978FE" w:rsidRPr="00933A9D" w:rsidRDefault="007978FE" w:rsidP="007978FE">
            <w:r w:rsidRPr="00933A9D">
              <w:t>26</w:t>
            </w:r>
          </w:p>
        </w:tc>
        <w:tc>
          <w:tcPr>
            <w:tcW w:w="8139" w:type="dxa"/>
            <w:gridSpan w:val="2"/>
          </w:tcPr>
          <w:p w14:paraId="3ACFF92B" w14:textId="2245BCD0" w:rsidR="007978FE" w:rsidRPr="00933A9D" w:rsidRDefault="007978FE" w:rsidP="007978FE">
            <w:r w:rsidRPr="00933A9D">
              <w:t>“Efforts to reduce extinction rate and risk should prioritize evolutionary distinct species to conserve evolutionary lineages across the entire “tree of life””</w:t>
            </w:r>
          </w:p>
          <w:p w14:paraId="4B70F6E9" w14:textId="77777777" w:rsidR="007978FE" w:rsidRPr="00933A9D" w:rsidRDefault="007978FE" w:rsidP="007978FE"/>
          <w:p w14:paraId="43034D43" w14:textId="659096D0" w:rsidR="007978FE" w:rsidRPr="00933A9D" w:rsidRDefault="007978FE" w:rsidP="007978FE">
            <w:r w:rsidRPr="00933A9D">
              <w:t>We welcome this recognition of the importance of this aspect of biodiversity. It should be acknowledged that the failure to incorporate the Tree of Life into strategies to reduce extinction risk and rate will, in turn, fail to avert the greatest losses of distinct species, and thus result in greater losses of this fundamental aspect of biodiversity. Cite Gumbs et al. (in review) here:</w:t>
            </w:r>
          </w:p>
          <w:p w14:paraId="70B7DD07" w14:textId="77777777" w:rsidR="007978FE" w:rsidRPr="00933A9D" w:rsidRDefault="007978FE" w:rsidP="007978FE">
            <w:hyperlink r:id="rId14" w:history="1">
              <w:r w:rsidRPr="00933A9D">
                <w:rPr>
                  <w:rStyle w:val="Hyperlink"/>
                </w:rPr>
                <w:t>https://www.biorxiv.org/content/10.1101/2021.03.03.433783v1</w:t>
              </w:r>
            </w:hyperlink>
          </w:p>
          <w:p w14:paraId="1B92E2B4" w14:textId="58A73FA4" w:rsidR="007978FE" w:rsidRPr="00933A9D" w:rsidRDefault="007978FE" w:rsidP="007978FE">
            <w:r w:rsidRPr="00933A9D">
              <w:t>The paper demonstrates how different conservation strategies, associated with equal numbers of extinctions, will fail to avert the greatest losses across the tree of life when they do not explicitly prioritise its conservation. The paper also provides full details on the EDGE indicator, which is designed to track the extinction risk of the world’s most evolutionarily distinct species. It is currently listed as a complementary indicator in CBD/SBSTTA/24/3Add.1 and reviewed and recommended for inclusion by UNEP-WCMC in CBD/SBSTTA/24/INF/20, thus is suitable for consideration as a headline or component indicator in meeting this specific need under Goal A.</w:t>
            </w:r>
          </w:p>
        </w:tc>
      </w:tr>
      <w:tr w:rsidR="007978FE" w14:paraId="44E6D933"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1DBFE935" w14:textId="77777777" w:rsidR="007978FE" w:rsidRPr="00933A9D" w:rsidRDefault="007978FE" w:rsidP="007978FE">
            <w:r w:rsidRPr="00933A9D">
              <w:t>6</w:t>
            </w:r>
          </w:p>
        </w:tc>
        <w:tc>
          <w:tcPr>
            <w:tcW w:w="1231" w:type="dxa"/>
            <w:tcBorders>
              <w:top w:val="single" w:sz="4" w:space="0" w:color="auto"/>
              <w:left w:val="single" w:sz="4" w:space="0" w:color="auto"/>
              <w:bottom w:val="single" w:sz="4" w:space="0" w:color="auto"/>
              <w:right w:val="single" w:sz="4" w:space="0" w:color="auto"/>
            </w:tcBorders>
          </w:tcPr>
          <w:p w14:paraId="66626839" w14:textId="77777777" w:rsidR="007978FE" w:rsidRPr="00933A9D" w:rsidRDefault="007978FE" w:rsidP="007978FE">
            <w:r w:rsidRPr="00933A9D">
              <w:t>26</w:t>
            </w:r>
          </w:p>
        </w:tc>
        <w:tc>
          <w:tcPr>
            <w:tcW w:w="8139" w:type="dxa"/>
            <w:gridSpan w:val="2"/>
            <w:tcBorders>
              <w:top w:val="single" w:sz="4" w:space="0" w:color="auto"/>
              <w:left w:val="single" w:sz="4" w:space="0" w:color="auto"/>
              <w:bottom w:val="single" w:sz="4" w:space="0" w:color="auto"/>
              <w:right w:val="single" w:sz="4" w:space="0" w:color="auto"/>
            </w:tcBorders>
          </w:tcPr>
          <w:p w14:paraId="18B6DF9E" w14:textId="25916856" w:rsidR="007978FE" w:rsidRPr="00933A9D" w:rsidRDefault="007978FE" w:rsidP="007978FE">
            <w:r w:rsidRPr="00933A9D">
              <w:t>“…or because they are locally important across a large number of ecosystems around the world, such as pollinators, scavengers, top predators, and large-bodied mammals and trees.”</w:t>
            </w:r>
          </w:p>
          <w:p w14:paraId="2B52DDBA" w14:textId="77777777" w:rsidR="007978FE" w:rsidRPr="00933A9D" w:rsidRDefault="007978FE" w:rsidP="007978FE"/>
          <w:p w14:paraId="684547F8" w14:textId="59368A7B" w:rsidR="007978FE" w:rsidRPr="00933A9D" w:rsidRDefault="007978FE" w:rsidP="007978FE">
            <w:r w:rsidRPr="00933A9D">
              <w:t xml:space="preserve">We suggest reworded this text as "…or because they are locally important across a large number of ecosystems around the world, such as pollinators, scavengers, top predators, </w:t>
            </w:r>
            <w:r w:rsidRPr="00933A9D">
              <w:rPr>
                <w:b/>
                <w:bCs/>
              </w:rPr>
              <w:t>diadromous fish,</w:t>
            </w:r>
            <w:r w:rsidRPr="00933A9D">
              <w:t xml:space="preserve"> and large-bodied mammals and trees.” (Diadromous fish species – eels, salmonids and sturgeon – being those that migrate between marine and freshwater systems)</w:t>
            </w:r>
          </w:p>
        </w:tc>
      </w:tr>
      <w:tr w:rsidR="007459C7" w14:paraId="6C5461A6"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4514C14F" w14:textId="372EAD8B" w:rsidR="007459C7" w:rsidRPr="00933A9D" w:rsidRDefault="007459C7" w:rsidP="007459C7">
            <w:r>
              <w:t>6</w:t>
            </w:r>
          </w:p>
        </w:tc>
        <w:tc>
          <w:tcPr>
            <w:tcW w:w="1231" w:type="dxa"/>
            <w:tcBorders>
              <w:top w:val="single" w:sz="4" w:space="0" w:color="auto"/>
              <w:left w:val="single" w:sz="4" w:space="0" w:color="auto"/>
              <w:bottom w:val="single" w:sz="4" w:space="0" w:color="auto"/>
              <w:right w:val="single" w:sz="4" w:space="0" w:color="auto"/>
            </w:tcBorders>
          </w:tcPr>
          <w:p w14:paraId="4848D628" w14:textId="14C4829E" w:rsidR="007459C7" w:rsidRPr="00933A9D" w:rsidRDefault="007459C7" w:rsidP="007459C7">
            <w:r>
              <w:t>27</w:t>
            </w:r>
          </w:p>
        </w:tc>
        <w:tc>
          <w:tcPr>
            <w:tcW w:w="8139" w:type="dxa"/>
            <w:gridSpan w:val="2"/>
            <w:tcBorders>
              <w:top w:val="single" w:sz="4" w:space="0" w:color="auto"/>
              <w:left w:val="single" w:sz="4" w:space="0" w:color="auto"/>
              <w:bottom w:val="single" w:sz="4" w:space="0" w:color="auto"/>
              <w:right w:val="single" w:sz="4" w:space="0" w:color="auto"/>
            </w:tcBorders>
          </w:tcPr>
          <w:p w14:paraId="2D4C89EF" w14:textId="1080CEDC" w:rsidR="007459C7" w:rsidRPr="00933A9D" w:rsidRDefault="004C3E52" w:rsidP="007459C7">
            <w:r w:rsidRPr="00B95189">
              <w:rPr>
                <w:bCs/>
              </w:rPr>
              <w:t xml:space="preserve">Suggested change: insert the word “relative” i.e. </w:t>
            </w:r>
            <w:r>
              <w:rPr>
                <w:bCs/>
              </w:rPr>
              <w:t>“…</w:t>
            </w:r>
            <w:r w:rsidRPr="00B95189">
              <w:rPr>
                <w:bCs/>
              </w:rPr>
              <w:t xml:space="preserve">improve the </w:t>
            </w:r>
            <w:r w:rsidRPr="00B95189">
              <w:rPr>
                <w:b/>
              </w:rPr>
              <w:t>relative</w:t>
            </w:r>
            <w:r w:rsidRPr="00B95189">
              <w:rPr>
                <w:bCs/>
              </w:rPr>
              <w:t xml:space="preserve"> population abundances</w:t>
            </w:r>
            <w:r>
              <w:rPr>
                <w:bCs/>
              </w:rPr>
              <w:t>…”</w:t>
            </w:r>
            <w:r w:rsidRPr="00B95189">
              <w:rPr>
                <w:bCs/>
              </w:rPr>
              <w:t xml:space="preserve">. It is often assumed that references to changes in abundance refer to relative abundance (e.g. Williams et al 2020 </w:t>
            </w:r>
            <w:hyperlink r:id="rId15" w:history="1">
              <w:r w:rsidRPr="00B95189">
                <w:rPr>
                  <w:rStyle w:val="Hyperlink"/>
                  <w:bCs/>
                </w:rPr>
                <w:t>https://conbio.onlinelibrary.wiley.com/doi/full/10.1111/conl.12778</w:t>
              </w:r>
            </w:hyperlink>
            <w:r w:rsidRPr="00B95189">
              <w:rPr>
                <w:bCs/>
              </w:rPr>
              <w:t xml:space="preserve">) but it would be better to make it explicit  </w:t>
            </w:r>
          </w:p>
        </w:tc>
      </w:tr>
      <w:tr w:rsidR="007459C7" w14:paraId="5CB43C96"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0B1E4E60" w14:textId="77777777" w:rsidR="007459C7" w:rsidRPr="00933A9D" w:rsidRDefault="007459C7" w:rsidP="007459C7">
            <w:r w:rsidRPr="00933A9D">
              <w:t>7</w:t>
            </w:r>
          </w:p>
        </w:tc>
        <w:tc>
          <w:tcPr>
            <w:tcW w:w="1231" w:type="dxa"/>
            <w:tcBorders>
              <w:top w:val="single" w:sz="4" w:space="0" w:color="auto"/>
              <w:left w:val="single" w:sz="4" w:space="0" w:color="auto"/>
              <w:bottom w:val="single" w:sz="4" w:space="0" w:color="auto"/>
              <w:right w:val="single" w:sz="4" w:space="0" w:color="auto"/>
            </w:tcBorders>
          </w:tcPr>
          <w:p w14:paraId="24B16E60" w14:textId="77777777" w:rsidR="007459C7" w:rsidRPr="00933A9D" w:rsidRDefault="007459C7" w:rsidP="007459C7">
            <w:r w:rsidRPr="00933A9D">
              <w:t>33</w:t>
            </w:r>
          </w:p>
        </w:tc>
        <w:tc>
          <w:tcPr>
            <w:tcW w:w="8139" w:type="dxa"/>
            <w:gridSpan w:val="2"/>
            <w:tcBorders>
              <w:top w:val="single" w:sz="4" w:space="0" w:color="auto"/>
              <w:left w:val="single" w:sz="4" w:space="0" w:color="auto"/>
              <w:bottom w:val="single" w:sz="4" w:space="0" w:color="auto"/>
              <w:right w:val="single" w:sz="4" w:space="0" w:color="auto"/>
            </w:tcBorders>
          </w:tcPr>
          <w:p w14:paraId="35641742" w14:textId="56865AC3" w:rsidR="007459C7" w:rsidRPr="00933A9D" w:rsidRDefault="007459C7" w:rsidP="007459C7">
            <w:r w:rsidRPr="00933A9D">
              <w:t>“These interventions include ex situ conservation measures…”</w:t>
            </w:r>
          </w:p>
          <w:p w14:paraId="4C7DF68E" w14:textId="77777777" w:rsidR="007459C7" w:rsidRPr="00933A9D" w:rsidRDefault="007459C7" w:rsidP="007459C7"/>
          <w:p w14:paraId="45E426E0" w14:textId="22DA6C00" w:rsidR="007459C7" w:rsidRPr="00933A9D" w:rsidRDefault="007459C7" w:rsidP="007459C7">
            <w:r w:rsidRPr="00933A9D">
              <w:t>Ex-situ conservation measure can be important for genetic diversity, but they can also be problematic. A sentence about ensuring re-introductions/re-stocking do not negatively affect genetic diversity is needed.</w:t>
            </w:r>
          </w:p>
        </w:tc>
      </w:tr>
      <w:tr w:rsidR="007459C7" w:rsidRPr="000C0B6C" w14:paraId="5FD27513" w14:textId="77777777" w:rsidTr="009251C2">
        <w:trPr>
          <w:trHeight w:val="224"/>
        </w:trPr>
        <w:tc>
          <w:tcPr>
            <w:tcW w:w="818" w:type="dxa"/>
          </w:tcPr>
          <w:p w14:paraId="5FC32A09" w14:textId="655F1656" w:rsidR="007459C7" w:rsidRPr="00933A9D" w:rsidRDefault="007459C7" w:rsidP="007459C7">
            <w:r w:rsidRPr="00933A9D">
              <w:lastRenderedPageBreak/>
              <w:t>9</w:t>
            </w:r>
          </w:p>
        </w:tc>
        <w:tc>
          <w:tcPr>
            <w:tcW w:w="1231" w:type="dxa"/>
          </w:tcPr>
          <w:p w14:paraId="5D30910E" w14:textId="0BE8BCCF" w:rsidR="007459C7" w:rsidRPr="00933A9D" w:rsidRDefault="007459C7" w:rsidP="007459C7">
            <w:r w:rsidRPr="00933A9D">
              <w:t>40</w:t>
            </w:r>
          </w:p>
        </w:tc>
        <w:tc>
          <w:tcPr>
            <w:tcW w:w="8139" w:type="dxa"/>
            <w:gridSpan w:val="2"/>
          </w:tcPr>
          <w:p w14:paraId="7AA00353" w14:textId="77777777" w:rsidR="007459C7" w:rsidRPr="00933A9D" w:rsidRDefault="007459C7" w:rsidP="007459C7">
            <w:pPr>
              <w:spacing w:line="256" w:lineRule="auto"/>
            </w:pPr>
            <w:r w:rsidRPr="00933A9D">
              <w:t>“Nature’s capacity to continue delivering its contributions to people is reliant on the area and integrity of both natural and managed ecosystems and their constituent species and within-species genetic diversity.”</w:t>
            </w:r>
          </w:p>
          <w:p w14:paraId="67AC74D8" w14:textId="77777777" w:rsidR="007459C7" w:rsidRPr="00933A9D" w:rsidRDefault="007459C7" w:rsidP="007459C7">
            <w:pPr>
              <w:spacing w:line="256" w:lineRule="auto"/>
            </w:pPr>
          </w:p>
          <w:p w14:paraId="4BAA964B" w14:textId="415C0347" w:rsidR="007459C7" w:rsidRPr="00933A9D" w:rsidRDefault="007459C7" w:rsidP="007459C7">
            <w:pPr>
              <w:spacing w:line="256" w:lineRule="auto"/>
            </w:pPr>
            <w:r w:rsidRPr="00933A9D">
              <w:t xml:space="preserve">Some acknowledgement should be made here that this capacity is also reliant on the maintenance of between-species phylogenetic diversity, i.e. the maintenance of the Tree of Life. This is recognized by IPBES, who adopted as an indicator for nature’s continued capacity to deliver contributions to people (see Diaz et al., 2019, </w:t>
            </w:r>
            <w:r w:rsidRPr="00933A9D">
              <w:rPr>
                <w:i/>
                <w:iCs/>
              </w:rPr>
              <w:t>Science</w:t>
            </w:r>
            <w:r w:rsidRPr="00933A9D">
              <w:t>, 366:eaax3100). The role of the Tree of Life in the post-2020 GBF and maintaining NCPs is discussed in Gumbs et al. (in review)</w:t>
            </w:r>
          </w:p>
          <w:p w14:paraId="6A54A0EC" w14:textId="77777777" w:rsidR="007459C7" w:rsidRPr="00933A9D" w:rsidRDefault="007459C7" w:rsidP="007459C7">
            <w:pPr>
              <w:spacing w:line="256" w:lineRule="auto"/>
            </w:pPr>
            <w:hyperlink r:id="rId16" w:history="1">
              <w:r w:rsidRPr="00933A9D">
                <w:rPr>
                  <w:rStyle w:val="Hyperlink"/>
                </w:rPr>
                <w:t>https://www.biorxiv.org/content/10.1101/2021.03.03.433783v1</w:t>
              </w:r>
            </w:hyperlink>
            <w:r w:rsidRPr="00933A9D">
              <w:t xml:space="preserve">  </w:t>
            </w:r>
          </w:p>
          <w:p w14:paraId="2B39B49B" w14:textId="71F73074" w:rsidR="007459C7" w:rsidRPr="00933A9D" w:rsidRDefault="007459C7" w:rsidP="007459C7">
            <w:pPr>
              <w:spacing w:line="256" w:lineRule="auto"/>
            </w:pPr>
            <w:r w:rsidRPr="00933A9D">
              <w:t xml:space="preserve">which also includes an update of the IPBES phylogenetic diversity indicator. </w:t>
            </w:r>
          </w:p>
        </w:tc>
      </w:tr>
      <w:tr w:rsidR="007459C7" w:rsidRPr="000C0B6C" w14:paraId="30930566" w14:textId="77777777" w:rsidTr="009251C2">
        <w:trPr>
          <w:trHeight w:val="224"/>
        </w:trPr>
        <w:tc>
          <w:tcPr>
            <w:tcW w:w="818" w:type="dxa"/>
          </w:tcPr>
          <w:p w14:paraId="7E88CD75" w14:textId="0941FF58" w:rsidR="007459C7" w:rsidRPr="00933A9D" w:rsidRDefault="007459C7" w:rsidP="007459C7">
            <w:r w:rsidRPr="00933A9D">
              <w:t>12</w:t>
            </w:r>
          </w:p>
        </w:tc>
        <w:tc>
          <w:tcPr>
            <w:tcW w:w="1231" w:type="dxa"/>
          </w:tcPr>
          <w:p w14:paraId="613F0F0B" w14:textId="4F36099A" w:rsidR="007459C7" w:rsidRPr="00933A9D" w:rsidRDefault="007459C7" w:rsidP="007459C7">
            <w:r w:rsidRPr="00933A9D">
              <w:t>54</w:t>
            </w:r>
          </w:p>
        </w:tc>
        <w:tc>
          <w:tcPr>
            <w:tcW w:w="8139" w:type="dxa"/>
            <w:gridSpan w:val="2"/>
          </w:tcPr>
          <w:p w14:paraId="7E5C10D3" w14:textId="77777777" w:rsidR="007459C7" w:rsidRPr="00933A9D" w:rsidRDefault="007459C7" w:rsidP="007459C7">
            <w:r w:rsidRPr="00933A9D">
              <w:t xml:space="preserve">“Taking into account…the targets of having 17 per cent terrestrial areas and 10 per cent of marine area under protection, as expressed in Aichi Biodiversity Target 11, are likely to have been met or exceeded”. </w:t>
            </w:r>
          </w:p>
          <w:p w14:paraId="3A17807A" w14:textId="77777777" w:rsidR="007459C7" w:rsidRPr="00933A9D" w:rsidRDefault="007459C7" w:rsidP="007459C7"/>
          <w:p w14:paraId="4B30F77B" w14:textId="2CFE7D3E" w:rsidR="007459C7" w:rsidRPr="00933A9D" w:rsidRDefault="007459C7" w:rsidP="007459C7">
            <w:r w:rsidRPr="00933A9D">
              <w:t xml:space="preserve">This should include some acknowledgement that this growth was not uniform across countries (see Maxwell et al. 2020; </w:t>
            </w:r>
            <w:r w:rsidRPr="00933A9D">
              <w:rPr>
                <w:i/>
                <w:iCs/>
              </w:rPr>
              <w:t>Nature</w:t>
            </w:r>
            <w:r w:rsidRPr="00933A9D">
              <w:t xml:space="preserve"> 586: 217), as well as the fact that one recent analysis showed that, on average, more than 1m km2 of land and sea were recorded as being removed from the global protected-area estate annually between 2006 and 2018 (Lewis et al. 2019; </w:t>
            </w:r>
            <w:r w:rsidRPr="00933A9D">
              <w:rPr>
                <w:i/>
                <w:iCs/>
              </w:rPr>
              <w:t>Conservation Biology</w:t>
            </w:r>
            <w:r w:rsidRPr="00933A9D">
              <w:t xml:space="preserve"> 33: 570)</w:t>
            </w:r>
          </w:p>
        </w:tc>
      </w:tr>
      <w:tr w:rsidR="007459C7" w:rsidRPr="000C0B6C" w14:paraId="419DB47A" w14:textId="77777777" w:rsidTr="009251C2">
        <w:trPr>
          <w:trHeight w:val="224"/>
        </w:trPr>
        <w:tc>
          <w:tcPr>
            <w:tcW w:w="818" w:type="dxa"/>
          </w:tcPr>
          <w:p w14:paraId="583A2152" w14:textId="731DCD49" w:rsidR="007459C7" w:rsidRPr="00933A9D" w:rsidRDefault="007459C7" w:rsidP="007459C7">
            <w:r w:rsidRPr="00933A9D">
              <w:t>13</w:t>
            </w:r>
          </w:p>
        </w:tc>
        <w:tc>
          <w:tcPr>
            <w:tcW w:w="1231" w:type="dxa"/>
          </w:tcPr>
          <w:p w14:paraId="491D28B8" w14:textId="67E15F94" w:rsidR="007459C7" w:rsidRPr="00933A9D" w:rsidRDefault="007459C7" w:rsidP="007459C7">
            <w:r w:rsidRPr="00933A9D">
              <w:t>54</w:t>
            </w:r>
          </w:p>
        </w:tc>
        <w:tc>
          <w:tcPr>
            <w:tcW w:w="8139" w:type="dxa"/>
            <w:gridSpan w:val="2"/>
          </w:tcPr>
          <w:p w14:paraId="07C40EB4" w14:textId="77777777" w:rsidR="007459C7" w:rsidRPr="00933A9D" w:rsidRDefault="007459C7" w:rsidP="007459C7">
            <w:r w:rsidRPr="00933A9D">
              <w:t xml:space="preserve">“Moreover, many protected areas are not effectively or equitably managed”. </w:t>
            </w:r>
          </w:p>
          <w:p w14:paraId="257E6F29" w14:textId="77777777" w:rsidR="007459C7" w:rsidRPr="00933A9D" w:rsidRDefault="007459C7" w:rsidP="007459C7"/>
          <w:p w14:paraId="7EB00430" w14:textId="7EF78985" w:rsidR="007459C7" w:rsidRPr="00933A9D" w:rsidRDefault="007459C7" w:rsidP="007459C7">
            <w:r w:rsidRPr="00933A9D">
              <w:t xml:space="preserve">Can cite Maxwell et al. (2020); </w:t>
            </w:r>
            <w:r w:rsidRPr="00933A9D">
              <w:rPr>
                <w:i/>
                <w:iCs/>
              </w:rPr>
              <w:t>Nature</w:t>
            </w:r>
            <w:r w:rsidRPr="00933A9D">
              <w:t xml:space="preserve"> 586: 217, and also Zafra-Calvo et al. (2019) </w:t>
            </w:r>
            <w:r w:rsidRPr="00933A9D">
              <w:rPr>
                <w:i/>
                <w:iCs/>
              </w:rPr>
              <w:t>Bioscience</w:t>
            </w:r>
            <w:r w:rsidRPr="00933A9D">
              <w:t xml:space="preserve"> 69:191.</w:t>
            </w:r>
          </w:p>
        </w:tc>
      </w:tr>
      <w:tr w:rsidR="007459C7" w:rsidRPr="000C0B6C" w14:paraId="5DBDB291" w14:textId="77777777" w:rsidTr="009251C2">
        <w:trPr>
          <w:trHeight w:val="224"/>
        </w:trPr>
        <w:tc>
          <w:tcPr>
            <w:tcW w:w="818" w:type="dxa"/>
          </w:tcPr>
          <w:p w14:paraId="29E068DB" w14:textId="6F0868B1" w:rsidR="007459C7" w:rsidRPr="00933A9D" w:rsidRDefault="007459C7" w:rsidP="007459C7">
            <w:r w:rsidRPr="00933A9D">
              <w:t>13</w:t>
            </w:r>
          </w:p>
        </w:tc>
        <w:tc>
          <w:tcPr>
            <w:tcW w:w="1231" w:type="dxa"/>
          </w:tcPr>
          <w:p w14:paraId="212354D4" w14:textId="3D8A9F93" w:rsidR="007459C7" w:rsidRPr="00933A9D" w:rsidRDefault="007459C7" w:rsidP="007459C7">
            <w:r w:rsidRPr="00933A9D">
              <w:t>56</w:t>
            </w:r>
          </w:p>
        </w:tc>
        <w:tc>
          <w:tcPr>
            <w:tcW w:w="8139" w:type="dxa"/>
            <w:gridSpan w:val="2"/>
          </w:tcPr>
          <w:p w14:paraId="2CBA3EFF" w14:textId="77777777" w:rsidR="007459C7" w:rsidRPr="00933A9D" w:rsidRDefault="007459C7" w:rsidP="007459C7">
            <w:r w:rsidRPr="00933A9D">
              <w:t xml:space="preserve">“Many recent proposals converge on protecting about 30 per cent of the land surface by 2030, with the possibility of higher targets established subsequently”. </w:t>
            </w:r>
          </w:p>
          <w:p w14:paraId="6FED24EC" w14:textId="77777777" w:rsidR="007459C7" w:rsidRPr="00933A9D" w:rsidRDefault="007459C7" w:rsidP="007459C7"/>
          <w:p w14:paraId="637A167D" w14:textId="47C10146" w:rsidR="007459C7" w:rsidRPr="00933A9D" w:rsidRDefault="004C3E52" w:rsidP="007459C7">
            <w:r>
              <w:t>T</w:t>
            </w:r>
            <w:r w:rsidR="007459C7" w:rsidRPr="00933A9D">
              <w:t xml:space="preserve">his needs to acknowledge that some of these exercises don’t specify what form that “protection” should take, and many rightly question the merits of these analyses (e.g., </w:t>
            </w:r>
            <w:hyperlink r:id="rId17" w:history="1">
              <w:r w:rsidR="007459C7" w:rsidRPr="00933A9D">
                <w:rPr>
                  <w:rStyle w:val="Hyperlink"/>
                </w:rPr>
                <w:t>example</w:t>
              </w:r>
            </w:hyperlink>
            <w:r w:rsidR="007459C7" w:rsidRPr="00933A9D">
              <w:t>). Hence, “the importance of focusing on biodiversity outcomes</w:t>
            </w:r>
            <w:r w:rsidR="007459C7" w:rsidRPr="00933A9D">
              <w:rPr>
                <w:b/>
                <w:bCs/>
              </w:rPr>
              <w:t>, and the means by which these are achieved,</w:t>
            </w:r>
            <w:r w:rsidR="007459C7" w:rsidRPr="00933A9D">
              <w:t xml:space="preserve"> rather than …” is of key importance.</w:t>
            </w:r>
          </w:p>
        </w:tc>
      </w:tr>
      <w:tr w:rsidR="007459C7" w:rsidRPr="000C0B6C" w14:paraId="7A865B83" w14:textId="77777777" w:rsidTr="009251C2">
        <w:trPr>
          <w:trHeight w:val="224"/>
        </w:trPr>
        <w:tc>
          <w:tcPr>
            <w:tcW w:w="818" w:type="dxa"/>
          </w:tcPr>
          <w:p w14:paraId="48F7EE30" w14:textId="5A50FBD4" w:rsidR="007459C7" w:rsidRPr="00933A9D" w:rsidRDefault="007459C7" w:rsidP="007459C7">
            <w:r w:rsidRPr="00933A9D">
              <w:t>13</w:t>
            </w:r>
          </w:p>
        </w:tc>
        <w:tc>
          <w:tcPr>
            <w:tcW w:w="1231" w:type="dxa"/>
          </w:tcPr>
          <w:p w14:paraId="6A798625" w14:textId="1CF9C82E" w:rsidR="007459C7" w:rsidRPr="00933A9D" w:rsidRDefault="007459C7" w:rsidP="007459C7">
            <w:r w:rsidRPr="00933A9D">
              <w:t>58</w:t>
            </w:r>
          </w:p>
        </w:tc>
        <w:tc>
          <w:tcPr>
            <w:tcW w:w="8139" w:type="dxa"/>
            <w:gridSpan w:val="2"/>
          </w:tcPr>
          <w:p w14:paraId="521534D9" w14:textId="77777777" w:rsidR="007459C7" w:rsidRPr="00933A9D" w:rsidRDefault="007459C7" w:rsidP="007459C7">
            <w:r w:rsidRPr="00933A9D">
              <w:t xml:space="preserve">“Similar active measures have been instrumental in preventing a significant number of bird and mammal extinction in past decades, … threat are known”. </w:t>
            </w:r>
          </w:p>
          <w:p w14:paraId="1E06E1FE" w14:textId="77777777" w:rsidR="007459C7" w:rsidRPr="00933A9D" w:rsidRDefault="007459C7" w:rsidP="007459C7"/>
          <w:p w14:paraId="531C2A0F" w14:textId="12994C0A" w:rsidR="007459C7" w:rsidRPr="00933A9D" w:rsidRDefault="007459C7" w:rsidP="007459C7">
            <w:r w:rsidRPr="00933A9D">
              <w:t xml:space="preserve">These actions have not just prevented extinctions, they have also been key to recovery (for example, species-specific actions have been key to recovering species from Extinct in the Wild). </w:t>
            </w:r>
          </w:p>
        </w:tc>
      </w:tr>
      <w:tr w:rsidR="007459C7" w14:paraId="57E9A3B3"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3CDE7957" w14:textId="77777777" w:rsidR="007459C7" w:rsidRPr="00933A9D" w:rsidRDefault="007459C7" w:rsidP="007459C7">
            <w:r w:rsidRPr="00933A9D">
              <w:t>13/14</w:t>
            </w:r>
          </w:p>
        </w:tc>
        <w:tc>
          <w:tcPr>
            <w:tcW w:w="1231" w:type="dxa"/>
            <w:tcBorders>
              <w:top w:val="single" w:sz="4" w:space="0" w:color="auto"/>
              <w:left w:val="single" w:sz="4" w:space="0" w:color="auto"/>
              <w:bottom w:val="single" w:sz="4" w:space="0" w:color="auto"/>
              <w:right w:val="single" w:sz="4" w:space="0" w:color="auto"/>
            </w:tcBorders>
          </w:tcPr>
          <w:p w14:paraId="3DE1E123" w14:textId="77777777" w:rsidR="007459C7" w:rsidRPr="00933A9D" w:rsidRDefault="007459C7" w:rsidP="007459C7">
            <w:r w:rsidRPr="00933A9D">
              <w:t>58</w:t>
            </w:r>
          </w:p>
        </w:tc>
        <w:tc>
          <w:tcPr>
            <w:tcW w:w="8139" w:type="dxa"/>
            <w:gridSpan w:val="2"/>
            <w:tcBorders>
              <w:top w:val="single" w:sz="4" w:space="0" w:color="auto"/>
              <w:left w:val="single" w:sz="4" w:space="0" w:color="auto"/>
              <w:bottom w:val="single" w:sz="4" w:space="0" w:color="auto"/>
              <w:right w:val="single" w:sz="4" w:space="0" w:color="auto"/>
            </w:tcBorders>
          </w:tcPr>
          <w:p w14:paraId="089202CA" w14:textId="466BCA99" w:rsidR="007459C7" w:rsidRPr="00933A9D" w:rsidRDefault="007459C7" w:rsidP="007459C7">
            <w:r w:rsidRPr="00933A9D">
              <w:t>“Based on… species-specific management interventions will be needed to ensure…”</w:t>
            </w:r>
          </w:p>
          <w:p w14:paraId="6024832B" w14:textId="30482ED1" w:rsidR="007459C7" w:rsidRPr="00933A9D" w:rsidRDefault="007459C7" w:rsidP="007459C7"/>
          <w:p w14:paraId="1D86D016" w14:textId="087072D1" w:rsidR="007459C7" w:rsidRPr="00933A9D" w:rsidRDefault="007459C7" w:rsidP="007459C7">
            <w:r w:rsidRPr="00933A9D">
              <w:t xml:space="preserve">Suggest reword as “…species-specific management interventions </w:t>
            </w:r>
            <w:r w:rsidRPr="00933A9D">
              <w:rPr>
                <w:b/>
                <w:bCs/>
              </w:rPr>
              <w:t>coordinated across the species’ range</w:t>
            </w:r>
            <w:r w:rsidRPr="00933A9D">
              <w:t xml:space="preserve"> will be needed…”</w:t>
            </w:r>
          </w:p>
        </w:tc>
      </w:tr>
      <w:tr w:rsidR="00CB2EB8" w:rsidRPr="000C0B6C" w14:paraId="49F50910" w14:textId="77777777" w:rsidTr="009251C2">
        <w:trPr>
          <w:trHeight w:val="224"/>
        </w:trPr>
        <w:tc>
          <w:tcPr>
            <w:tcW w:w="818" w:type="dxa"/>
          </w:tcPr>
          <w:p w14:paraId="3DDFC0A7" w14:textId="77777777" w:rsidR="00CB2EB8" w:rsidRPr="00933A9D" w:rsidRDefault="00CB2EB8" w:rsidP="007459C7"/>
        </w:tc>
        <w:tc>
          <w:tcPr>
            <w:tcW w:w="1231" w:type="dxa"/>
          </w:tcPr>
          <w:p w14:paraId="4BEEAAA9" w14:textId="77777777" w:rsidR="00CB2EB8" w:rsidRPr="00933A9D" w:rsidRDefault="00CB2EB8" w:rsidP="007459C7"/>
        </w:tc>
        <w:tc>
          <w:tcPr>
            <w:tcW w:w="8139" w:type="dxa"/>
            <w:gridSpan w:val="2"/>
          </w:tcPr>
          <w:p w14:paraId="132BAB11" w14:textId="77777777" w:rsidR="00CB2EB8" w:rsidRDefault="00CB2EB8" w:rsidP="00CB2EB8">
            <w:r>
              <w:t>“</w:t>
            </w:r>
            <w:r>
              <w:t>The direct exploitation of wild populations of species is the largest direct driver of</w:t>
            </w:r>
            <w:r>
              <w:t xml:space="preserve"> </w:t>
            </w:r>
            <w:r>
              <w:t>biodiversity loss in marine ecosystems and the second largest in terrestrial and freshwater ecosystems</w:t>
            </w:r>
            <w:r>
              <w:t>”</w:t>
            </w:r>
          </w:p>
          <w:p w14:paraId="159FDB2B" w14:textId="77777777" w:rsidR="00CB2EB8" w:rsidRDefault="00CB2EB8" w:rsidP="00CB2EB8"/>
          <w:p w14:paraId="1E15EB6A" w14:textId="279FD987" w:rsidR="00CB2EB8" w:rsidRPr="00933A9D" w:rsidRDefault="00CB2EB8" w:rsidP="00CB2EB8">
            <w:r>
              <w:t xml:space="preserve">You can cite </w:t>
            </w:r>
            <w:r>
              <w:t xml:space="preserve">McRae et al (in review) </w:t>
            </w:r>
            <w:hyperlink r:id="rId18" w:history="1">
              <w:r w:rsidRPr="00A129D4">
                <w:rPr>
                  <w:rStyle w:val="Hyperlink"/>
                </w:rPr>
                <w:t>https://www.biorxiv.org/content/10.1101/2020.11.02.365031v2</w:t>
              </w:r>
            </w:hyperlink>
            <w:r>
              <w:rPr>
                <w:rStyle w:val="Hyperlink"/>
              </w:rPr>
              <w:t xml:space="preserve"> </w:t>
            </w:r>
            <w:r>
              <w:t xml:space="preserve"> This paper presents a version of the Living Planet index for utilized species that demonstrates the impact of utilization on wild populations</w:t>
            </w:r>
            <w:r>
              <w:t xml:space="preserve">, including </w:t>
            </w:r>
            <w:r w:rsidR="00845DFE">
              <w:t>a comparison between freshwater/terrestrial and marine systems.</w:t>
            </w:r>
          </w:p>
        </w:tc>
      </w:tr>
      <w:tr w:rsidR="007459C7" w:rsidRPr="000C0B6C" w14:paraId="73FD340A" w14:textId="77777777" w:rsidTr="009251C2">
        <w:trPr>
          <w:trHeight w:val="224"/>
        </w:trPr>
        <w:tc>
          <w:tcPr>
            <w:tcW w:w="818" w:type="dxa"/>
          </w:tcPr>
          <w:p w14:paraId="37288C1C" w14:textId="109E2516" w:rsidR="007459C7" w:rsidRPr="00933A9D" w:rsidRDefault="007459C7" w:rsidP="007459C7">
            <w:r w:rsidRPr="00933A9D">
              <w:t>15</w:t>
            </w:r>
          </w:p>
        </w:tc>
        <w:tc>
          <w:tcPr>
            <w:tcW w:w="1231" w:type="dxa"/>
          </w:tcPr>
          <w:p w14:paraId="2993E983" w14:textId="171F329D" w:rsidR="007459C7" w:rsidRPr="00933A9D" w:rsidRDefault="007459C7" w:rsidP="007459C7">
            <w:r w:rsidRPr="00933A9D">
              <w:t>63</w:t>
            </w:r>
          </w:p>
        </w:tc>
        <w:tc>
          <w:tcPr>
            <w:tcW w:w="8139" w:type="dxa"/>
            <w:gridSpan w:val="2"/>
          </w:tcPr>
          <w:p w14:paraId="0F49124F" w14:textId="77777777" w:rsidR="007459C7" w:rsidRPr="00933A9D" w:rsidRDefault="007459C7" w:rsidP="007459C7">
            <w:r w:rsidRPr="00933A9D">
              <w:t xml:space="preserve">“Currently, many species on the IUCN Red List are threatened by overexploitation and trade, including illegal trade”. </w:t>
            </w:r>
          </w:p>
          <w:p w14:paraId="790BA98A" w14:textId="77777777" w:rsidR="007459C7" w:rsidRPr="00933A9D" w:rsidRDefault="007459C7" w:rsidP="007459C7"/>
          <w:p w14:paraId="2A720A2D" w14:textId="470F486C" w:rsidR="00337991" w:rsidRPr="00933A9D" w:rsidRDefault="00845DFE" w:rsidP="00845DFE">
            <w:r>
              <w:t xml:space="preserve">You can cite </w:t>
            </w:r>
            <w:r w:rsidR="007459C7" w:rsidRPr="00933A9D">
              <w:t xml:space="preserve">Marsh et al. in (review) </w:t>
            </w:r>
            <w:hyperlink r:id="rId19" w:history="1">
              <w:r w:rsidR="007459C7" w:rsidRPr="00933A9D">
                <w:rPr>
                  <w:rStyle w:val="Hyperlink"/>
                </w:rPr>
                <w:t>https://www.biorxiv.org/content/10.1101/2020.11.04.367763v2</w:t>
              </w:r>
            </w:hyperlink>
            <w:r w:rsidR="007459C7" w:rsidRPr="00933A9D">
              <w:t xml:space="preserve"> This paper is a comprehensive analysis of Red List data as it pertains to patterns of use. However, note that it also shows that many species that are used are currently not threatened. </w:t>
            </w:r>
          </w:p>
        </w:tc>
      </w:tr>
      <w:tr w:rsidR="007459C7" w14:paraId="40641516"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3E94334C" w14:textId="77777777" w:rsidR="007459C7" w:rsidRPr="00933A9D" w:rsidRDefault="007459C7" w:rsidP="007459C7">
            <w:r w:rsidRPr="00933A9D">
              <w:t>15/16</w:t>
            </w:r>
          </w:p>
        </w:tc>
        <w:tc>
          <w:tcPr>
            <w:tcW w:w="1231" w:type="dxa"/>
            <w:tcBorders>
              <w:top w:val="single" w:sz="4" w:space="0" w:color="auto"/>
              <w:left w:val="single" w:sz="4" w:space="0" w:color="auto"/>
              <w:bottom w:val="single" w:sz="4" w:space="0" w:color="auto"/>
              <w:right w:val="single" w:sz="4" w:space="0" w:color="auto"/>
            </w:tcBorders>
          </w:tcPr>
          <w:p w14:paraId="5680C113" w14:textId="77777777" w:rsidR="007459C7" w:rsidRPr="00933A9D" w:rsidRDefault="007459C7" w:rsidP="007459C7">
            <w:r w:rsidRPr="00933A9D">
              <w:t>65</w:t>
            </w:r>
          </w:p>
        </w:tc>
        <w:tc>
          <w:tcPr>
            <w:tcW w:w="8139" w:type="dxa"/>
            <w:gridSpan w:val="2"/>
            <w:tcBorders>
              <w:top w:val="single" w:sz="4" w:space="0" w:color="auto"/>
              <w:left w:val="single" w:sz="4" w:space="0" w:color="auto"/>
              <w:bottom w:val="single" w:sz="4" w:space="0" w:color="auto"/>
              <w:right w:val="single" w:sz="4" w:space="0" w:color="auto"/>
            </w:tcBorders>
          </w:tcPr>
          <w:p w14:paraId="10E99503" w14:textId="4C282022" w:rsidR="007459C7" w:rsidRPr="00933A9D" w:rsidRDefault="007459C7" w:rsidP="007459C7">
            <w:pPr>
              <w:pStyle w:val="Default"/>
              <w:rPr>
                <w:rFonts w:eastAsiaTheme="minorHAnsi"/>
                <w:lang w:val="en-GB"/>
              </w:rPr>
            </w:pPr>
            <w:r w:rsidRPr="00933A9D">
              <w:rPr>
                <w:rFonts w:eastAsiaTheme="minorHAnsi"/>
                <w:lang w:val="en-GB"/>
              </w:rPr>
              <w:t>Suggest the following insertion:</w:t>
            </w:r>
          </w:p>
          <w:p w14:paraId="4778BCE9" w14:textId="77777777" w:rsidR="007459C7" w:rsidRPr="00933A9D" w:rsidRDefault="007459C7" w:rsidP="007459C7">
            <w:pPr>
              <w:pStyle w:val="Default"/>
              <w:rPr>
                <w:rFonts w:eastAsiaTheme="minorHAnsi"/>
                <w:lang w:val="en-GB"/>
              </w:rPr>
            </w:pPr>
          </w:p>
          <w:p w14:paraId="247BE745" w14:textId="04BA6847" w:rsidR="007459C7" w:rsidRPr="00933A9D" w:rsidRDefault="007459C7" w:rsidP="007459C7">
            <w:pPr>
              <w:pStyle w:val="Default"/>
            </w:pPr>
            <w:r w:rsidRPr="00933A9D">
              <w:rPr>
                <w:rFonts w:eastAsiaTheme="minorHAnsi"/>
                <w:lang w:val="en-GB"/>
              </w:rPr>
              <w:t xml:space="preserve">“Actions to address the legality, sustainability and safety of the use of wild species of fauna and flora need to take place at the point of harvest, during transportation and trade, and at point of final consumption – the latter affecting overall demand. </w:t>
            </w:r>
            <w:r w:rsidRPr="00933A9D">
              <w:rPr>
                <w:b/>
                <w:bCs/>
              </w:rPr>
              <w:t>This chain of custody highlights the need for robust national and international traceability mechanisms for harvested/traded flora and fauna.</w:t>
            </w:r>
            <w:r w:rsidRPr="00933A9D">
              <w:t xml:space="preserve"> </w:t>
            </w:r>
            <w:r w:rsidRPr="00933A9D">
              <w:rPr>
                <w:rFonts w:eastAsiaTheme="minorHAnsi"/>
                <w:strike/>
                <w:lang w:val="en-GB"/>
              </w:rPr>
              <w:t>Thus,</w:t>
            </w:r>
            <w:r w:rsidRPr="00933A9D">
              <w:rPr>
                <w:rFonts w:eastAsiaTheme="minorHAnsi"/>
                <w:lang w:val="en-GB"/>
              </w:rPr>
              <w:t xml:space="preserve"> Proposed targets 18 and 19 are synergistic with this one…”</w:t>
            </w:r>
          </w:p>
        </w:tc>
      </w:tr>
      <w:tr w:rsidR="007459C7" w14:paraId="4F1CE09A"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5A89D0B8" w14:textId="77777777" w:rsidR="007459C7" w:rsidRPr="00933A9D" w:rsidRDefault="007459C7" w:rsidP="007459C7">
            <w:r w:rsidRPr="00933A9D">
              <w:t>17</w:t>
            </w:r>
          </w:p>
        </w:tc>
        <w:tc>
          <w:tcPr>
            <w:tcW w:w="1231" w:type="dxa"/>
            <w:tcBorders>
              <w:top w:val="single" w:sz="4" w:space="0" w:color="auto"/>
              <w:left w:val="single" w:sz="4" w:space="0" w:color="auto"/>
              <w:bottom w:val="single" w:sz="4" w:space="0" w:color="auto"/>
              <w:right w:val="single" w:sz="4" w:space="0" w:color="auto"/>
            </w:tcBorders>
          </w:tcPr>
          <w:p w14:paraId="741919FA" w14:textId="77777777" w:rsidR="007459C7" w:rsidRPr="00933A9D" w:rsidRDefault="007459C7" w:rsidP="007459C7">
            <w:r w:rsidRPr="00933A9D">
              <w:t>71</w:t>
            </w:r>
          </w:p>
        </w:tc>
        <w:tc>
          <w:tcPr>
            <w:tcW w:w="8139" w:type="dxa"/>
            <w:gridSpan w:val="2"/>
            <w:tcBorders>
              <w:top w:val="single" w:sz="4" w:space="0" w:color="auto"/>
              <w:left w:val="single" w:sz="4" w:space="0" w:color="auto"/>
              <w:bottom w:val="single" w:sz="4" w:space="0" w:color="auto"/>
              <w:right w:val="single" w:sz="4" w:space="0" w:color="auto"/>
            </w:tcBorders>
          </w:tcPr>
          <w:p w14:paraId="283D67B2" w14:textId="5A0DB0E7" w:rsidR="007459C7" w:rsidRPr="00933A9D" w:rsidRDefault="007459C7" w:rsidP="007459C7">
            <w:r w:rsidRPr="00933A9D">
              <w:t>“Plastic waste endangers marine animals, among other impacts”</w:t>
            </w:r>
          </w:p>
          <w:p w14:paraId="172032E8" w14:textId="77777777" w:rsidR="007459C7" w:rsidRPr="00933A9D" w:rsidRDefault="007459C7" w:rsidP="007459C7"/>
          <w:p w14:paraId="020684AF" w14:textId="223ABC19" w:rsidR="007459C7" w:rsidRPr="00933A9D" w:rsidRDefault="007459C7" w:rsidP="007459C7">
            <w:r w:rsidRPr="00933A9D">
              <w:t>Suggest reword as “Plastic waste endangers marine and terrestrial fauna and flora”. It is not just marine animals affected by plastics. Many other animals from other ecosystems are impacted.</w:t>
            </w:r>
          </w:p>
        </w:tc>
      </w:tr>
      <w:tr w:rsidR="007459C7" w:rsidRPr="000C0B6C" w14:paraId="435624C6" w14:textId="77777777" w:rsidTr="009251C2">
        <w:trPr>
          <w:trHeight w:val="224"/>
        </w:trPr>
        <w:tc>
          <w:tcPr>
            <w:tcW w:w="818" w:type="dxa"/>
          </w:tcPr>
          <w:p w14:paraId="112D65BF" w14:textId="7F03D2BA" w:rsidR="007459C7" w:rsidRPr="00933A9D" w:rsidRDefault="007459C7" w:rsidP="007459C7">
            <w:r w:rsidRPr="00933A9D">
              <w:t>19</w:t>
            </w:r>
          </w:p>
        </w:tc>
        <w:tc>
          <w:tcPr>
            <w:tcW w:w="1231" w:type="dxa"/>
          </w:tcPr>
          <w:p w14:paraId="15A50A76" w14:textId="5B42E138" w:rsidR="007459C7" w:rsidRPr="00933A9D" w:rsidRDefault="007459C7" w:rsidP="007459C7">
            <w:r w:rsidRPr="00933A9D">
              <w:t>77</w:t>
            </w:r>
          </w:p>
        </w:tc>
        <w:tc>
          <w:tcPr>
            <w:tcW w:w="8139" w:type="dxa"/>
            <w:gridSpan w:val="2"/>
          </w:tcPr>
          <w:p w14:paraId="05B01708" w14:textId="77777777" w:rsidR="007459C7" w:rsidRPr="00933A9D" w:rsidRDefault="007459C7" w:rsidP="007459C7">
            <w:r w:rsidRPr="00933A9D">
              <w:t xml:space="preserve">“Wild species of flora and fauna contribute to human well-being in multiple ways. Contributions to food and nutrition are particularly important”. </w:t>
            </w:r>
          </w:p>
          <w:p w14:paraId="2246AA3B" w14:textId="77777777" w:rsidR="007459C7" w:rsidRPr="00933A9D" w:rsidRDefault="007459C7" w:rsidP="007459C7"/>
          <w:p w14:paraId="778EFB93" w14:textId="4F704CFF" w:rsidR="007459C7" w:rsidRPr="00933A9D" w:rsidRDefault="007459C7" w:rsidP="007459C7">
            <w:r w:rsidRPr="00933A9D">
              <w:t>Again, can cite Marsh et al. (in review) which shows that 40% (out of 25,000 species assessed) are used in some way, with the main purposes of use being pets, for display animals and horticulture, and for human consumption.</w:t>
            </w:r>
          </w:p>
        </w:tc>
      </w:tr>
      <w:tr w:rsidR="007459C7" w14:paraId="4D4C6486" w14:textId="77777777" w:rsidTr="0041105F">
        <w:trPr>
          <w:trHeight w:val="224"/>
        </w:trPr>
        <w:tc>
          <w:tcPr>
            <w:tcW w:w="818" w:type="dxa"/>
            <w:tcBorders>
              <w:top w:val="single" w:sz="4" w:space="0" w:color="auto"/>
              <w:left w:val="single" w:sz="4" w:space="0" w:color="auto"/>
              <w:bottom w:val="single" w:sz="4" w:space="0" w:color="auto"/>
              <w:right w:val="single" w:sz="4" w:space="0" w:color="auto"/>
            </w:tcBorders>
          </w:tcPr>
          <w:p w14:paraId="24A6FEB2" w14:textId="77777777" w:rsidR="007459C7" w:rsidRPr="00933A9D" w:rsidRDefault="007459C7" w:rsidP="007459C7">
            <w:r w:rsidRPr="00933A9D">
              <w:t>20</w:t>
            </w:r>
          </w:p>
        </w:tc>
        <w:tc>
          <w:tcPr>
            <w:tcW w:w="1231" w:type="dxa"/>
            <w:tcBorders>
              <w:top w:val="single" w:sz="4" w:space="0" w:color="auto"/>
              <w:left w:val="single" w:sz="4" w:space="0" w:color="auto"/>
              <w:bottom w:val="single" w:sz="4" w:space="0" w:color="auto"/>
              <w:right w:val="single" w:sz="4" w:space="0" w:color="auto"/>
            </w:tcBorders>
          </w:tcPr>
          <w:p w14:paraId="3585BB1F" w14:textId="77777777" w:rsidR="007459C7" w:rsidRPr="00933A9D" w:rsidRDefault="007459C7" w:rsidP="007459C7">
            <w:r w:rsidRPr="00933A9D">
              <w:t>81</w:t>
            </w:r>
          </w:p>
        </w:tc>
        <w:tc>
          <w:tcPr>
            <w:tcW w:w="8139" w:type="dxa"/>
            <w:gridSpan w:val="2"/>
            <w:tcBorders>
              <w:top w:val="single" w:sz="4" w:space="0" w:color="auto"/>
              <w:left w:val="single" w:sz="4" w:space="0" w:color="auto"/>
              <w:bottom w:val="single" w:sz="4" w:space="0" w:color="auto"/>
              <w:right w:val="single" w:sz="4" w:space="0" w:color="auto"/>
            </w:tcBorders>
          </w:tcPr>
          <w:p w14:paraId="385FF5CB" w14:textId="4D15806C" w:rsidR="007459C7" w:rsidRPr="00933A9D" w:rsidRDefault="007459C7" w:rsidP="007459C7">
            <w:r w:rsidRPr="00933A9D">
              <w:t>Suggest insertion:</w:t>
            </w:r>
          </w:p>
          <w:p w14:paraId="09AB07DB" w14:textId="77777777" w:rsidR="007459C7" w:rsidRPr="00933A9D" w:rsidRDefault="007459C7" w:rsidP="007459C7">
            <w:pPr>
              <w:autoSpaceDE w:val="0"/>
              <w:autoSpaceDN w:val="0"/>
              <w:adjustRightInd w:val="0"/>
              <w:rPr>
                <w:rFonts w:eastAsiaTheme="minorHAnsi"/>
                <w:color w:val="000000"/>
                <w:lang w:val="en-GB"/>
              </w:rPr>
            </w:pPr>
          </w:p>
          <w:p w14:paraId="01591ECD" w14:textId="47E67DEE" w:rsidR="007459C7" w:rsidRPr="00933A9D" w:rsidRDefault="007459C7" w:rsidP="007459C7">
            <w:pPr>
              <w:autoSpaceDE w:val="0"/>
              <w:autoSpaceDN w:val="0"/>
              <w:adjustRightInd w:val="0"/>
              <w:rPr>
                <w:rFonts w:eastAsiaTheme="minorHAnsi"/>
                <w:color w:val="000000"/>
                <w:lang w:val="en-GB"/>
              </w:rPr>
            </w:pPr>
            <w:r w:rsidRPr="00933A9D">
              <w:rPr>
                <w:rFonts w:eastAsiaTheme="minorHAnsi"/>
                <w:color w:val="000000"/>
                <w:lang w:val="en-GB"/>
              </w:rPr>
              <w:t xml:space="preserve">“Most of these actions centre around the sustainable intensification of production practices which includes improving the efficiency of use of land and inputs of water, fertilizers and pesticides, including though genetic improvements to crops and livestock, substituting external inputs, and designing or redesigning systems based on agroecological principles. </w:t>
            </w:r>
            <w:r w:rsidRPr="00933A9D">
              <w:rPr>
                <w:rFonts w:eastAsiaTheme="minorHAnsi"/>
                <w:b/>
                <w:bCs/>
                <w:color w:val="000000"/>
                <w:lang w:val="en-GB"/>
              </w:rPr>
              <w:t xml:space="preserve">Although, in </w:t>
            </w:r>
            <w:r w:rsidRPr="00933A9D">
              <w:rPr>
                <w:b/>
                <w:bCs/>
              </w:rPr>
              <w:t>reference to Target 15, there needs to be behaviour change by consumers.</w:t>
            </w:r>
            <w:r w:rsidRPr="00933A9D">
              <w:t xml:space="preserve"> </w:t>
            </w:r>
            <w:r w:rsidRPr="00933A9D">
              <w:rPr>
                <w:rFonts w:eastAsiaTheme="minorHAnsi"/>
                <w:color w:val="000000"/>
                <w:lang w:val="en-GB"/>
              </w:rPr>
              <w:t xml:space="preserve">Examples of the types of actions needed include increasing the use of integrated pest management, reducing and more targeted use of pesticides, antibiotics, fertilizers and irrigation water, </w:t>
            </w:r>
            <w:r w:rsidRPr="00933A9D">
              <w:rPr>
                <w:rFonts w:eastAsiaTheme="minorHAnsi"/>
                <w:color w:val="000000"/>
                <w:lang w:val="en-GB"/>
              </w:rPr>
              <w:lastRenderedPageBreak/>
              <w:t>decreasing soil erosion, decreasing residues and runoff of pesticides and excess nutrients, increasing resource use efficiency and reducing pollinator-dependent yield deficits.”</w:t>
            </w:r>
          </w:p>
          <w:p w14:paraId="66686089" w14:textId="5465410A" w:rsidR="007459C7" w:rsidRPr="00933A9D" w:rsidRDefault="007459C7" w:rsidP="007459C7"/>
        </w:tc>
      </w:tr>
      <w:tr w:rsidR="007459C7" w:rsidRPr="000C0B6C" w14:paraId="1FCC3F88" w14:textId="77777777" w:rsidTr="009251C2">
        <w:trPr>
          <w:trHeight w:val="224"/>
        </w:trPr>
        <w:tc>
          <w:tcPr>
            <w:tcW w:w="818" w:type="dxa"/>
          </w:tcPr>
          <w:p w14:paraId="7F4E8176" w14:textId="77777777" w:rsidR="007459C7" w:rsidRPr="000C0B6C" w:rsidRDefault="007459C7" w:rsidP="007459C7"/>
        </w:tc>
        <w:tc>
          <w:tcPr>
            <w:tcW w:w="1231" w:type="dxa"/>
          </w:tcPr>
          <w:p w14:paraId="01C993F1" w14:textId="77777777" w:rsidR="007459C7" w:rsidRPr="000C0B6C" w:rsidRDefault="007459C7" w:rsidP="007459C7"/>
        </w:tc>
        <w:tc>
          <w:tcPr>
            <w:tcW w:w="8139" w:type="dxa"/>
            <w:gridSpan w:val="2"/>
          </w:tcPr>
          <w:p w14:paraId="2D3D32A2" w14:textId="77777777" w:rsidR="007459C7" w:rsidRPr="000C0B6C" w:rsidRDefault="007459C7" w:rsidP="007459C7"/>
        </w:tc>
      </w:tr>
      <w:tr w:rsidR="007459C7" w:rsidRPr="000C0B6C" w14:paraId="0D3F0894" w14:textId="77777777" w:rsidTr="009251C2">
        <w:trPr>
          <w:trHeight w:val="224"/>
        </w:trPr>
        <w:tc>
          <w:tcPr>
            <w:tcW w:w="818" w:type="dxa"/>
          </w:tcPr>
          <w:p w14:paraId="021FCAB6" w14:textId="77777777" w:rsidR="007459C7" w:rsidRPr="000C0B6C" w:rsidRDefault="007459C7" w:rsidP="007459C7"/>
        </w:tc>
        <w:tc>
          <w:tcPr>
            <w:tcW w:w="1231" w:type="dxa"/>
          </w:tcPr>
          <w:p w14:paraId="18B05321" w14:textId="77777777" w:rsidR="007459C7" w:rsidRPr="000C0B6C" w:rsidRDefault="007459C7" w:rsidP="007459C7"/>
        </w:tc>
        <w:tc>
          <w:tcPr>
            <w:tcW w:w="8139" w:type="dxa"/>
            <w:gridSpan w:val="2"/>
          </w:tcPr>
          <w:p w14:paraId="3F71D682" w14:textId="77777777" w:rsidR="007459C7" w:rsidRPr="000C0B6C" w:rsidRDefault="007459C7" w:rsidP="007459C7"/>
        </w:tc>
      </w:tr>
      <w:tr w:rsidR="007459C7" w:rsidRPr="000C0B6C" w14:paraId="1BEC6B92" w14:textId="77777777" w:rsidTr="009251C2">
        <w:trPr>
          <w:trHeight w:val="224"/>
        </w:trPr>
        <w:tc>
          <w:tcPr>
            <w:tcW w:w="818" w:type="dxa"/>
          </w:tcPr>
          <w:p w14:paraId="3428EEEB" w14:textId="77777777" w:rsidR="007459C7" w:rsidRPr="000C0B6C" w:rsidRDefault="007459C7" w:rsidP="007459C7"/>
        </w:tc>
        <w:tc>
          <w:tcPr>
            <w:tcW w:w="1231" w:type="dxa"/>
          </w:tcPr>
          <w:p w14:paraId="216280D8" w14:textId="77777777" w:rsidR="007459C7" w:rsidRPr="000C0B6C" w:rsidRDefault="007459C7" w:rsidP="007459C7"/>
        </w:tc>
        <w:tc>
          <w:tcPr>
            <w:tcW w:w="8139" w:type="dxa"/>
            <w:gridSpan w:val="2"/>
          </w:tcPr>
          <w:p w14:paraId="5AF59F48" w14:textId="77777777" w:rsidR="007459C7" w:rsidRPr="000C0B6C" w:rsidRDefault="007459C7" w:rsidP="007459C7"/>
        </w:tc>
      </w:tr>
      <w:tr w:rsidR="007459C7" w:rsidRPr="000C0B6C" w14:paraId="4C53569F" w14:textId="77777777" w:rsidTr="009251C2">
        <w:trPr>
          <w:trHeight w:val="224"/>
        </w:trPr>
        <w:tc>
          <w:tcPr>
            <w:tcW w:w="818" w:type="dxa"/>
          </w:tcPr>
          <w:p w14:paraId="5ACD88D5" w14:textId="77777777" w:rsidR="007459C7" w:rsidRPr="000C0B6C" w:rsidRDefault="007459C7" w:rsidP="007459C7"/>
        </w:tc>
        <w:tc>
          <w:tcPr>
            <w:tcW w:w="1231" w:type="dxa"/>
          </w:tcPr>
          <w:p w14:paraId="1A074978" w14:textId="77777777" w:rsidR="007459C7" w:rsidRPr="000C0B6C" w:rsidRDefault="007459C7" w:rsidP="007459C7"/>
        </w:tc>
        <w:tc>
          <w:tcPr>
            <w:tcW w:w="8139" w:type="dxa"/>
            <w:gridSpan w:val="2"/>
          </w:tcPr>
          <w:p w14:paraId="249A3E43" w14:textId="77777777" w:rsidR="007459C7" w:rsidRPr="000C0B6C" w:rsidRDefault="007459C7" w:rsidP="007459C7">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20"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40E090" w14:textId="77777777" w:rsidR="00C46147" w:rsidRDefault="00C46147" w:rsidP="0041105F">
      <w:r>
        <w:separator/>
      </w:r>
    </w:p>
  </w:endnote>
  <w:endnote w:type="continuationSeparator" w:id="0">
    <w:p w14:paraId="09606703" w14:textId="77777777" w:rsidR="00C46147" w:rsidRDefault="00C46147" w:rsidP="0041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F05FA" w14:textId="77777777" w:rsidR="00C46147" w:rsidRDefault="00C46147" w:rsidP="0041105F">
      <w:r>
        <w:separator/>
      </w:r>
    </w:p>
  </w:footnote>
  <w:footnote w:type="continuationSeparator" w:id="0">
    <w:p w14:paraId="5BDB70C0" w14:textId="77777777" w:rsidR="00C46147" w:rsidRDefault="00C46147" w:rsidP="00411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6C097A"/>
    <w:multiLevelType w:val="hybridMultilevel"/>
    <w:tmpl w:val="C4465F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43F2C"/>
    <w:rsid w:val="0006239D"/>
    <w:rsid w:val="000846B1"/>
    <w:rsid w:val="000A216E"/>
    <w:rsid w:val="000A6BED"/>
    <w:rsid w:val="000D13D6"/>
    <w:rsid w:val="000F0E9E"/>
    <w:rsid w:val="00105FE8"/>
    <w:rsid w:val="0010713A"/>
    <w:rsid w:val="0013638B"/>
    <w:rsid w:val="00136B74"/>
    <w:rsid w:val="00161F44"/>
    <w:rsid w:val="00182C04"/>
    <w:rsid w:val="001C2BDB"/>
    <w:rsid w:val="001E7D02"/>
    <w:rsid w:val="00201DB6"/>
    <w:rsid w:val="00216F7B"/>
    <w:rsid w:val="00236608"/>
    <w:rsid w:val="00257500"/>
    <w:rsid w:val="0026758B"/>
    <w:rsid w:val="00271C55"/>
    <w:rsid w:val="002730E6"/>
    <w:rsid w:val="002A0529"/>
    <w:rsid w:val="002B7C8F"/>
    <w:rsid w:val="002F68A4"/>
    <w:rsid w:val="0030497F"/>
    <w:rsid w:val="0031402E"/>
    <w:rsid w:val="00334544"/>
    <w:rsid w:val="0033772D"/>
    <w:rsid w:val="00337991"/>
    <w:rsid w:val="00341374"/>
    <w:rsid w:val="003728CF"/>
    <w:rsid w:val="00383450"/>
    <w:rsid w:val="00395DF0"/>
    <w:rsid w:val="003967E7"/>
    <w:rsid w:val="003A5FA4"/>
    <w:rsid w:val="003B08FB"/>
    <w:rsid w:val="003D1219"/>
    <w:rsid w:val="003D5E19"/>
    <w:rsid w:val="003E77D9"/>
    <w:rsid w:val="003F4FDE"/>
    <w:rsid w:val="004056FD"/>
    <w:rsid w:val="0041105F"/>
    <w:rsid w:val="00457797"/>
    <w:rsid w:val="004A2542"/>
    <w:rsid w:val="004B6845"/>
    <w:rsid w:val="004C3E52"/>
    <w:rsid w:val="004D0CC4"/>
    <w:rsid w:val="004D38E3"/>
    <w:rsid w:val="004E1863"/>
    <w:rsid w:val="004E26E3"/>
    <w:rsid w:val="00504926"/>
    <w:rsid w:val="005102B6"/>
    <w:rsid w:val="00527F9A"/>
    <w:rsid w:val="0053118E"/>
    <w:rsid w:val="005324AB"/>
    <w:rsid w:val="005473DE"/>
    <w:rsid w:val="005A01F8"/>
    <w:rsid w:val="005A1B72"/>
    <w:rsid w:val="005C1FA1"/>
    <w:rsid w:val="005F344E"/>
    <w:rsid w:val="006060BF"/>
    <w:rsid w:val="006125AA"/>
    <w:rsid w:val="0065357E"/>
    <w:rsid w:val="00685BE2"/>
    <w:rsid w:val="006D6F86"/>
    <w:rsid w:val="00703353"/>
    <w:rsid w:val="00726DDF"/>
    <w:rsid w:val="0074236D"/>
    <w:rsid w:val="007459C7"/>
    <w:rsid w:val="0075561B"/>
    <w:rsid w:val="007635CC"/>
    <w:rsid w:val="007761AE"/>
    <w:rsid w:val="00790F3D"/>
    <w:rsid w:val="007978FE"/>
    <w:rsid w:val="007A7D2D"/>
    <w:rsid w:val="007B362C"/>
    <w:rsid w:val="007F4406"/>
    <w:rsid w:val="008227B4"/>
    <w:rsid w:val="00845BD2"/>
    <w:rsid w:val="00845DFE"/>
    <w:rsid w:val="008905C9"/>
    <w:rsid w:val="00890785"/>
    <w:rsid w:val="008C7855"/>
    <w:rsid w:val="008E7015"/>
    <w:rsid w:val="00933A9D"/>
    <w:rsid w:val="009403A9"/>
    <w:rsid w:val="00954E6E"/>
    <w:rsid w:val="00976DCD"/>
    <w:rsid w:val="00990EAE"/>
    <w:rsid w:val="009B33E7"/>
    <w:rsid w:val="009D7C0B"/>
    <w:rsid w:val="00A17BDC"/>
    <w:rsid w:val="00A3261C"/>
    <w:rsid w:val="00A44281"/>
    <w:rsid w:val="00A51FA4"/>
    <w:rsid w:val="00A61636"/>
    <w:rsid w:val="00A75479"/>
    <w:rsid w:val="00AF4AD0"/>
    <w:rsid w:val="00B202B4"/>
    <w:rsid w:val="00B25616"/>
    <w:rsid w:val="00B51493"/>
    <w:rsid w:val="00B66393"/>
    <w:rsid w:val="00B95189"/>
    <w:rsid w:val="00BA3AE7"/>
    <w:rsid w:val="00BD481F"/>
    <w:rsid w:val="00BF1BDD"/>
    <w:rsid w:val="00C003D9"/>
    <w:rsid w:val="00C06EB2"/>
    <w:rsid w:val="00C07768"/>
    <w:rsid w:val="00C43703"/>
    <w:rsid w:val="00C46147"/>
    <w:rsid w:val="00C72918"/>
    <w:rsid w:val="00CB2EB8"/>
    <w:rsid w:val="00CD4724"/>
    <w:rsid w:val="00CF2229"/>
    <w:rsid w:val="00D42E08"/>
    <w:rsid w:val="00D61907"/>
    <w:rsid w:val="00D6347C"/>
    <w:rsid w:val="00D71169"/>
    <w:rsid w:val="00D84A57"/>
    <w:rsid w:val="00D87A7B"/>
    <w:rsid w:val="00D91669"/>
    <w:rsid w:val="00D9238D"/>
    <w:rsid w:val="00D93CCA"/>
    <w:rsid w:val="00DB20C0"/>
    <w:rsid w:val="00DD4701"/>
    <w:rsid w:val="00E34744"/>
    <w:rsid w:val="00E35130"/>
    <w:rsid w:val="00E4079B"/>
    <w:rsid w:val="00E60191"/>
    <w:rsid w:val="00E8327D"/>
    <w:rsid w:val="00EA00D2"/>
    <w:rsid w:val="00EE06D7"/>
    <w:rsid w:val="00F042A4"/>
    <w:rsid w:val="00F15193"/>
    <w:rsid w:val="00F25566"/>
    <w:rsid w:val="00F329D3"/>
    <w:rsid w:val="00F33504"/>
    <w:rsid w:val="00F545FC"/>
    <w:rsid w:val="00F625D8"/>
    <w:rsid w:val="00F646B9"/>
    <w:rsid w:val="00F8636A"/>
    <w:rsid w:val="00FD0E17"/>
    <w:rsid w:val="00FF68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34FB3F"/>
  <w15:docId w15:val="{333DF3EC-8A50-4D30-9366-51D07419A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136B74"/>
    <w:rPr>
      <w:color w:val="605E5C"/>
      <w:shd w:val="clear" w:color="auto" w:fill="E1DFDD"/>
    </w:rPr>
  </w:style>
  <w:style w:type="paragraph" w:styleId="Revision">
    <w:name w:val="Revision"/>
    <w:hidden/>
    <w:uiPriority w:val="99"/>
    <w:semiHidden/>
    <w:rsid w:val="0041105F"/>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9D7C0B"/>
    <w:rPr>
      <w:sz w:val="16"/>
      <w:szCs w:val="16"/>
    </w:rPr>
  </w:style>
  <w:style w:type="paragraph" w:styleId="ListParagraph">
    <w:name w:val="List Paragraph"/>
    <w:basedOn w:val="Normal"/>
    <w:uiPriority w:val="34"/>
    <w:qFormat/>
    <w:rsid w:val="00337991"/>
    <w:pPr>
      <w:ind w:left="720"/>
      <w:contextualSpacing/>
    </w:pPr>
  </w:style>
  <w:style w:type="character" w:styleId="FollowedHyperlink">
    <w:name w:val="FollowedHyperlink"/>
    <w:basedOn w:val="DefaultParagraphFont"/>
    <w:uiPriority w:val="99"/>
    <w:semiHidden/>
    <w:unhideWhenUsed/>
    <w:rsid w:val="00CB2E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06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bio.onlinelibrary.wiley.com/doi/full/10.1111/conl.12778" TargetMode="External"/><Relationship Id="rId18" Type="http://schemas.openxmlformats.org/officeDocument/2006/relationships/hyperlink" Target="https://www.biorxiv.org/content/10.1101/2020.11.02.365031v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portals.iucn.org/library/node/47739" TargetMode="External"/><Relationship Id="rId17" Type="http://schemas.openxmlformats.org/officeDocument/2006/relationships/hyperlink" Target="https://redd-monitor.org/2021/01/06/open-letter-to-the-lead-authors-of-protecting-30-of-the-planet-for-nature-this-paper-reads-to-us-like-a-proposal-for-a-new-model-of-colonialism/" TargetMode="External"/><Relationship Id="rId2" Type="http://schemas.openxmlformats.org/officeDocument/2006/relationships/customXml" Target="../customXml/item2.xml"/><Relationship Id="rId16" Type="http://schemas.openxmlformats.org/officeDocument/2006/relationships/hyperlink" Target="https://www.biorxiv.org/content/10.1101/2021.03.03.433783v1" TargetMode="Externa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bio.onlinelibrary.wiley.com/doi/full/10.1111/conl.12778" TargetMode="External"/><Relationship Id="rId5" Type="http://schemas.openxmlformats.org/officeDocument/2006/relationships/styles" Target="styles.xml"/><Relationship Id="rId15" Type="http://schemas.openxmlformats.org/officeDocument/2006/relationships/hyperlink" Target="https://conbio.onlinelibrary.wiley.com/doi/full/10.1111/conl.12778" TargetMode="External"/><Relationship Id="rId10" Type="http://schemas.openxmlformats.org/officeDocument/2006/relationships/hyperlink" Target="https://livingplanet.panda.org/en-gb/" TargetMode="External"/><Relationship Id="rId19" Type="http://schemas.openxmlformats.org/officeDocument/2006/relationships/hyperlink" Target="https://www.biorxiv.org/content/10.1101/2020.11.04.367763v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iorxiv.org/content/10.1101/2021.03.03.433783v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Michael Hoffmann</cp:lastModifiedBy>
  <cp:revision>26</cp:revision>
  <dcterms:created xsi:type="dcterms:W3CDTF">2021-03-15T17:32:00Z</dcterms:created>
  <dcterms:modified xsi:type="dcterms:W3CDTF">2021-03-17T09:44:00Z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