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4C82" w14:textId="77777777" w:rsidR="00AA726F" w:rsidRDefault="00AA726F" w:rsidP="00E034BA">
      <w:pPr>
        <w:ind w:right="44"/>
        <w:jc w:val="both"/>
        <w:rPr>
          <w:sz w:val="22"/>
          <w:szCs w:val="22"/>
          <w:lang w:val="fr-FR"/>
        </w:rPr>
      </w:pPr>
      <w:bookmarkStart w:id="0" w:name="_GoBack"/>
      <w:bookmarkEnd w:id="0"/>
    </w:p>
    <w:p w14:paraId="07FDD6EB"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302AB7FC" w14:textId="77777777" w:rsidR="00AA726F" w:rsidRDefault="00AA726F" w:rsidP="00DB71FC">
      <w:pPr>
        <w:ind w:left="360"/>
        <w:jc w:val="both"/>
        <w:rPr>
          <w:sz w:val="22"/>
          <w:szCs w:val="22"/>
        </w:rPr>
      </w:pPr>
    </w:p>
    <w:p w14:paraId="71E10461" w14:textId="77777777" w:rsidR="00AA726F" w:rsidRDefault="00AA726F" w:rsidP="00750EDF">
      <w:pPr>
        <w:pStyle w:val="Heading2"/>
        <w:numPr>
          <w:ilvl w:val="0"/>
          <w:numId w:val="3"/>
        </w:numPr>
        <w:jc w:val="center"/>
        <w:rPr>
          <w:rFonts w:ascii="Times New Roman" w:hAnsi="Times New Roman" w:cs="Times New Roman"/>
          <w:sz w:val="22"/>
          <w:szCs w:val="22"/>
        </w:rPr>
      </w:pPr>
      <w:bookmarkStart w:id="1" w:name="_Hlk43493158"/>
      <w:r w:rsidRPr="004F1EB4">
        <w:rPr>
          <w:rFonts w:ascii="Times New Roman" w:hAnsi="Times New Roman" w:cs="Times New Roman"/>
          <w:sz w:val="22"/>
          <w:szCs w:val="22"/>
        </w:rPr>
        <w:t>Background</w:t>
      </w:r>
    </w:p>
    <w:bookmarkEnd w:id="1"/>
    <w:p w14:paraId="6071E22A" w14:textId="77777777" w:rsidR="00750EDF" w:rsidRDefault="00750EDF" w:rsidP="00750EDF"/>
    <w:p w14:paraId="0BFE58E0" w14:textId="77777777"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37A44744" w14:textId="77777777"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344ED6E4"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4F96C4D7" w14:textId="77777777" w:rsidR="00A2000C" w:rsidRDefault="00A2000C" w:rsidP="00CB6CB9">
      <w:pPr>
        <w:tabs>
          <w:tab w:val="left" w:pos="720"/>
        </w:tabs>
        <w:ind w:left="360"/>
        <w:jc w:val="both"/>
        <w:rPr>
          <w:sz w:val="22"/>
          <w:szCs w:val="22"/>
        </w:rPr>
      </w:pPr>
    </w:p>
    <w:p w14:paraId="660A480A" w14:textId="77777777" w:rsidR="00AA726F" w:rsidRDefault="00AA726F" w:rsidP="00DB71FC">
      <w:pPr>
        <w:numPr>
          <w:ilvl w:val="0"/>
          <w:numId w:val="2"/>
        </w:numPr>
        <w:tabs>
          <w:tab w:val="left" w:pos="720"/>
        </w:tabs>
        <w:ind w:left="360" w:firstLine="0"/>
        <w:jc w:val="both"/>
        <w:rPr>
          <w:sz w:val="22"/>
          <w:szCs w:val="22"/>
        </w:rPr>
      </w:pPr>
      <w:bookmarkStart w:id="2"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8"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2"/>
    <w:p w14:paraId="337AA2F7" w14:textId="77777777" w:rsidR="00AA726F" w:rsidRDefault="00AA726F" w:rsidP="00DD3897">
      <w:pPr>
        <w:tabs>
          <w:tab w:val="left" w:pos="720"/>
        </w:tabs>
        <w:ind w:left="360"/>
        <w:jc w:val="both"/>
        <w:rPr>
          <w:sz w:val="22"/>
          <w:szCs w:val="22"/>
        </w:rPr>
      </w:pPr>
    </w:p>
    <w:p w14:paraId="02CAB6D3"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35D46F01" w14:textId="77777777" w:rsidR="00AA726F" w:rsidRPr="00293F53" w:rsidRDefault="00AA726F" w:rsidP="00DB71FC">
      <w:pPr>
        <w:ind w:left="1080"/>
        <w:jc w:val="both"/>
        <w:rPr>
          <w:sz w:val="22"/>
          <w:szCs w:val="22"/>
        </w:rPr>
      </w:pPr>
    </w:p>
    <w:p w14:paraId="31B3559B"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47E7D66D" w14:textId="77777777" w:rsidR="00AA726F" w:rsidRPr="00293F53" w:rsidRDefault="00AA726F" w:rsidP="00DB71FC">
      <w:pPr>
        <w:ind w:left="1080"/>
        <w:jc w:val="both"/>
        <w:rPr>
          <w:sz w:val="22"/>
          <w:szCs w:val="22"/>
        </w:rPr>
      </w:pPr>
    </w:p>
    <w:p w14:paraId="2419F981"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13857E8A" w14:textId="77777777" w:rsidR="00AA726F" w:rsidRPr="00293F53" w:rsidRDefault="00AA726F" w:rsidP="00DB71FC">
      <w:pPr>
        <w:jc w:val="both"/>
        <w:rPr>
          <w:sz w:val="22"/>
          <w:szCs w:val="22"/>
        </w:rPr>
      </w:pPr>
    </w:p>
    <w:p w14:paraId="03544236"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527CCF6F" w14:textId="77777777" w:rsidR="00AA726F" w:rsidRPr="00293F53" w:rsidRDefault="00AA726F" w:rsidP="00DB71FC">
      <w:pPr>
        <w:jc w:val="both"/>
        <w:rPr>
          <w:sz w:val="22"/>
          <w:szCs w:val="22"/>
        </w:rPr>
      </w:pPr>
    </w:p>
    <w:p w14:paraId="192EA98C"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2E2B30A2" w14:textId="77777777" w:rsidR="00AA726F" w:rsidRPr="00293F53" w:rsidRDefault="00AA726F" w:rsidP="00DB71FC">
      <w:pPr>
        <w:jc w:val="both"/>
        <w:rPr>
          <w:sz w:val="22"/>
          <w:szCs w:val="22"/>
        </w:rPr>
      </w:pPr>
    </w:p>
    <w:p w14:paraId="49F58959"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6BA2F4A5" w14:textId="77777777" w:rsidR="00AA726F" w:rsidRPr="00293F53" w:rsidRDefault="00AA726F" w:rsidP="00DB71FC">
      <w:pPr>
        <w:jc w:val="both"/>
        <w:rPr>
          <w:sz w:val="22"/>
          <w:szCs w:val="22"/>
        </w:rPr>
      </w:pPr>
    </w:p>
    <w:p w14:paraId="65904B8F" w14:textId="77777777" w:rsidR="00750EDF" w:rsidRPr="0035529C" w:rsidRDefault="00750EDF" w:rsidP="0035529C">
      <w:pPr>
        <w:numPr>
          <w:ilvl w:val="1"/>
          <w:numId w:val="2"/>
        </w:numPr>
        <w:jc w:val="both"/>
        <w:rPr>
          <w:sz w:val="22"/>
          <w:szCs w:val="22"/>
        </w:rPr>
      </w:pPr>
      <w:r>
        <w:rPr>
          <w:sz w:val="22"/>
          <w:szCs w:val="22"/>
        </w:rPr>
        <w:t xml:space="preserve">Please focus your comments on columns </w:t>
      </w:r>
      <w:r w:rsidR="0035529C" w:rsidRPr="0035529C">
        <w:rPr>
          <w:sz w:val="22"/>
          <w:szCs w:val="22"/>
        </w:rPr>
        <w:t>A (components the draft goals and targets), B</w:t>
      </w:r>
      <w:r w:rsidRPr="0035529C">
        <w:rPr>
          <w:sz w:val="22"/>
          <w:szCs w:val="22"/>
        </w:rPr>
        <w:t xml:space="preserve"> (monitoring elements), </w:t>
      </w:r>
      <w:r w:rsidR="0035529C" w:rsidRPr="0035529C">
        <w:rPr>
          <w:sz w:val="22"/>
          <w:szCs w:val="22"/>
        </w:rPr>
        <w:t>C</w:t>
      </w:r>
      <w:r w:rsidRPr="0035529C">
        <w:rPr>
          <w:sz w:val="22"/>
          <w:szCs w:val="22"/>
        </w:rPr>
        <w:t xml:space="preserve"> (indicators)</w:t>
      </w:r>
      <w:r w:rsidR="0035529C" w:rsidRPr="0035529C">
        <w:rPr>
          <w:sz w:val="22"/>
          <w:szCs w:val="22"/>
        </w:rPr>
        <w:t xml:space="preserve"> and D</w:t>
      </w:r>
      <w:r w:rsidRPr="0035529C">
        <w:rPr>
          <w:sz w:val="22"/>
          <w:szCs w:val="22"/>
        </w:rPr>
        <w:t xml:space="preserve"> (</w:t>
      </w:r>
      <w:r w:rsidR="0035529C">
        <w:rPr>
          <w:sz w:val="22"/>
          <w:szCs w:val="22"/>
        </w:rPr>
        <w:t>i</w:t>
      </w:r>
      <w:r w:rsidRPr="0035529C">
        <w:rPr>
          <w:sz w:val="22"/>
          <w:szCs w:val="22"/>
        </w:rPr>
        <w:t xml:space="preserve">ndicator baseline year and frequency of updates) of tables 1 and 2. </w:t>
      </w:r>
    </w:p>
    <w:p w14:paraId="6BAFA342" w14:textId="77777777" w:rsidR="00750EDF" w:rsidRDefault="00750EDF" w:rsidP="00750EDF">
      <w:pPr>
        <w:pStyle w:val="ListParagraph"/>
        <w:rPr>
          <w:sz w:val="22"/>
          <w:szCs w:val="22"/>
        </w:rPr>
      </w:pPr>
    </w:p>
    <w:p w14:paraId="4C1713E9" w14:textId="77777777" w:rsidR="00AA726F" w:rsidRDefault="00AA726F" w:rsidP="00DB71FC">
      <w:pPr>
        <w:numPr>
          <w:ilvl w:val="1"/>
          <w:numId w:val="2"/>
        </w:numPr>
        <w:jc w:val="both"/>
        <w:rPr>
          <w:sz w:val="22"/>
          <w:szCs w:val="22"/>
        </w:rPr>
      </w:pPr>
      <w:r w:rsidRPr="00293F53">
        <w:rPr>
          <w:sz w:val="22"/>
          <w:szCs w:val="22"/>
        </w:rPr>
        <w:lastRenderedPageBreak/>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2C63B214" w14:textId="77777777" w:rsidR="00750EDF" w:rsidRDefault="00750EDF" w:rsidP="00750EDF">
      <w:pPr>
        <w:pStyle w:val="ListParagraph"/>
        <w:rPr>
          <w:sz w:val="22"/>
          <w:szCs w:val="22"/>
        </w:rPr>
      </w:pPr>
    </w:p>
    <w:p w14:paraId="07B37A58"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2"/>
      </w:r>
      <w:r>
        <w:rPr>
          <w:sz w:val="22"/>
          <w:szCs w:val="22"/>
        </w:rPr>
        <w:t xml:space="preserve"> for the post-2020 global biodiversity framework in the interests of transparency</w:t>
      </w:r>
    </w:p>
    <w:p w14:paraId="0B69239D" w14:textId="77777777" w:rsidR="00AA726F" w:rsidRPr="00293F53" w:rsidRDefault="00AA726F" w:rsidP="00DB71FC">
      <w:pPr>
        <w:ind w:left="360"/>
        <w:jc w:val="both"/>
        <w:rPr>
          <w:sz w:val="22"/>
          <w:szCs w:val="22"/>
        </w:rPr>
      </w:pPr>
    </w:p>
    <w:p w14:paraId="5B8806DD"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9" w:history="1">
        <w:r w:rsidR="00642AC0" w:rsidRPr="00F76DDF">
          <w:rPr>
            <w:rStyle w:val="Hyperlink"/>
          </w:rPr>
          <w:t>secretariat@cbd.int</w:t>
        </w:r>
      </w:hyperlink>
      <w:r w:rsidR="00642AC0">
        <w:t xml:space="preserve">. </w:t>
      </w:r>
      <w:r w:rsidRPr="00293F53">
        <w:rPr>
          <w:sz w:val="22"/>
          <w:szCs w:val="22"/>
        </w:rPr>
        <w:t xml:space="preserve"> </w:t>
      </w:r>
    </w:p>
    <w:p w14:paraId="0C7C3B68" w14:textId="77777777" w:rsidR="00AA726F" w:rsidRPr="00293F53" w:rsidRDefault="00AA726F" w:rsidP="00DB71FC">
      <w:pPr>
        <w:pStyle w:val="Default"/>
        <w:ind w:left="360"/>
        <w:jc w:val="center"/>
        <w:rPr>
          <w:b/>
          <w:i/>
          <w:sz w:val="22"/>
          <w:szCs w:val="22"/>
          <w:u w:val="single"/>
        </w:rPr>
      </w:pPr>
    </w:p>
    <w:p w14:paraId="14FFC692" w14:textId="77777777" w:rsidR="00A2000C" w:rsidRDefault="00A2000C" w:rsidP="00A2000C">
      <w:pPr>
        <w:pStyle w:val="Default"/>
        <w:ind w:left="360"/>
        <w:jc w:val="center"/>
        <w:rPr>
          <w:b/>
          <w:i/>
          <w:sz w:val="22"/>
          <w:szCs w:val="22"/>
          <w:u w:val="single"/>
        </w:rPr>
      </w:pPr>
    </w:p>
    <w:p w14:paraId="337194F3"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276BF3D0" w14:textId="77777777" w:rsidR="00A2000C" w:rsidRDefault="00A2000C" w:rsidP="00A2000C">
      <w:pPr>
        <w:pStyle w:val="Default"/>
        <w:ind w:left="360"/>
        <w:jc w:val="both"/>
        <w:rPr>
          <w:sz w:val="22"/>
          <w:szCs w:val="22"/>
        </w:rPr>
      </w:pPr>
    </w:p>
    <w:p w14:paraId="73753B9D"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737CFA0E" w14:textId="77777777" w:rsidR="00AA726F" w:rsidRPr="00293F53" w:rsidRDefault="00AA726F" w:rsidP="00DB71FC">
      <w:pPr>
        <w:jc w:val="both"/>
        <w:rPr>
          <w:sz w:val="22"/>
          <w:szCs w:val="22"/>
        </w:rPr>
      </w:pPr>
    </w:p>
    <w:p w14:paraId="1C91ED64"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254CC403" w14:textId="77777777" w:rsidR="00EC787C" w:rsidRDefault="00EC787C" w:rsidP="00EC787C">
      <w:pPr>
        <w:pStyle w:val="ListParagraph"/>
        <w:rPr>
          <w:sz w:val="22"/>
          <w:szCs w:val="22"/>
        </w:rPr>
      </w:pPr>
    </w:p>
    <w:p w14:paraId="0D0860CA" w14:textId="77777777" w:rsidR="00624FAA" w:rsidRDefault="00624FAA" w:rsidP="005D2E65">
      <w:pPr>
        <w:pStyle w:val="Default"/>
        <w:jc w:val="center"/>
        <w:rPr>
          <w:b/>
          <w:sz w:val="22"/>
          <w:szCs w:val="22"/>
          <w:u w:val="single"/>
        </w:rPr>
      </w:pPr>
      <w:r>
        <w:rPr>
          <w:b/>
          <w:sz w:val="22"/>
          <w:szCs w:val="22"/>
          <w:u w:val="single"/>
        </w:rPr>
        <w:t>TEMPLATE FOR COMMENTS</w:t>
      </w:r>
    </w:p>
    <w:p w14:paraId="1575D39E"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21594944" w14:textId="77777777" w:rsidTr="005D2E65">
        <w:trPr>
          <w:trHeight w:val="242"/>
        </w:trPr>
        <w:tc>
          <w:tcPr>
            <w:tcW w:w="9606" w:type="dxa"/>
            <w:gridSpan w:val="6"/>
          </w:tcPr>
          <w:p w14:paraId="64440AA5"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694FFA7A" w14:textId="77777777" w:rsidTr="005D2E65">
        <w:trPr>
          <w:trHeight w:val="233"/>
        </w:trPr>
        <w:tc>
          <w:tcPr>
            <w:tcW w:w="9606" w:type="dxa"/>
            <w:gridSpan w:val="6"/>
            <w:shd w:val="clear" w:color="auto" w:fill="C0C0C0"/>
          </w:tcPr>
          <w:p w14:paraId="795C69B3" w14:textId="77777777" w:rsidR="005D2E65" w:rsidRPr="000C0B6C" w:rsidRDefault="005D2E65" w:rsidP="00690111">
            <w:pPr>
              <w:jc w:val="center"/>
              <w:rPr>
                <w:i/>
              </w:rPr>
            </w:pPr>
            <w:r w:rsidRPr="000C0B6C">
              <w:rPr>
                <w:i/>
              </w:rPr>
              <w:t>Contact information</w:t>
            </w:r>
          </w:p>
        </w:tc>
      </w:tr>
      <w:tr w:rsidR="005D2E65" w:rsidRPr="000C0B6C" w14:paraId="0C83FCBB" w14:textId="77777777" w:rsidTr="005D2E65">
        <w:trPr>
          <w:trHeight w:val="270"/>
        </w:trPr>
        <w:tc>
          <w:tcPr>
            <w:tcW w:w="2802" w:type="dxa"/>
            <w:gridSpan w:val="4"/>
          </w:tcPr>
          <w:p w14:paraId="3C48FD4D"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572A4ACA" w14:textId="584FF0B2" w:rsidR="005D2E65" w:rsidRPr="000C0B6C" w:rsidRDefault="005D3F78" w:rsidP="00690111">
            <w:r>
              <w:t>Mistry</w:t>
            </w:r>
          </w:p>
        </w:tc>
      </w:tr>
      <w:tr w:rsidR="005D2E65" w:rsidRPr="000C0B6C" w14:paraId="1DCDFD8D" w14:textId="77777777" w:rsidTr="005D2E65">
        <w:trPr>
          <w:trHeight w:val="270"/>
        </w:trPr>
        <w:tc>
          <w:tcPr>
            <w:tcW w:w="2802" w:type="dxa"/>
            <w:gridSpan w:val="4"/>
          </w:tcPr>
          <w:p w14:paraId="3E83412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4C66C630" w14:textId="43A4D8EF" w:rsidR="005D2E65" w:rsidRPr="000C0B6C" w:rsidRDefault="005D3F78" w:rsidP="00690111">
            <w:r>
              <w:t>Jayalaxshmi</w:t>
            </w:r>
          </w:p>
        </w:tc>
      </w:tr>
      <w:tr w:rsidR="005D2E65" w:rsidRPr="000C0B6C" w14:paraId="5B756D8C" w14:textId="77777777" w:rsidTr="005D2E65">
        <w:trPr>
          <w:trHeight w:val="280"/>
        </w:trPr>
        <w:tc>
          <w:tcPr>
            <w:tcW w:w="2802" w:type="dxa"/>
            <w:gridSpan w:val="4"/>
          </w:tcPr>
          <w:p w14:paraId="0284C319"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3A3D4463" w14:textId="77777777" w:rsidR="005D2E65" w:rsidRPr="000C0B6C" w:rsidRDefault="005D2E65" w:rsidP="00690111"/>
        </w:tc>
      </w:tr>
      <w:tr w:rsidR="005D2E65" w:rsidRPr="000C0B6C" w14:paraId="2B6CD56B" w14:textId="77777777" w:rsidTr="005D2E65">
        <w:trPr>
          <w:trHeight w:val="270"/>
        </w:trPr>
        <w:tc>
          <w:tcPr>
            <w:tcW w:w="2802" w:type="dxa"/>
            <w:gridSpan w:val="4"/>
          </w:tcPr>
          <w:p w14:paraId="42F86DB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4F953DB3" w14:textId="46A2B185" w:rsidR="005D2E65" w:rsidRPr="000C0B6C" w:rsidRDefault="005D3F78" w:rsidP="00690111">
            <w:r>
              <w:t>Royal Holloway University of London</w:t>
            </w:r>
          </w:p>
        </w:tc>
      </w:tr>
      <w:tr w:rsidR="005D2E65" w:rsidRPr="000C0B6C" w14:paraId="5092F7B8" w14:textId="77777777" w:rsidTr="005D2E65">
        <w:trPr>
          <w:trHeight w:val="280"/>
        </w:trPr>
        <w:tc>
          <w:tcPr>
            <w:tcW w:w="2802" w:type="dxa"/>
            <w:gridSpan w:val="4"/>
          </w:tcPr>
          <w:p w14:paraId="0944381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1928E2D6" w14:textId="7ABA8B55" w:rsidR="005D2E65" w:rsidRPr="000C0B6C" w:rsidRDefault="005D3F78" w:rsidP="00690111">
            <w:r>
              <w:t>Department of Geography</w:t>
            </w:r>
          </w:p>
        </w:tc>
      </w:tr>
      <w:tr w:rsidR="005D2E65" w:rsidRPr="000C0B6C" w14:paraId="7911C9FF" w14:textId="77777777" w:rsidTr="005D2E65">
        <w:trPr>
          <w:trHeight w:val="270"/>
        </w:trPr>
        <w:tc>
          <w:tcPr>
            <w:tcW w:w="2802" w:type="dxa"/>
            <w:gridSpan w:val="4"/>
          </w:tcPr>
          <w:p w14:paraId="31362EB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06AB6A18" w14:textId="3F4577A5" w:rsidR="005D2E65" w:rsidRPr="000C0B6C" w:rsidRDefault="005D3F78" w:rsidP="00690111">
            <w:r>
              <w:t>Egham</w:t>
            </w:r>
          </w:p>
        </w:tc>
      </w:tr>
      <w:tr w:rsidR="005D2E65" w:rsidRPr="000C0B6C" w14:paraId="2F2786F7" w14:textId="77777777" w:rsidTr="005D2E65">
        <w:trPr>
          <w:trHeight w:val="280"/>
        </w:trPr>
        <w:tc>
          <w:tcPr>
            <w:tcW w:w="2802" w:type="dxa"/>
            <w:gridSpan w:val="4"/>
          </w:tcPr>
          <w:p w14:paraId="3A7F2D1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3BF13268" w14:textId="2A6672CA" w:rsidR="005D2E65" w:rsidRPr="000C0B6C" w:rsidRDefault="005D3F78" w:rsidP="00690111">
            <w:r>
              <w:t>United Kingdom</w:t>
            </w:r>
          </w:p>
        </w:tc>
      </w:tr>
      <w:tr w:rsidR="005D2E65" w:rsidRPr="000C0B6C" w14:paraId="0ECA7138" w14:textId="77777777" w:rsidTr="005D2E65">
        <w:trPr>
          <w:trHeight w:val="233"/>
        </w:trPr>
        <w:tc>
          <w:tcPr>
            <w:tcW w:w="2802" w:type="dxa"/>
            <w:gridSpan w:val="4"/>
          </w:tcPr>
          <w:p w14:paraId="1A717AA3"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0E7A8EF1" w14:textId="02A50E29" w:rsidR="005D2E65" w:rsidRPr="000C0B6C" w:rsidRDefault="005D3F78" w:rsidP="00690111">
            <w:r>
              <w:t>j.mistry@rhul.ac.uk</w:t>
            </w:r>
          </w:p>
        </w:tc>
      </w:tr>
      <w:tr w:rsidR="004F0B61" w:rsidRPr="000C0B6C" w14:paraId="7770DD7F" w14:textId="77777777" w:rsidTr="00796A1A">
        <w:trPr>
          <w:trHeight w:val="224"/>
        </w:trPr>
        <w:tc>
          <w:tcPr>
            <w:tcW w:w="9606" w:type="dxa"/>
            <w:gridSpan w:val="6"/>
            <w:shd w:val="clear" w:color="auto" w:fill="C0C0C0"/>
          </w:tcPr>
          <w:p w14:paraId="076637A1" w14:textId="77777777" w:rsidR="004F0B61" w:rsidRPr="000C0B6C" w:rsidRDefault="004F0B61" w:rsidP="00690111">
            <w:pPr>
              <w:jc w:val="center"/>
              <w:rPr>
                <w:b/>
                <w:i/>
              </w:rPr>
            </w:pPr>
            <w:r>
              <w:rPr>
                <w:b/>
                <w:i/>
                <w:highlight w:val="lightGray"/>
              </w:rPr>
              <w:t xml:space="preserve">General </w:t>
            </w:r>
            <w:r w:rsidRPr="000C0B6C">
              <w:rPr>
                <w:b/>
                <w:i/>
                <w:highlight w:val="lightGray"/>
              </w:rPr>
              <w:t>Comments</w:t>
            </w:r>
          </w:p>
        </w:tc>
      </w:tr>
      <w:tr w:rsidR="004F0B61" w:rsidRPr="000C0B6C" w14:paraId="34D8A699" w14:textId="77777777" w:rsidTr="00796A1A">
        <w:trPr>
          <w:trHeight w:val="224"/>
        </w:trPr>
        <w:tc>
          <w:tcPr>
            <w:tcW w:w="9606" w:type="dxa"/>
            <w:gridSpan w:val="6"/>
          </w:tcPr>
          <w:p w14:paraId="3FEE5250" w14:textId="01D7F032" w:rsidR="004F0B61" w:rsidRPr="008C4B6B" w:rsidRDefault="004F0B61" w:rsidP="00690111">
            <w:pPr>
              <w:rPr>
                <w:bCs/>
                <w:sz w:val="22"/>
                <w:szCs w:val="22"/>
              </w:rPr>
            </w:pPr>
          </w:p>
        </w:tc>
      </w:tr>
      <w:tr w:rsidR="004F0B61" w:rsidRPr="000C0B6C" w14:paraId="0EF5DCF0" w14:textId="77777777" w:rsidTr="00796A1A">
        <w:trPr>
          <w:trHeight w:val="224"/>
        </w:trPr>
        <w:tc>
          <w:tcPr>
            <w:tcW w:w="9606" w:type="dxa"/>
            <w:gridSpan w:val="6"/>
          </w:tcPr>
          <w:p w14:paraId="767C05C2" w14:textId="77777777" w:rsidR="004F0B61" w:rsidRPr="000C0B6C" w:rsidRDefault="004F0B61" w:rsidP="00690111">
            <w:pPr>
              <w:rPr>
                <w:b/>
                <w:sz w:val="22"/>
                <w:szCs w:val="22"/>
              </w:rPr>
            </w:pPr>
          </w:p>
        </w:tc>
      </w:tr>
      <w:tr w:rsidR="004F0B61" w:rsidRPr="000C0B6C" w14:paraId="1E0F6C34" w14:textId="77777777" w:rsidTr="00796A1A">
        <w:trPr>
          <w:trHeight w:val="224"/>
        </w:trPr>
        <w:tc>
          <w:tcPr>
            <w:tcW w:w="9606" w:type="dxa"/>
            <w:gridSpan w:val="6"/>
          </w:tcPr>
          <w:p w14:paraId="0929A79A" w14:textId="54266011" w:rsidR="004F0B61" w:rsidRPr="00250C40" w:rsidRDefault="004F0B61" w:rsidP="00690111">
            <w:pPr>
              <w:rPr>
                <w:sz w:val="22"/>
                <w:szCs w:val="22"/>
              </w:rPr>
            </w:pPr>
          </w:p>
        </w:tc>
      </w:tr>
      <w:tr w:rsidR="004F0B61" w:rsidRPr="000C0B6C" w14:paraId="112ECAC0" w14:textId="77777777" w:rsidTr="00796A1A">
        <w:trPr>
          <w:trHeight w:val="224"/>
        </w:trPr>
        <w:tc>
          <w:tcPr>
            <w:tcW w:w="9606" w:type="dxa"/>
            <w:gridSpan w:val="6"/>
          </w:tcPr>
          <w:p w14:paraId="50B6D5A4" w14:textId="77777777" w:rsidR="004F0B61" w:rsidRPr="000C0B6C" w:rsidRDefault="004F0B61" w:rsidP="00690111">
            <w:pPr>
              <w:rPr>
                <w:b/>
                <w:sz w:val="22"/>
                <w:szCs w:val="22"/>
              </w:rPr>
            </w:pPr>
          </w:p>
        </w:tc>
      </w:tr>
      <w:tr w:rsidR="004F0B61" w:rsidRPr="000C0B6C" w14:paraId="5F54593E" w14:textId="77777777" w:rsidTr="00796A1A">
        <w:trPr>
          <w:trHeight w:val="224"/>
        </w:trPr>
        <w:tc>
          <w:tcPr>
            <w:tcW w:w="9606" w:type="dxa"/>
            <w:gridSpan w:val="6"/>
          </w:tcPr>
          <w:p w14:paraId="4B24D6E1" w14:textId="5F4044F7" w:rsidR="004F0B61" w:rsidRPr="000C0B6C" w:rsidRDefault="004F0B61" w:rsidP="00690111">
            <w:pPr>
              <w:rPr>
                <w:b/>
                <w:sz w:val="22"/>
                <w:szCs w:val="22"/>
              </w:rPr>
            </w:pPr>
          </w:p>
        </w:tc>
      </w:tr>
      <w:tr w:rsidR="004F0B61" w:rsidRPr="000C0B6C" w14:paraId="42AEA7F9" w14:textId="77777777" w:rsidTr="00796A1A">
        <w:trPr>
          <w:trHeight w:val="224"/>
        </w:trPr>
        <w:tc>
          <w:tcPr>
            <w:tcW w:w="9606" w:type="dxa"/>
            <w:gridSpan w:val="6"/>
          </w:tcPr>
          <w:p w14:paraId="41F081C1" w14:textId="77777777" w:rsidR="004F0B61" w:rsidRPr="000C0B6C" w:rsidRDefault="004F0B61" w:rsidP="00690111">
            <w:pPr>
              <w:rPr>
                <w:b/>
                <w:sz w:val="22"/>
                <w:szCs w:val="22"/>
              </w:rPr>
            </w:pPr>
          </w:p>
        </w:tc>
      </w:tr>
      <w:tr w:rsidR="004F0B61" w:rsidRPr="000C0B6C" w14:paraId="53BA5920" w14:textId="77777777" w:rsidTr="00796A1A">
        <w:trPr>
          <w:trHeight w:val="224"/>
        </w:trPr>
        <w:tc>
          <w:tcPr>
            <w:tcW w:w="9606" w:type="dxa"/>
            <w:gridSpan w:val="6"/>
          </w:tcPr>
          <w:p w14:paraId="416ED3A6" w14:textId="77777777" w:rsidR="004F0B61" w:rsidRPr="000C0B6C" w:rsidRDefault="004F0B61" w:rsidP="00690111">
            <w:pPr>
              <w:rPr>
                <w:b/>
                <w:sz w:val="22"/>
                <w:szCs w:val="22"/>
              </w:rPr>
            </w:pPr>
          </w:p>
        </w:tc>
      </w:tr>
      <w:tr w:rsidR="004F0B61" w:rsidRPr="000C0B6C" w14:paraId="490FE1A0" w14:textId="77777777" w:rsidTr="00796A1A">
        <w:trPr>
          <w:trHeight w:val="224"/>
        </w:trPr>
        <w:tc>
          <w:tcPr>
            <w:tcW w:w="9606" w:type="dxa"/>
            <w:gridSpan w:val="6"/>
          </w:tcPr>
          <w:p w14:paraId="2EFA07F4" w14:textId="77777777" w:rsidR="004F0B61" w:rsidRPr="000C0B6C" w:rsidRDefault="004F0B61" w:rsidP="00690111">
            <w:pPr>
              <w:rPr>
                <w:b/>
                <w:sz w:val="22"/>
                <w:szCs w:val="22"/>
              </w:rPr>
            </w:pPr>
          </w:p>
        </w:tc>
      </w:tr>
      <w:tr w:rsidR="004F0B61" w:rsidRPr="000C0B6C" w14:paraId="62797C6C" w14:textId="77777777" w:rsidTr="00796A1A">
        <w:trPr>
          <w:trHeight w:val="224"/>
        </w:trPr>
        <w:tc>
          <w:tcPr>
            <w:tcW w:w="9606" w:type="dxa"/>
            <w:gridSpan w:val="6"/>
          </w:tcPr>
          <w:p w14:paraId="014F83A2" w14:textId="77777777" w:rsidR="004F0B61" w:rsidRPr="000C0B6C" w:rsidRDefault="004F0B61" w:rsidP="00690111">
            <w:pPr>
              <w:rPr>
                <w:b/>
                <w:sz w:val="22"/>
                <w:szCs w:val="22"/>
              </w:rPr>
            </w:pPr>
          </w:p>
        </w:tc>
      </w:tr>
      <w:tr w:rsidR="004F0B61" w:rsidRPr="000C0B6C" w14:paraId="4A814FCC" w14:textId="77777777" w:rsidTr="00796A1A">
        <w:trPr>
          <w:trHeight w:val="224"/>
        </w:trPr>
        <w:tc>
          <w:tcPr>
            <w:tcW w:w="9606" w:type="dxa"/>
            <w:gridSpan w:val="6"/>
          </w:tcPr>
          <w:p w14:paraId="69A71945" w14:textId="77777777" w:rsidR="004F0B61" w:rsidRPr="000C0B6C" w:rsidRDefault="004F0B61" w:rsidP="00690111">
            <w:pPr>
              <w:rPr>
                <w:b/>
                <w:sz w:val="22"/>
                <w:szCs w:val="22"/>
              </w:rPr>
            </w:pPr>
          </w:p>
        </w:tc>
      </w:tr>
      <w:tr w:rsidR="004F0B61" w:rsidRPr="000C0B6C" w14:paraId="52575199" w14:textId="77777777" w:rsidTr="00796A1A">
        <w:trPr>
          <w:trHeight w:val="224"/>
        </w:trPr>
        <w:tc>
          <w:tcPr>
            <w:tcW w:w="9606" w:type="dxa"/>
            <w:gridSpan w:val="6"/>
          </w:tcPr>
          <w:p w14:paraId="5DDF15E1" w14:textId="77777777" w:rsidR="004F0B61" w:rsidRPr="000C0B6C" w:rsidRDefault="004F0B61" w:rsidP="00690111">
            <w:pPr>
              <w:rPr>
                <w:b/>
                <w:sz w:val="22"/>
                <w:szCs w:val="22"/>
              </w:rPr>
            </w:pPr>
          </w:p>
        </w:tc>
      </w:tr>
      <w:tr w:rsidR="004F0B61" w:rsidRPr="000C0B6C" w14:paraId="52EDC5D0" w14:textId="77777777" w:rsidTr="00796A1A">
        <w:trPr>
          <w:trHeight w:val="224"/>
        </w:trPr>
        <w:tc>
          <w:tcPr>
            <w:tcW w:w="9606" w:type="dxa"/>
            <w:gridSpan w:val="6"/>
          </w:tcPr>
          <w:p w14:paraId="7AE233E5" w14:textId="77777777" w:rsidR="004F0B61" w:rsidRPr="000C0B6C" w:rsidRDefault="004F0B61" w:rsidP="00690111">
            <w:pPr>
              <w:rPr>
                <w:b/>
                <w:sz w:val="22"/>
                <w:szCs w:val="22"/>
              </w:rPr>
            </w:pPr>
          </w:p>
        </w:tc>
      </w:tr>
      <w:tr w:rsidR="004F0B61" w:rsidRPr="000C0B6C" w14:paraId="237D502A" w14:textId="77777777" w:rsidTr="00796A1A">
        <w:trPr>
          <w:trHeight w:val="224"/>
        </w:trPr>
        <w:tc>
          <w:tcPr>
            <w:tcW w:w="9606" w:type="dxa"/>
            <w:gridSpan w:val="6"/>
            <w:shd w:val="clear" w:color="auto" w:fill="C0C0C0"/>
          </w:tcPr>
          <w:p w14:paraId="06CA8C84" w14:textId="77777777" w:rsidR="004F0B61" w:rsidRPr="000C0B6C" w:rsidRDefault="004F0B61" w:rsidP="00796A1A">
            <w:pPr>
              <w:jc w:val="center"/>
              <w:rPr>
                <w:b/>
                <w:i/>
              </w:rPr>
            </w:pPr>
            <w:r>
              <w:rPr>
                <w:b/>
                <w:i/>
                <w:highlight w:val="lightGray"/>
              </w:rPr>
              <w:lastRenderedPageBreak/>
              <w:t xml:space="preserve">Specific </w:t>
            </w:r>
            <w:r w:rsidRPr="000C0B6C">
              <w:rPr>
                <w:b/>
                <w:i/>
                <w:highlight w:val="lightGray"/>
              </w:rPr>
              <w:t>Comments</w:t>
            </w:r>
          </w:p>
        </w:tc>
      </w:tr>
      <w:tr w:rsidR="005D2E65" w:rsidRPr="000C0B6C" w14:paraId="6B68E2D2" w14:textId="77777777" w:rsidTr="005D2E65">
        <w:trPr>
          <w:trHeight w:val="224"/>
        </w:trPr>
        <w:tc>
          <w:tcPr>
            <w:tcW w:w="817" w:type="dxa"/>
          </w:tcPr>
          <w:p w14:paraId="1979152E" w14:textId="77777777" w:rsidR="005D2E65" w:rsidRPr="000C0B6C" w:rsidRDefault="005D2E65" w:rsidP="00690111">
            <w:pPr>
              <w:rPr>
                <w:b/>
                <w:sz w:val="22"/>
                <w:szCs w:val="22"/>
              </w:rPr>
            </w:pPr>
            <w:r>
              <w:rPr>
                <w:b/>
                <w:sz w:val="22"/>
                <w:szCs w:val="22"/>
              </w:rPr>
              <w:t>Table</w:t>
            </w:r>
          </w:p>
        </w:tc>
        <w:tc>
          <w:tcPr>
            <w:tcW w:w="815" w:type="dxa"/>
          </w:tcPr>
          <w:p w14:paraId="552E48D9" w14:textId="77777777" w:rsidR="005D2E65" w:rsidRPr="000C0B6C" w:rsidRDefault="005D2E65" w:rsidP="00690111">
            <w:pPr>
              <w:rPr>
                <w:b/>
                <w:sz w:val="22"/>
                <w:szCs w:val="22"/>
              </w:rPr>
            </w:pPr>
            <w:r w:rsidRPr="000C0B6C">
              <w:rPr>
                <w:b/>
                <w:sz w:val="22"/>
                <w:szCs w:val="22"/>
              </w:rPr>
              <w:t>Page</w:t>
            </w:r>
          </w:p>
        </w:tc>
        <w:tc>
          <w:tcPr>
            <w:tcW w:w="974" w:type="dxa"/>
          </w:tcPr>
          <w:p w14:paraId="6BAD7D14" w14:textId="77777777" w:rsidR="005D2E65" w:rsidRPr="000C0B6C" w:rsidRDefault="005D2E65" w:rsidP="00690111">
            <w:pPr>
              <w:rPr>
                <w:b/>
              </w:rPr>
            </w:pPr>
            <w:r>
              <w:rPr>
                <w:b/>
                <w:sz w:val="22"/>
                <w:szCs w:val="22"/>
              </w:rPr>
              <w:t>Column letter</w:t>
            </w:r>
          </w:p>
        </w:tc>
        <w:tc>
          <w:tcPr>
            <w:tcW w:w="1215" w:type="dxa"/>
            <w:gridSpan w:val="2"/>
          </w:tcPr>
          <w:p w14:paraId="79A456B5" w14:textId="77777777" w:rsidR="005D2E65" w:rsidRPr="000C0B6C" w:rsidRDefault="005D2E65" w:rsidP="00211568">
            <w:pPr>
              <w:rPr>
                <w:b/>
              </w:rPr>
            </w:pPr>
            <w:r>
              <w:rPr>
                <w:b/>
              </w:rPr>
              <w:t>Row number</w:t>
            </w:r>
          </w:p>
        </w:tc>
        <w:tc>
          <w:tcPr>
            <w:tcW w:w="5785" w:type="dxa"/>
          </w:tcPr>
          <w:p w14:paraId="309F5411" w14:textId="77777777" w:rsidR="005D2E65" w:rsidRPr="000C0B6C" w:rsidRDefault="005D2E65" w:rsidP="00690111">
            <w:pPr>
              <w:rPr>
                <w:b/>
              </w:rPr>
            </w:pPr>
            <w:r w:rsidRPr="000C0B6C">
              <w:rPr>
                <w:b/>
                <w:sz w:val="22"/>
                <w:szCs w:val="22"/>
              </w:rPr>
              <w:t>Comment</w:t>
            </w:r>
          </w:p>
        </w:tc>
      </w:tr>
      <w:tr w:rsidR="005D2E65" w:rsidRPr="000C0B6C" w14:paraId="06EC8305" w14:textId="77777777" w:rsidTr="005D2E65">
        <w:trPr>
          <w:trHeight w:val="233"/>
        </w:trPr>
        <w:tc>
          <w:tcPr>
            <w:tcW w:w="817" w:type="dxa"/>
          </w:tcPr>
          <w:p w14:paraId="2146E956" w14:textId="77777777" w:rsidR="005D2E65" w:rsidRPr="000C0B6C" w:rsidRDefault="00871884" w:rsidP="005D2E65">
            <w:r>
              <w:t>1</w:t>
            </w:r>
          </w:p>
        </w:tc>
        <w:tc>
          <w:tcPr>
            <w:tcW w:w="815" w:type="dxa"/>
          </w:tcPr>
          <w:p w14:paraId="38725365" w14:textId="77777777" w:rsidR="005D2E65" w:rsidRPr="000C0B6C" w:rsidRDefault="00871884" w:rsidP="005D2E65">
            <w:r>
              <w:t>5</w:t>
            </w:r>
          </w:p>
        </w:tc>
        <w:tc>
          <w:tcPr>
            <w:tcW w:w="974" w:type="dxa"/>
          </w:tcPr>
          <w:p w14:paraId="14F62AA7" w14:textId="0BDF99A5" w:rsidR="005D2E65" w:rsidRPr="000C0B6C" w:rsidRDefault="009C21A2" w:rsidP="005D2E65">
            <w:r>
              <w:t>A</w:t>
            </w:r>
          </w:p>
        </w:tc>
        <w:tc>
          <w:tcPr>
            <w:tcW w:w="1215" w:type="dxa"/>
            <w:gridSpan w:val="2"/>
          </w:tcPr>
          <w:p w14:paraId="42CEFDCB" w14:textId="77777777" w:rsidR="005D2E65" w:rsidRPr="000C0B6C" w:rsidRDefault="004725FE" w:rsidP="005D2E65">
            <w:r>
              <w:t>68</w:t>
            </w:r>
          </w:p>
        </w:tc>
        <w:tc>
          <w:tcPr>
            <w:tcW w:w="5785" w:type="dxa"/>
          </w:tcPr>
          <w:p w14:paraId="6D27F084" w14:textId="27A40B69" w:rsidR="00FB59B7" w:rsidRDefault="009C21A2" w:rsidP="009C21A2">
            <w:pPr>
              <w:rPr>
                <w:sz w:val="22"/>
                <w:szCs w:val="22"/>
              </w:rPr>
            </w:pPr>
            <w:r>
              <w:rPr>
                <w:sz w:val="22"/>
                <w:szCs w:val="22"/>
              </w:rPr>
              <w:t>Suggesting rewording of B3 to:</w:t>
            </w:r>
            <w:r w:rsidR="004725FE">
              <w:rPr>
                <w:sz w:val="22"/>
                <w:szCs w:val="22"/>
              </w:rPr>
              <w:t xml:space="preserve"> </w:t>
            </w:r>
          </w:p>
          <w:p w14:paraId="3042F4C9" w14:textId="77777777" w:rsidR="00FB59B7" w:rsidRDefault="00FB59B7" w:rsidP="005D2E65">
            <w:pPr>
              <w:rPr>
                <w:sz w:val="22"/>
                <w:szCs w:val="22"/>
              </w:rPr>
            </w:pPr>
          </w:p>
          <w:p w14:paraId="4A760F0A" w14:textId="7CFC5E4B" w:rsidR="009C21A2" w:rsidRPr="000C0B6C" w:rsidRDefault="004725FE" w:rsidP="009C21A2">
            <w:r>
              <w:rPr>
                <w:sz w:val="22"/>
                <w:szCs w:val="22"/>
              </w:rPr>
              <w:t>Nature’s non-material contributions</w:t>
            </w:r>
            <w:r w:rsidR="00117FE0">
              <w:rPr>
                <w:sz w:val="22"/>
                <w:szCs w:val="22"/>
              </w:rPr>
              <w:t>,</w:t>
            </w:r>
            <w:r>
              <w:rPr>
                <w:sz w:val="22"/>
                <w:szCs w:val="22"/>
              </w:rPr>
              <w:t xml:space="preserve"> including </w:t>
            </w:r>
            <w:r w:rsidR="00117FE0">
              <w:rPr>
                <w:sz w:val="22"/>
                <w:szCs w:val="22"/>
              </w:rPr>
              <w:t>I</w:t>
            </w:r>
            <w:r>
              <w:rPr>
                <w:sz w:val="22"/>
                <w:szCs w:val="22"/>
              </w:rPr>
              <w:t xml:space="preserve">ndigenous and local communities, and cultural values for all </w:t>
            </w:r>
          </w:p>
          <w:p w14:paraId="6010FDFB" w14:textId="46A10859" w:rsidR="00B129C6" w:rsidRPr="000C0B6C" w:rsidRDefault="00B129C6" w:rsidP="005D2E65"/>
        </w:tc>
      </w:tr>
      <w:tr w:rsidR="005D2E65" w:rsidRPr="000C0B6C" w14:paraId="3D4998E8" w14:textId="77777777" w:rsidTr="005D2E65">
        <w:trPr>
          <w:trHeight w:val="224"/>
        </w:trPr>
        <w:tc>
          <w:tcPr>
            <w:tcW w:w="817" w:type="dxa"/>
          </w:tcPr>
          <w:p w14:paraId="06823534" w14:textId="77777777" w:rsidR="005D2E65" w:rsidRPr="000C0B6C" w:rsidRDefault="00A93515" w:rsidP="005D2E65">
            <w:r>
              <w:t>2</w:t>
            </w:r>
          </w:p>
        </w:tc>
        <w:tc>
          <w:tcPr>
            <w:tcW w:w="815" w:type="dxa"/>
          </w:tcPr>
          <w:p w14:paraId="4C3FB374" w14:textId="0452AB71" w:rsidR="005D2E65" w:rsidRPr="000C0B6C" w:rsidRDefault="00A93515" w:rsidP="005D2E65">
            <w:r>
              <w:t>2</w:t>
            </w:r>
            <w:r w:rsidR="00124FA1">
              <w:t>4</w:t>
            </w:r>
          </w:p>
        </w:tc>
        <w:tc>
          <w:tcPr>
            <w:tcW w:w="974" w:type="dxa"/>
          </w:tcPr>
          <w:p w14:paraId="42D43F62" w14:textId="3C2C4E14" w:rsidR="005D2E65" w:rsidRPr="000C0B6C" w:rsidRDefault="00124FA1" w:rsidP="005D2E65">
            <w:r>
              <w:t>B</w:t>
            </w:r>
          </w:p>
        </w:tc>
        <w:tc>
          <w:tcPr>
            <w:tcW w:w="1215" w:type="dxa"/>
            <w:gridSpan w:val="2"/>
          </w:tcPr>
          <w:p w14:paraId="63906F10" w14:textId="77777777" w:rsidR="005D2E65" w:rsidRPr="000C0B6C" w:rsidRDefault="00A93515" w:rsidP="005D2E65">
            <w:r>
              <w:t xml:space="preserve">150 </w:t>
            </w:r>
          </w:p>
        </w:tc>
        <w:tc>
          <w:tcPr>
            <w:tcW w:w="5785" w:type="dxa"/>
          </w:tcPr>
          <w:p w14:paraId="3CDB7508" w14:textId="492A674D" w:rsidR="00124FA1" w:rsidRPr="00CA574A" w:rsidRDefault="00124FA1" w:rsidP="00124FA1">
            <w:pPr>
              <w:rPr>
                <w:sz w:val="22"/>
                <w:szCs w:val="22"/>
              </w:rPr>
            </w:pPr>
            <w:r w:rsidRPr="00CA574A">
              <w:rPr>
                <w:sz w:val="22"/>
                <w:szCs w:val="22"/>
              </w:rPr>
              <w:t xml:space="preserve">Wording implies extraction of traditional knowledge. Suggesting potential rewording: </w:t>
            </w:r>
          </w:p>
          <w:p w14:paraId="4A258008" w14:textId="77777777" w:rsidR="00124FA1" w:rsidRPr="00CA574A" w:rsidRDefault="00124FA1" w:rsidP="00124FA1">
            <w:pPr>
              <w:autoSpaceDE w:val="0"/>
              <w:autoSpaceDN w:val="0"/>
              <w:adjustRightInd w:val="0"/>
              <w:rPr>
                <w:sz w:val="22"/>
                <w:szCs w:val="22"/>
              </w:rPr>
            </w:pPr>
          </w:p>
          <w:p w14:paraId="1BADA1BA" w14:textId="77777777" w:rsidR="00124FA1" w:rsidRPr="00CA574A" w:rsidRDefault="00124FA1" w:rsidP="00124FA1">
            <w:pPr>
              <w:autoSpaceDE w:val="0"/>
              <w:autoSpaceDN w:val="0"/>
              <w:adjustRightInd w:val="0"/>
              <w:rPr>
                <w:sz w:val="22"/>
                <w:szCs w:val="22"/>
              </w:rPr>
            </w:pPr>
            <w:r w:rsidRPr="00CA574A">
              <w:rPr>
                <w:sz w:val="22"/>
                <w:szCs w:val="22"/>
              </w:rPr>
              <w:t>Trends in use of traditional knowledge</w:t>
            </w:r>
          </w:p>
          <w:p w14:paraId="6F2228D8" w14:textId="4097BD97" w:rsidR="00124FA1" w:rsidRPr="00CA574A" w:rsidRDefault="00124FA1" w:rsidP="00124FA1">
            <w:pPr>
              <w:autoSpaceDE w:val="0"/>
              <w:autoSpaceDN w:val="0"/>
              <w:adjustRightInd w:val="0"/>
              <w:rPr>
                <w:sz w:val="22"/>
                <w:szCs w:val="22"/>
              </w:rPr>
            </w:pPr>
            <w:r w:rsidRPr="00CA574A">
              <w:rPr>
                <w:sz w:val="22"/>
                <w:szCs w:val="22"/>
              </w:rPr>
              <w:t>associated with genetic resources, that have been generated with free, prior and informed consent, and have direct benefits for traditional knowledge holders</w:t>
            </w:r>
          </w:p>
          <w:p w14:paraId="533898C5" w14:textId="55A52DD0" w:rsidR="005D2E65" w:rsidRPr="000C0B6C" w:rsidRDefault="005D2E65" w:rsidP="000E2664"/>
        </w:tc>
      </w:tr>
      <w:tr w:rsidR="005D2E65" w:rsidRPr="000C0B6C" w14:paraId="2573389A" w14:textId="77777777" w:rsidTr="005D2E65">
        <w:trPr>
          <w:trHeight w:val="224"/>
        </w:trPr>
        <w:tc>
          <w:tcPr>
            <w:tcW w:w="817" w:type="dxa"/>
          </w:tcPr>
          <w:p w14:paraId="4B7BBFDE" w14:textId="5E293D6D" w:rsidR="005D2E65" w:rsidRPr="000C0B6C" w:rsidRDefault="00124FA1" w:rsidP="005D2E65">
            <w:r>
              <w:t>2</w:t>
            </w:r>
          </w:p>
        </w:tc>
        <w:tc>
          <w:tcPr>
            <w:tcW w:w="815" w:type="dxa"/>
          </w:tcPr>
          <w:p w14:paraId="657C7B57" w14:textId="7287C8A4" w:rsidR="005D2E65" w:rsidRPr="000C0B6C" w:rsidRDefault="00124FA1" w:rsidP="005D2E65">
            <w:r>
              <w:t>25</w:t>
            </w:r>
          </w:p>
        </w:tc>
        <w:tc>
          <w:tcPr>
            <w:tcW w:w="974" w:type="dxa"/>
          </w:tcPr>
          <w:p w14:paraId="7394B4AF" w14:textId="77777777" w:rsidR="005D2E65" w:rsidRPr="000C0B6C" w:rsidRDefault="000E2664" w:rsidP="005D2E65">
            <w:r>
              <w:t>B</w:t>
            </w:r>
          </w:p>
        </w:tc>
        <w:tc>
          <w:tcPr>
            <w:tcW w:w="1215" w:type="dxa"/>
            <w:gridSpan w:val="2"/>
          </w:tcPr>
          <w:p w14:paraId="2AE495FC" w14:textId="19A15788" w:rsidR="005D2E65" w:rsidRPr="000C0B6C" w:rsidRDefault="000E2664" w:rsidP="005D2E65">
            <w:r>
              <w:t>151</w:t>
            </w:r>
          </w:p>
        </w:tc>
        <w:tc>
          <w:tcPr>
            <w:tcW w:w="5785" w:type="dxa"/>
          </w:tcPr>
          <w:p w14:paraId="319F1E5F" w14:textId="77777777" w:rsidR="00124FA1" w:rsidRPr="00CA574A" w:rsidRDefault="00124FA1" w:rsidP="00124FA1">
            <w:pPr>
              <w:rPr>
                <w:sz w:val="22"/>
                <w:szCs w:val="22"/>
              </w:rPr>
            </w:pPr>
            <w:r w:rsidRPr="00CA574A">
              <w:rPr>
                <w:sz w:val="22"/>
                <w:szCs w:val="22"/>
              </w:rPr>
              <w:t xml:space="preserve">Suggesting potential rewording: </w:t>
            </w:r>
          </w:p>
          <w:p w14:paraId="36C900FE" w14:textId="77777777" w:rsidR="000E2664" w:rsidRPr="00CA574A" w:rsidRDefault="000E2664" w:rsidP="000E2664">
            <w:pPr>
              <w:rPr>
                <w:sz w:val="22"/>
                <w:szCs w:val="22"/>
              </w:rPr>
            </w:pPr>
          </w:p>
          <w:p w14:paraId="5837D355" w14:textId="27423D03" w:rsidR="000E2664" w:rsidRPr="00CA574A" w:rsidRDefault="000E2664" w:rsidP="000E2664">
            <w:pPr>
              <w:autoSpaceDE w:val="0"/>
              <w:autoSpaceDN w:val="0"/>
              <w:adjustRightInd w:val="0"/>
              <w:rPr>
                <w:sz w:val="22"/>
                <w:szCs w:val="22"/>
              </w:rPr>
            </w:pPr>
            <w:r w:rsidRPr="00CA574A">
              <w:rPr>
                <w:sz w:val="22"/>
                <w:szCs w:val="22"/>
              </w:rPr>
              <w:t>Trends in benefits shared from the</w:t>
            </w:r>
          </w:p>
          <w:p w14:paraId="70B35385" w14:textId="77777777" w:rsidR="000E2664" w:rsidRPr="00CA574A" w:rsidRDefault="000E2664" w:rsidP="000E2664">
            <w:pPr>
              <w:autoSpaceDE w:val="0"/>
              <w:autoSpaceDN w:val="0"/>
              <w:adjustRightInd w:val="0"/>
              <w:rPr>
                <w:sz w:val="22"/>
                <w:szCs w:val="22"/>
              </w:rPr>
            </w:pPr>
            <w:r w:rsidRPr="00CA574A">
              <w:rPr>
                <w:sz w:val="22"/>
                <w:szCs w:val="22"/>
              </w:rPr>
              <w:t>use of traditional knowledge associated with</w:t>
            </w:r>
          </w:p>
          <w:p w14:paraId="5A121088" w14:textId="61B17549" w:rsidR="00560FBE" w:rsidRPr="00CA574A" w:rsidRDefault="000E2664" w:rsidP="00560FBE">
            <w:pPr>
              <w:autoSpaceDE w:val="0"/>
              <w:autoSpaceDN w:val="0"/>
              <w:adjustRightInd w:val="0"/>
              <w:rPr>
                <w:sz w:val="22"/>
                <w:szCs w:val="22"/>
              </w:rPr>
            </w:pPr>
            <w:r w:rsidRPr="00CA574A">
              <w:rPr>
                <w:sz w:val="22"/>
                <w:szCs w:val="22"/>
              </w:rPr>
              <w:t>genetic resources</w:t>
            </w:r>
            <w:r w:rsidR="00560FBE" w:rsidRPr="00CA574A">
              <w:rPr>
                <w:sz w:val="22"/>
                <w:szCs w:val="22"/>
              </w:rPr>
              <w:t xml:space="preserve">, that have been generated with free, prior and informed consent, </w:t>
            </w:r>
            <w:r w:rsidR="00124FA1" w:rsidRPr="00CA574A">
              <w:rPr>
                <w:sz w:val="22"/>
                <w:szCs w:val="22"/>
              </w:rPr>
              <w:t xml:space="preserve">and have direct benefits for traditional knowledge </w:t>
            </w:r>
            <w:r w:rsidR="00560FBE" w:rsidRPr="00CA574A">
              <w:rPr>
                <w:sz w:val="22"/>
                <w:szCs w:val="22"/>
              </w:rPr>
              <w:t>holders</w:t>
            </w:r>
          </w:p>
          <w:p w14:paraId="2A9807E2" w14:textId="6791A920" w:rsidR="000E2664" w:rsidRPr="000C0B6C" w:rsidRDefault="000E2664" w:rsidP="000E2664"/>
        </w:tc>
      </w:tr>
      <w:tr w:rsidR="005D2E65" w:rsidRPr="000C0B6C" w14:paraId="255C79C5" w14:textId="77777777" w:rsidTr="005D2E65">
        <w:trPr>
          <w:trHeight w:val="224"/>
        </w:trPr>
        <w:tc>
          <w:tcPr>
            <w:tcW w:w="817" w:type="dxa"/>
          </w:tcPr>
          <w:p w14:paraId="504F3B12" w14:textId="77777777" w:rsidR="005D2E65" w:rsidRPr="000C0B6C" w:rsidRDefault="00EB41C8" w:rsidP="005D2E65">
            <w:r>
              <w:t>2</w:t>
            </w:r>
          </w:p>
        </w:tc>
        <w:tc>
          <w:tcPr>
            <w:tcW w:w="815" w:type="dxa"/>
          </w:tcPr>
          <w:p w14:paraId="0A99F430" w14:textId="77777777" w:rsidR="005D2E65" w:rsidRPr="000C0B6C" w:rsidRDefault="00EB41C8" w:rsidP="005D2E65">
            <w:r>
              <w:t>38</w:t>
            </w:r>
          </w:p>
        </w:tc>
        <w:tc>
          <w:tcPr>
            <w:tcW w:w="974" w:type="dxa"/>
          </w:tcPr>
          <w:p w14:paraId="4F399653" w14:textId="77777777" w:rsidR="005D2E65" w:rsidRPr="000C0B6C" w:rsidRDefault="00EB41C8" w:rsidP="005D2E65">
            <w:r>
              <w:t>A</w:t>
            </w:r>
          </w:p>
        </w:tc>
        <w:tc>
          <w:tcPr>
            <w:tcW w:w="1215" w:type="dxa"/>
            <w:gridSpan w:val="2"/>
          </w:tcPr>
          <w:p w14:paraId="6F48D387" w14:textId="77777777" w:rsidR="005D2E65" w:rsidRPr="000C0B6C" w:rsidRDefault="00EB41C8" w:rsidP="005D2E65">
            <w:r>
              <w:t>236</w:t>
            </w:r>
          </w:p>
        </w:tc>
        <w:tc>
          <w:tcPr>
            <w:tcW w:w="5785" w:type="dxa"/>
          </w:tcPr>
          <w:p w14:paraId="57E7D907" w14:textId="03628548" w:rsidR="001F356A" w:rsidRPr="00CA574A" w:rsidRDefault="00124FA1" w:rsidP="00526354">
            <w:pPr>
              <w:autoSpaceDE w:val="0"/>
              <w:autoSpaceDN w:val="0"/>
              <w:adjustRightInd w:val="0"/>
              <w:rPr>
                <w:sz w:val="22"/>
                <w:szCs w:val="22"/>
              </w:rPr>
            </w:pPr>
            <w:r w:rsidRPr="00CA574A">
              <w:rPr>
                <w:sz w:val="22"/>
                <w:szCs w:val="22"/>
              </w:rPr>
              <w:t>Suggesting</w:t>
            </w:r>
            <w:r w:rsidR="00EB41C8" w:rsidRPr="00CA574A">
              <w:rPr>
                <w:sz w:val="22"/>
                <w:szCs w:val="22"/>
              </w:rPr>
              <w:t xml:space="preserve"> change of wording</w:t>
            </w:r>
            <w:r w:rsidR="00526354">
              <w:rPr>
                <w:sz w:val="22"/>
                <w:szCs w:val="22"/>
              </w:rPr>
              <w:t xml:space="preserve"> as ‘</w:t>
            </w:r>
            <w:r w:rsidR="00526354" w:rsidRPr="00526354">
              <w:rPr>
                <w:i/>
                <w:sz w:val="22"/>
                <w:szCs w:val="22"/>
              </w:rPr>
              <w:t>availability of research and knowledge</w:t>
            </w:r>
            <w:r w:rsidR="00526354">
              <w:rPr>
                <w:sz w:val="22"/>
                <w:szCs w:val="22"/>
              </w:rPr>
              <w:t>’ is very similar to T19.1 (</w:t>
            </w:r>
            <w:r w:rsidR="00526354" w:rsidRPr="00526354">
              <w:rPr>
                <w:i/>
                <w:sz w:val="22"/>
                <w:szCs w:val="22"/>
              </w:rPr>
              <w:t>Availability of reliable and up-to-date biodiversity related information</w:t>
            </w:r>
            <w:r w:rsidR="00526354">
              <w:rPr>
                <w:rFonts w:ascii="CIDFont+F5" w:hAnsi="CIDFont+F5" w:cs="CIDFont+F5"/>
                <w:sz w:val="22"/>
                <w:szCs w:val="22"/>
                <w:lang w:val="en-GB" w:eastAsia="en-GB"/>
              </w:rPr>
              <w:t xml:space="preserve">). </w:t>
            </w:r>
            <w:r w:rsidR="00526354" w:rsidRPr="00526354">
              <w:rPr>
                <w:sz w:val="22"/>
                <w:szCs w:val="22"/>
              </w:rPr>
              <w:t xml:space="preserve">Thus to avoid duplication, and make the </w:t>
            </w:r>
            <w:r w:rsidR="001F356A" w:rsidRPr="00CA574A">
              <w:rPr>
                <w:sz w:val="22"/>
                <w:szCs w:val="22"/>
              </w:rPr>
              <w:t xml:space="preserve">target </w:t>
            </w:r>
            <w:r w:rsidR="00EB41C8" w:rsidRPr="00CA574A">
              <w:rPr>
                <w:sz w:val="22"/>
                <w:szCs w:val="22"/>
              </w:rPr>
              <w:t xml:space="preserve">more </w:t>
            </w:r>
            <w:r w:rsidR="00526354">
              <w:rPr>
                <w:sz w:val="22"/>
                <w:szCs w:val="22"/>
              </w:rPr>
              <w:t>focused</w:t>
            </w:r>
            <w:r w:rsidR="00526354" w:rsidRPr="00CA574A">
              <w:rPr>
                <w:sz w:val="22"/>
                <w:szCs w:val="22"/>
              </w:rPr>
              <w:t xml:space="preserve"> </w:t>
            </w:r>
            <w:r w:rsidR="00526354">
              <w:rPr>
                <w:sz w:val="22"/>
                <w:szCs w:val="22"/>
              </w:rPr>
              <w:t>and</w:t>
            </w:r>
            <w:r w:rsidR="00526354" w:rsidRPr="00CA574A">
              <w:rPr>
                <w:sz w:val="22"/>
                <w:szCs w:val="22"/>
              </w:rPr>
              <w:t xml:space="preserve"> </w:t>
            </w:r>
            <w:r w:rsidR="00EB41C8" w:rsidRPr="00CA574A">
              <w:rPr>
                <w:sz w:val="22"/>
                <w:szCs w:val="22"/>
              </w:rPr>
              <w:t>inclusive</w:t>
            </w:r>
            <w:r w:rsidR="00526354">
              <w:rPr>
                <w:sz w:val="22"/>
                <w:szCs w:val="22"/>
              </w:rPr>
              <w:t xml:space="preserve"> the following new wording is suggested:</w:t>
            </w:r>
          </w:p>
          <w:p w14:paraId="747DCC76" w14:textId="77777777" w:rsidR="00A711AB" w:rsidRPr="00CA574A" w:rsidRDefault="00A711AB" w:rsidP="00EB41C8">
            <w:pPr>
              <w:autoSpaceDE w:val="0"/>
              <w:autoSpaceDN w:val="0"/>
              <w:adjustRightInd w:val="0"/>
              <w:rPr>
                <w:sz w:val="22"/>
                <w:szCs w:val="22"/>
              </w:rPr>
            </w:pPr>
          </w:p>
          <w:p w14:paraId="1919D2CA" w14:textId="77777777" w:rsidR="00EB41C8" w:rsidRPr="00CA574A" w:rsidRDefault="00A711AB" w:rsidP="00EB41C8">
            <w:pPr>
              <w:autoSpaceDE w:val="0"/>
              <w:autoSpaceDN w:val="0"/>
              <w:adjustRightInd w:val="0"/>
              <w:rPr>
                <w:sz w:val="22"/>
                <w:szCs w:val="22"/>
              </w:rPr>
            </w:pPr>
            <w:r w:rsidRPr="00CA574A">
              <w:rPr>
                <w:sz w:val="22"/>
                <w:szCs w:val="22"/>
              </w:rPr>
              <w:t>Inclusive</w:t>
            </w:r>
            <w:r w:rsidR="001F4627" w:rsidRPr="00CA574A">
              <w:rPr>
                <w:sz w:val="22"/>
                <w:szCs w:val="22"/>
              </w:rPr>
              <w:t xml:space="preserve">, safeguarding and promoting </w:t>
            </w:r>
            <w:r w:rsidR="00EB41C8" w:rsidRPr="00CA574A">
              <w:rPr>
                <w:sz w:val="22"/>
                <w:szCs w:val="22"/>
              </w:rPr>
              <w:t>traditional</w:t>
            </w:r>
          </w:p>
          <w:p w14:paraId="0EB8560B" w14:textId="77777777" w:rsidR="00EB41C8" w:rsidRPr="00CA574A" w:rsidRDefault="00EB41C8" w:rsidP="00EB41C8">
            <w:pPr>
              <w:autoSpaceDE w:val="0"/>
              <w:autoSpaceDN w:val="0"/>
              <w:adjustRightInd w:val="0"/>
              <w:rPr>
                <w:sz w:val="22"/>
                <w:szCs w:val="22"/>
              </w:rPr>
            </w:pPr>
            <w:r w:rsidRPr="00CA574A">
              <w:rPr>
                <w:sz w:val="22"/>
                <w:szCs w:val="22"/>
              </w:rPr>
              <w:t>knowledge, innovations and</w:t>
            </w:r>
          </w:p>
          <w:p w14:paraId="50C9A27C" w14:textId="332B5EB4" w:rsidR="00EB41C8" w:rsidRPr="00CA574A" w:rsidRDefault="00EB41C8" w:rsidP="00EB41C8">
            <w:pPr>
              <w:autoSpaceDE w:val="0"/>
              <w:autoSpaceDN w:val="0"/>
              <w:adjustRightInd w:val="0"/>
              <w:rPr>
                <w:sz w:val="22"/>
                <w:szCs w:val="22"/>
              </w:rPr>
            </w:pPr>
            <w:r w:rsidRPr="00CA574A">
              <w:rPr>
                <w:sz w:val="22"/>
                <w:szCs w:val="22"/>
              </w:rPr>
              <w:t xml:space="preserve">practices of </w:t>
            </w:r>
            <w:r w:rsidR="00174E70" w:rsidRPr="00CA574A">
              <w:rPr>
                <w:sz w:val="22"/>
                <w:szCs w:val="22"/>
              </w:rPr>
              <w:t>I</w:t>
            </w:r>
            <w:r w:rsidRPr="00CA574A">
              <w:rPr>
                <w:sz w:val="22"/>
                <w:szCs w:val="22"/>
              </w:rPr>
              <w:t>ndigenous</w:t>
            </w:r>
          </w:p>
          <w:p w14:paraId="626B5B9E" w14:textId="77777777" w:rsidR="00EB41C8" w:rsidRPr="00CA574A" w:rsidRDefault="00EB41C8" w:rsidP="00EB41C8">
            <w:pPr>
              <w:autoSpaceDE w:val="0"/>
              <w:autoSpaceDN w:val="0"/>
              <w:adjustRightInd w:val="0"/>
              <w:rPr>
                <w:sz w:val="22"/>
                <w:szCs w:val="22"/>
              </w:rPr>
            </w:pPr>
            <w:r w:rsidRPr="00CA574A">
              <w:rPr>
                <w:sz w:val="22"/>
                <w:szCs w:val="22"/>
              </w:rPr>
              <w:t>peoples and local</w:t>
            </w:r>
          </w:p>
          <w:p w14:paraId="4BA69DCE" w14:textId="77777777" w:rsidR="00EB41C8" w:rsidRPr="00CA574A" w:rsidRDefault="00EB41C8" w:rsidP="00EB41C8">
            <w:pPr>
              <w:autoSpaceDE w:val="0"/>
              <w:autoSpaceDN w:val="0"/>
              <w:adjustRightInd w:val="0"/>
              <w:rPr>
                <w:sz w:val="22"/>
                <w:szCs w:val="22"/>
              </w:rPr>
            </w:pPr>
            <w:r w:rsidRPr="00CA574A">
              <w:rPr>
                <w:sz w:val="22"/>
                <w:szCs w:val="22"/>
              </w:rPr>
              <w:t>communities with their free,</w:t>
            </w:r>
          </w:p>
          <w:p w14:paraId="5200C6C5" w14:textId="77777777" w:rsidR="005D2E65" w:rsidRPr="00CA574A" w:rsidRDefault="00EB41C8" w:rsidP="00CA574A">
            <w:pPr>
              <w:autoSpaceDE w:val="0"/>
              <w:autoSpaceDN w:val="0"/>
              <w:adjustRightInd w:val="0"/>
              <w:rPr>
                <w:sz w:val="22"/>
                <w:szCs w:val="22"/>
              </w:rPr>
            </w:pPr>
            <w:r w:rsidRPr="00CA574A">
              <w:rPr>
                <w:sz w:val="22"/>
                <w:szCs w:val="22"/>
              </w:rPr>
              <w:t>prior and informed consent</w:t>
            </w:r>
          </w:p>
          <w:p w14:paraId="73307745" w14:textId="77777777" w:rsidR="00EB41C8" w:rsidRPr="000C0B6C" w:rsidRDefault="00EB41C8" w:rsidP="00EB41C8"/>
        </w:tc>
      </w:tr>
      <w:tr w:rsidR="00526354" w:rsidRPr="000C0B6C" w14:paraId="3DDC5DFC" w14:textId="77777777" w:rsidTr="005D2E65">
        <w:trPr>
          <w:trHeight w:val="224"/>
        </w:trPr>
        <w:tc>
          <w:tcPr>
            <w:tcW w:w="817" w:type="dxa"/>
          </w:tcPr>
          <w:p w14:paraId="13A95D33" w14:textId="4A0E6D94" w:rsidR="00526354" w:rsidRDefault="00526354" w:rsidP="005D2E65">
            <w:r>
              <w:t>2</w:t>
            </w:r>
          </w:p>
        </w:tc>
        <w:tc>
          <w:tcPr>
            <w:tcW w:w="815" w:type="dxa"/>
          </w:tcPr>
          <w:p w14:paraId="63691995" w14:textId="268EA939" w:rsidR="00526354" w:rsidRDefault="00526354" w:rsidP="005D2E65">
            <w:r>
              <w:t>38</w:t>
            </w:r>
          </w:p>
        </w:tc>
        <w:tc>
          <w:tcPr>
            <w:tcW w:w="974" w:type="dxa"/>
          </w:tcPr>
          <w:p w14:paraId="520761D6" w14:textId="11DEC8A8" w:rsidR="00526354" w:rsidRDefault="00526354" w:rsidP="005D2E65">
            <w:r>
              <w:t>B-C</w:t>
            </w:r>
          </w:p>
        </w:tc>
        <w:tc>
          <w:tcPr>
            <w:tcW w:w="1215" w:type="dxa"/>
            <w:gridSpan w:val="2"/>
          </w:tcPr>
          <w:p w14:paraId="0041407D" w14:textId="1117F926" w:rsidR="00526354" w:rsidRDefault="00526354" w:rsidP="005D2E65">
            <w:r>
              <w:t>236-237</w:t>
            </w:r>
          </w:p>
        </w:tc>
        <w:tc>
          <w:tcPr>
            <w:tcW w:w="5785" w:type="dxa"/>
          </w:tcPr>
          <w:p w14:paraId="6253A48B" w14:textId="1E4E0D9D" w:rsidR="00526354" w:rsidRDefault="00526354" w:rsidP="005D7498">
            <w:pPr>
              <w:rPr>
                <w:rFonts w:ascii="CIDFont+F5" w:hAnsi="CIDFont+F5" w:cs="CIDFont+F5"/>
                <w:sz w:val="22"/>
                <w:szCs w:val="22"/>
                <w:lang w:val="en-GB" w:eastAsia="en-GB"/>
              </w:rPr>
            </w:pPr>
            <w:r w:rsidRPr="000F5D77">
              <w:rPr>
                <w:sz w:val="22"/>
                <w:szCs w:val="22"/>
              </w:rPr>
              <w:t xml:space="preserve">Suggesting moving </w:t>
            </w:r>
            <w:r w:rsidR="000F5D77" w:rsidRPr="000F5D77">
              <w:rPr>
                <w:sz w:val="22"/>
                <w:szCs w:val="22"/>
              </w:rPr>
              <w:t>these monitoring elements and the associated indicator up to T19.1 (for the reason explained in the above row)</w:t>
            </w:r>
          </w:p>
        </w:tc>
      </w:tr>
      <w:tr w:rsidR="005D2E65" w:rsidRPr="000C0B6C" w14:paraId="4C4619A1" w14:textId="77777777" w:rsidTr="005D2E65">
        <w:trPr>
          <w:trHeight w:val="224"/>
        </w:trPr>
        <w:tc>
          <w:tcPr>
            <w:tcW w:w="817" w:type="dxa"/>
          </w:tcPr>
          <w:p w14:paraId="67B8541B" w14:textId="77777777" w:rsidR="005D2E65" w:rsidRPr="000C0B6C" w:rsidRDefault="00CF62DB" w:rsidP="005D2E65">
            <w:r>
              <w:t>2</w:t>
            </w:r>
          </w:p>
        </w:tc>
        <w:tc>
          <w:tcPr>
            <w:tcW w:w="815" w:type="dxa"/>
          </w:tcPr>
          <w:p w14:paraId="257F6BF9" w14:textId="77777777" w:rsidR="005D2E65" w:rsidRPr="000C0B6C" w:rsidRDefault="00CF62DB" w:rsidP="005D2E65">
            <w:r>
              <w:t>38</w:t>
            </w:r>
          </w:p>
        </w:tc>
        <w:tc>
          <w:tcPr>
            <w:tcW w:w="974" w:type="dxa"/>
          </w:tcPr>
          <w:p w14:paraId="245DF2F8" w14:textId="77777777" w:rsidR="005D2E65" w:rsidRPr="000C0B6C" w:rsidRDefault="00CF62DB" w:rsidP="005D2E65">
            <w:r>
              <w:t>B</w:t>
            </w:r>
          </w:p>
        </w:tc>
        <w:tc>
          <w:tcPr>
            <w:tcW w:w="1215" w:type="dxa"/>
            <w:gridSpan w:val="2"/>
          </w:tcPr>
          <w:p w14:paraId="433EE0D2" w14:textId="77777777" w:rsidR="005D2E65" w:rsidRPr="000C0B6C" w:rsidRDefault="00CF62DB" w:rsidP="005D2E65">
            <w:r>
              <w:t>238</w:t>
            </w:r>
          </w:p>
        </w:tc>
        <w:tc>
          <w:tcPr>
            <w:tcW w:w="5785" w:type="dxa"/>
          </w:tcPr>
          <w:p w14:paraId="5E43B220" w14:textId="653076B5" w:rsidR="005D7498" w:rsidRPr="000F5D77" w:rsidRDefault="005D7498" w:rsidP="005D7498">
            <w:pPr>
              <w:rPr>
                <w:sz w:val="22"/>
                <w:szCs w:val="22"/>
              </w:rPr>
            </w:pPr>
            <w:r w:rsidRPr="000F5D77">
              <w:rPr>
                <w:sz w:val="22"/>
                <w:szCs w:val="22"/>
              </w:rPr>
              <w:t xml:space="preserve">Suggesting </w:t>
            </w:r>
            <w:r w:rsidR="000F5D77" w:rsidRPr="000F5D77">
              <w:rPr>
                <w:sz w:val="22"/>
                <w:szCs w:val="22"/>
              </w:rPr>
              <w:t xml:space="preserve">adding a </w:t>
            </w:r>
            <w:r w:rsidR="00FC3FC2" w:rsidRPr="000F5D77">
              <w:rPr>
                <w:sz w:val="22"/>
                <w:szCs w:val="22"/>
              </w:rPr>
              <w:t xml:space="preserve">new </w:t>
            </w:r>
            <w:r w:rsidRPr="000F5D77">
              <w:rPr>
                <w:sz w:val="22"/>
                <w:szCs w:val="22"/>
              </w:rPr>
              <w:t xml:space="preserve">monitoring element </w:t>
            </w:r>
            <w:r w:rsidR="00FC3FC2" w:rsidRPr="000F5D77">
              <w:rPr>
                <w:sz w:val="22"/>
                <w:szCs w:val="22"/>
              </w:rPr>
              <w:t>t</w:t>
            </w:r>
            <w:r w:rsidRPr="000F5D77">
              <w:rPr>
                <w:sz w:val="22"/>
                <w:szCs w:val="22"/>
              </w:rPr>
              <w:t xml:space="preserve">o make the target more inclusive and ensure Indigenous people benefits are </w:t>
            </w:r>
            <w:r w:rsidR="00FC3FC2" w:rsidRPr="000F5D77">
              <w:rPr>
                <w:sz w:val="22"/>
                <w:szCs w:val="22"/>
              </w:rPr>
              <w:t xml:space="preserve">also </w:t>
            </w:r>
            <w:r w:rsidRPr="000F5D77">
              <w:rPr>
                <w:sz w:val="22"/>
                <w:szCs w:val="22"/>
              </w:rPr>
              <w:t>highlighted and</w:t>
            </w:r>
            <w:r w:rsidR="00FC3FC2" w:rsidRPr="000F5D77">
              <w:rPr>
                <w:sz w:val="22"/>
                <w:szCs w:val="22"/>
              </w:rPr>
              <w:t xml:space="preserve"> safeguarded</w:t>
            </w:r>
            <w:r w:rsidRPr="000F5D77">
              <w:rPr>
                <w:sz w:val="22"/>
                <w:szCs w:val="22"/>
              </w:rPr>
              <w:t>, following wording is suggested:</w:t>
            </w:r>
          </w:p>
          <w:p w14:paraId="66156DA8" w14:textId="77777777" w:rsidR="005D7498" w:rsidRDefault="005D7498" w:rsidP="005D7498"/>
          <w:p w14:paraId="4439EB71" w14:textId="7D0A166E" w:rsidR="00AC1D84" w:rsidRDefault="005D7498" w:rsidP="00EB2762">
            <w:r>
              <w:t xml:space="preserve">Trend in the protection, maintenance and promotion of </w:t>
            </w:r>
            <w:r w:rsidR="00EB2762">
              <w:t>Indigenous rights and</w:t>
            </w:r>
            <w:r w:rsidR="004B50A2">
              <w:t xml:space="preserve"> knowledge</w:t>
            </w:r>
          </w:p>
          <w:p w14:paraId="3EE402A4" w14:textId="5F9A392C" w:rsidR="008D761B" w:rsidRPr="000C0B6C" w:rsidRDefault="008D761B" w:rsidP="00EB2762"/>
        </w:tc>
      </w:tr>
      <w:tr w:rsidR="005D2E65" w:rsidRPr="000C0B6C" w14:paraId="6660B546" w14:textId="77777777" w:rsidTr="005D2E65">
        <w:trPr>
          <w:trHeight w:val="224"/>
        </w:trPr>
        <w:tc>
          <w:tcPr>
            <w:tcW w:w="817" w:type="dxa"/>
          </w:tcPr>
          <w:p w14:paraId="38521D57" w14:textId="3BB01063" w:rsidR="005D2E65" w:rsidRPr="000C0B6C" w:rsidRDefault="00E75853" w:rsidP="005D2E65">
            <w:r>
              <w:t>2</w:t>
            </w:r>
          </w:p>
        </w:tc>
        <w:tc>
          <w:tcPr>
            <w:tcW w:w="815" w:type="dxa"/>
          </w:tcPr>
          <w:p w14:paraId="413C6301" w14:textId="37ECFBA0" w:rsidR="005D2E65" w:rsidRPr="000C0B6C" w:rsidRDefault="00E75853" w:rsidP="005D2E65">
            <w:r>
              <w:t>3</w:t>
            </w:r>
            <w:r w:rsidR="00AC1D84">
              <w:t>8</w:t>
            </w:r>
          </w:p>
        </w:tc>
        <w:tc>
          <w:tcPr>
            <w:tcW w:w="974" w:type="dxa"/>
          </w:tcPr>
          <w:p w14:paraId="44AEF362" w14:textId="58B6D9B7" w:rsidR="005D2E65" w:rsidRPr="000C0B6C" w:rsidRDefault="00E75853" w:rsidP="005D2E65">
            <w:r>
              <w:t>C</w:t>
            </w:r>
          </w:p>
        </w:tc>
        <w:tc>
          <w:tcPr>
            <w:tcW w:w="1215" w:type="dxa"/>
            <w:gridSpan w:val="2"/>
          </w:tcPr>
          <w:p w14:paraId="06BBBE29" w14:textId="197DEA04" w:rsidR="005D2E65" w:rsidRPr="000C0B6C" w:rsidRDefault="00AC1D84" w:rsidP="005D2E65">
            <w:r>
              <w:t>238</w:t>
            </w:r>
          </w:p>
        </w:tc>
        <w:tc>
          <w:tcPr>
            <w:tcW w:w="5785" w:type="dxa"/>
          </w:tcPr>
          <w:p w14:paraId="401C819A" w14:textId="5BC8AACB" w:rsidR="005D2E65" w:rsidRDefault="00AC1D84" w:rsidP="00E75853">
            <w:r>
              <w:t xml:space="preserve">Suggesting a new indicator to be added that reflect the suggested new Component of Target (A) and Monitoring elements (B) above and current Monitoring element on row 238. </w:t>
            </w:r>
          </w:p>
          <w:p w14:paraId="715420BB" w14:textId="77777777" w:rsidR="00AC1D84" w:rsidRDefault="00AC1D84" w:rsidP="00E75853"/>
          <w:p w14:paraId="3C4D020A" w14:textId="7BEDBF1D" w:rsidR="00AC1D84" w:rsidRDefault="00887B98" w:rsidP="00E75853">
            <w:r>
              <w:t xml:space="preserve">Trend in the current status of traditional knowledge </w:t>
            </w:r>
          </w:p>
          <w:p w14:paraId="76419E57" w14:textId="77777777" w:rsidR="00887B98" w:rsidRDefault="00887B98" w:rsidP="00E75853"/>
          <w:p w14:paraId="6AC9C5ED" w14:textId="2B5927BC" w:rsidR="00887B98" w:rsidRDefault="00887B98" w:rsidP="00E75853">
            <w:r>
              <w:t>(See attached brief description of suggested method, piloted in Guyana, please contact us for more information)</w:t>
            </w:r>
          </w:p>
          <w:p w14:paraId="6B7AF047" w14:textId="6A6970B1" w:rsidR="00AC1D84" w:rsidRPr="000C0B6C" w:rsidRDefault="00AC1D84" w:rsidP="00E75853"/>
        </w:tc>
      </w:tr>
      <w:tr w:rsidR="005D2E65" w:rsidRPr="000C0B6C" w14:paraId="085ED9E1" w14:textId="77777777" w:rsidTr="005D2E65">
        <w:trPr>
          <w:trHeight w:val="224"/>
        </w:trPr>
        <w:tc>
          <w:tcPr>
            <w:tcW w:w="817" w:type="dxa"/>
          </w:tcPr>
          <w:p w14:paraId="3BC9EFE1" w14:textId="304346E2" w:rsidR="005D2E65" w:rsidRPr="000C0B6C" w:rsidRDefault="00EB198B" w:rsidP="005D2E65">
            <w:r>
              <w:t>2</w:t>
            </w:r>
          </w:p>
        </w:tc>
        <w:tc>
          <w:tcPr>
            <w:tcW w:w="815" w:type="dxa"/>
          </w:tcPr>
          <w:p w14:paraId="4D044D80" w14:textId="20031289" w:rsidR="005D2E65" w:rsidRPr="000C0B6C" w:rsidRDefault="00EB198B" w:rsidP="005D2E65">
            <w:r>
              <w:t>38</w:t>
            </w:r>
          </w:p>
        </w:tc>
        <w:tc>
          <w:tcPr>
            <w:tcW w:w="974" w:type="dxa"/>
          </w:tcPr>
          <w:p w14:paraId="391DFB45" w14:textId="1650AE81" w:rsidR="005D2E65" w:rsidRPr="000C0B6C" w:rsidRDefault="00EB198B" w:rsidP="005D2E65">
            <w:r>
              <w:t>C</w:t>
            </w:r>
          </w:p>
        </w:tc>
        <w:tc>
          <w:tcPr>
            <w:tcW w:w="1215" w:type="dxa"/>
            <w:gridSpan w:val="2"/>
          </w:tcPr>
          <w:p w14:paraId="4E3D62C1" w14:textId="11D86579" w:rsidR="005D2E65" w:rsidRPr="000C0B6C" w:rsidRDefault="001C1A3B" w:rsidP="005D2E65">
            <w:r>
              <w:t>238</w:t>
            </w:r>
          </w:p>
        </w:tc>
        <w:tc>
          <w:tcPr>
            <w:tcW w:w="5785" w:type="dxa"/>
          </w:tcPr>
          <w:p w14:paraId="3146FAED" w14:textId="5B924AE9" w:rsidR="005D2E65" w:rsidRDefault="00643F7F" w:rsidP="005D2E65">
            <w:r>
              <w:t>Suggestion for</w:t>
            </w:r>
            <w:r w:rsidR="00EB198B">
              <w:t xml:space="preserve"> new</w:t>
            </w:r>
            <w:r>
              <w:t xml:space="preserve"> Indicators </w:t>
            </w:r>
            <w:r w:rsidR="001C1A3B">
              <w:t>T19.4:</w:t>
            </w:r>
          </w:p>
          <w:p w14:paraId="30EAE1B8" w14:textId="77777777" w:rsidR="00EB198B" w:rsidRDefault="00EB198B" w:rsidP="005D2E65"/>
          <w:p w14:paraId="34694344" w14:textId="77777777" w:rsidR="001C1A3B" w:rsidRDefault="001C1A3B" w:rsidP="001C1A3B">
            <w:r w:rsidRPr="001C1A3B">
              <w:t xml:space="preserve">Trends of </w:t>
            </w:r>
            <w:r>
              <w:t>traditional / Indigenous food production, including farming, food processing and food consumption/cooking.</w:t>
            </w:r>
          </w:p>
          <w:p w14:paraId="344D4EE2" w14:textId="77777777" w:rsidR="001C1A3B" w:rsidRDefault="001C1A3B" w:rsidP="001C1A3B"/>
          <w:p w14:paraId="7EB1BAB5" w14:textId="77777777" w:rsidR="001C1A3B" w:rsidRDefault="001C1A3B" w:rsidP="001C1A3B">
            <w:r>
              <w:t>Trends in traditional / Indigenous craft making.</w:t>
            </w:r>
          </w:p>
          <w:p w14:paraId="63C5CF8B" w14:textId="77777777" w:rsidR="001C1A3B" w:rsidRDefault="001C1A3B" w:rsidP="001C1A3B"/>
          <w:p w14:paraId="2EF24138" w14:textId="4BD588CA" w:rsidR="001C1A3B" w:rsidRDefault="001C1A3B" w:rsidP="001C1A3B">
            <w:r>
              <w:t>Trends in knowledge and use of traditional / Indigenous medicines.</w:t>
            </w:r>
          </w:p>
          <w:p w14:paraId="59ED9B4D" w14:textId="0B6BC4B9" w:rsidR="00FE09CE" w:rsidRDefault="00FE09CE" w:rsidP="001C1A3B"/>
          <w:p w14:paraId="274F1CCB" w14:textId="21105AE2" w:rsidR="00EB198B" w:rsidRDefault="00FE09CE" w:rsidP="001C1A3B">
            <w:r>
              <w:t>Trends in knowledge of traditional beliefs (cosmologies) and stories.</w:t>
            </w:r>
          </w:p>
          <w:p w14:paraId="2402540A" w14:textId="76280001" w:rsidR="001C1A3B" w:rsidRPr="000C0B6C" w:rsidRDefault="001C1A3B" w:rsidP="001C1A3B"/>
        </w:tc>
      </w:tr>
      <w:tr w:rsidR="005D2E65" w:rsidRPr="000C0B6C" w14:paraId="7901F1A5" w14:textId="77777777" w:rsidTr="005D2E65">
        <w:trPr>
          <w:trHeight w:val="224"/>
        </w:trPr>
        <w:tc>
          <w:tcPr>
            <w:tcW w:w="817" w:type="dxa"/>
          </w:tcPr>
          <w:p w14:paraId="39D942D6" w14:textId="528AF384" w:rsidR="005D2E65" w:rsidRPr="000C0B6C" w:rsidRDefault="00E75853" w:rsidP="005D2E65">
            <w:r>
              <w:t>2</w:t>
            </w:r>
          </w:p>
        </w:tc>
        <w:tc>
          <w:tcPr>
            <w:tcW w:w="815" w:type="dxa"/>
          </w:tcPr>
          <w:p w14:paraId="5EE5EB20" w14:textId="7F1B0909" w:rsidR="005D2E65" w:rsidRPr="000C0B6C" w:rsidRDefault="00E75853" w:rsidP="005D2E65">
            <w:r>
              <w:t>39</w:t>
            </w:r>
          </w:p>
        </w:tc>
        <w:tc>
          <w:tcPr>
            <w:tcW w:w="974" w:type="dxa"/>
          </w:tcPr>
          <w:p w14:paraId="357A0D3B" w14:textId="37ACE6B2" w:rsidR="005D2E65" w:rsidRPr="000C0B6C" w:rsidRDefault="00E75853" w:rsidP="005D2E65">
            <w:r>
              <w:t>C</w:t>
            </w:r>
          </w:p>
        </w:tc>
        <w:tc>
          <w:tcPr>
            <w:tcW w:w="1215" w:type="dxa"/>
            <w:gridSpan w:val="2"/>
          </w:tcPr>
          <w:p w14:paraId="265A6BC6" w14:textId="7E4F06A7" w:rsidR="005D2E65" w:rsidRPr="000C0B6C" w:rsidRDefault="00967C19" w:rsidP="005D2E65">
            <w:r>
              <w:t>241</w:t>
            </w:r>
          </w:p>
        </w:tc>
        <w:tc>
          <w:tcPr>
            <w:tcW w:w="5785" w:type="dxa"/>
          </w:tcPr>
          <w:p w14:paraId="1C2CE849" w14:textId="77777777" w:rsidR="005D2E65" w:rsidRDefault="00E059BB" w:rsidP="00E059BB">
            <w:r>
              <w:t>Suggesting potentially moving this indicator from 20.1 to 19.4</w:t>
            </w:r>
            <w:r w:rsidR="00967C19">
              <w:t xml:space="preserve"> “</w:t>
            </w:r>
            <w:r w:rsidR="00967C19" w:rsidRPr="00967C19">
              <w:t>Trends in the practice of traditional occupations</w:t>
            </w:r>
            <w:r w:rsidR="00967C19">
              <w:t xml:space="preserve">” </w:t>
            </w:r>
          </w:p>
          <w:p w14:paraId="75E54E83" w14:textId="379E026E" w:rsidR="00EB198B" w:rsidRPr="000C0B6C" w:rsidRDefault="00EB198B" w:rsidP="00E059BB"/>
        </w:tc>
      </w:tr>
      <w:tr w:rsidR="00EB198B" w:rsidRPr="000C0B6C" w14:paraId="7931B8D4" w14:textId="77777777" w:rsidTr="005D2E65">
        <w:trPr>
          <w:trHeight w:val="224"/>
        </w:trPr>
        <w:tc>
          <w:tcPr>
            <w:tcW w:w="817" w:type="dxa"/>
          </w:tcPr>
          <w:p w14:paraId="5AA04319" w14:textId="3209B8AC" w:rsidR="00EB198B" w:rsidRPr="000C0B6C" w:rsidRDefault="00EB198B" w:rsidP="00EB198B">
            <w:r>
              <w:t>2</w:t>
            </w:r>
          </w:p>
        </w:tc>
        <w:tc>
          <w:tcPr>
            <w:tcW w:w="815" w:type="dxa"/>
          </w:tcPr>
          <w:p w14:paraId="513AEF2C" w14:textId="39FE7BFF" w:rsidR="00EB198B" w:rsidRPr="000C0B6C" w:rsidRDefault="00EB198B" w:rsidP="00EB198B">
            <w:r>
              <w:t>39</w:t>
            </w:r>
          </w:p>
        </w:tc>
        <w:tc>
          <w:tcPr>
            <w:tcW w:w="974" w:type="dxa"/>
          </w:tcPr>
          <w:p w14:paraId="5CF643B3" w14:textId="72E7B37C" w:rsidR="00EB198B" w:rsidRPr="000C0B6C" w:rsidRDefault="00EB198B" w:rsidP="00EB198B">
            <w:r>
              <w:t>C</w:t>
            </w:r>
          </w:p>
        </w:tc>
        <w:tc>
          <w:tcPr>
            <w:tcW w:w="1215" w:type="dxa"/>
            <w:gridSpan w:val="2"/>
          </w:tcPr>
          <w:p w14:paraId="6E900643" w14:textId="3DDD91AF" w:rsidR="00EB198B" w:rsidRPr="000C0B6C" w:rsidRDefault="00EB198B" w:rsidP="00EB198B">
            <w:r>
              <w:t>243</w:t>
            </w:r>
          </w:p>
        </w:tc>
        <w:tc>
          <w:tcPr>
            <w:tcW w:w="5785" w:type="dxa"/>
          </w:tcPr>
          <w:p w14:paraId="264D292F" w14:textId="782AC74E" w:rsidR="00EB198B" w:rsidRPr="000C0B6C" w:rsidRDefault="00EB198B" w:rsidP="00EB198B">
            <w:r>
              <w:t>This indicator is duplicated under this target, also listed in row 240 (page 38).</w:t>
            </w:r>
          </w:p>
        </w:tc>
      </w:tr>
      <w:tr w:rsidR="00EB198B" w:rsidRPr="000C0B6C" w14:paraId="43166B9E" w14:textId="77777777" w:rsidTr="005D2E65">
        <w:trPr>
          <w:trHeight w:val="224"/>
        </w:trPr>
        <w:tc>
          <w:tcPr>
            <w:tcW w:w="817" w:type="dxa"/>
          </w:tcPr>
          <w:p w14:paraId="038C852C" w14:textId="77777777" w:rsidR="00EB198B" w:rsidRPr="000C0B6C" w:rsidRDefault="00EB198B" w:rsidP="00EB198B"/>
        </w:tc>
        <w:tc>
          <w:tcPr>
            <w:tcW w:w="815" w:type="dxa"/>
          </w:tcPr>
          <w:p w14:paraId="40DD88AE" w14:textId="77777777" w:rsidR="00EB198B" w:rsidRPr="000C0B6C" w:rsidRDefault="00EB198B" w:rsidP="00EB198B"/>
        </w:tc>
        <w:tc>
          <w:tcPr>
            <w:tcW w:w="974" w:type="dxa"/>
          </w:tcPr>
          <w:p w14:paraId="0DD14EAF" w14:textId="77777777" w:rsidR="00EB198B" w:rsidRPr="000C0B6C" w:rsidRDefault="00EB198B" w:rsidP="00EB198B"/>
        </w:tc>
        <w:tc>
          <w:tcPr>
            <w:tcW w:w="1215" w:type="dxa"/>
            <w:gridSpan w:val="2"/>
          </w:tcPr>
          <w:p w14:paraId="31C45063" w14:textId="77777777" w:rsidR="00EB198B" w:rsidRPr="000C0B6C" w:rsidRDefault="00EB198B" w:rsidP="00EB198B"/>
        </w:tc>
        <w:tc>
          <w:tcPr>
            <w:tcW w:w="5785" w:type="dxa"/>
          </w:tcPr>
          <w:p w14:paraId="534CC460" w14:textId="77777777" w:rsidR="00EB198B" w:rsidRPr="000C0B6C" w:rsidRDefault="00EB198B" w:rsidP="00EB198B"/>
        </w:tc>
      </w:tr>
      <w:tr w:rsidR="00EB198B" w:rsidRPr="000C0B6C" w14:paraId="2628AF9E" w14:textId="77777777" w:rsidTr="005D2E65">
        <w:trPr>
          <w:trHeight w:val="224"/>
        </w:trPr>
        <w:tc>
          <w:tcPr>
            <w:tcW w:w="817" w:type="dxa"/>
          </w:tcPr>
          <w:p w14:paraId="4E2B76F2" w14:textId="77777777" w:rsidR="00EB198B" w:rsidRPr="000C0B6C" w:rsidRDefault="00EB198B" w:rsidP="00EB198B"/>
        </w:tc>
        <w:tc>
          <w:tcPr>
            <w:tcW w:w="815" w:type="dxa"/>
          </w:tcPr>
          <w:p w14:paraId="747F06FD" w14:textId="77777777" w:rsidR="00EB198B" w:rsidRPr="000C0B6C" w:rsidRDefault="00EB198B" w:rsidP="00EB198B"/>
        </w:tc>
        <w:tc>
          <w:tcPr>
            <w:tcW w:w="974" w:type="dxa"/>
          </w:tcPr>
          <w:p w14:paraId="483C1963" w14:textId="77777777" w:rsidR="00EB198B" w:rsidRPr="000C0B6C" w:rsidRDefault="00EB198B" w:rsidP="00EB198B"/>
        </w:tc>
        <w:tc>
          <w:tcPr>
            <w:tcW w:w="1215" w:type="dxa"/>
            <w:gridSpan w:val="2"/>
          </w:tcPr>
          <w:p w14:paraId="44A6C002" w14:textId="77777777" w:rsidR="00EB198B" w:rsidRPr="000C0B6C" w:rsidRDefault="00EB198B" w:rsidP="00EB198B"/>
        </w:tc>
        <w:tc>
          <w:tcPr>
            <w:tcW w:w="5785" w:type="dxa"/>
          </w:tcPr>
          <w:p w14:paraId="4C20ECC9" w14:textId="77777777" w:rsidR="00EB198B" w:rsidRPr="000C0B6C" w:rsidRDefault="00EB198B" w:rsidP="00EB198B"/>
        </w:tc>
      </w:tr>
      <w:tr w:rsidR="00EB198B" w:rsidRPr="000C0B6C" w14:paraId="44164D3F" w14:textId="77777777" w:rsidTr="005D2E65">
        <w:trPr>
          <w:trHeight w:val="224"/>
        </w:trPr>
        <w:tc>
          <w:tcPr>
            <w:tcW w:w="817" w:type="dxa"/>
          </w:tcPr>
          <w:p w14:paraId="01E5F6A7" w14:textId="77777777" w:rsidR="00EB198B" w:rsidRPr="000C0B6C" w:rsidRDefault="00EB198B" w:rsidP="00EB198B"/>
        </w:tc>
        <w:tc>
          <w:tcPr>
            <w:tcW w:w="815" w:type="dxa"/>
          </w:tcPr>
          <w:p w14:paraId="6E340542" w14:textId="77777777" w:rsidR="00EB198B" w:rsidRPr="000C0B6C" w:rsidRDefault="00EB198B" w:rsidP="00EB198B"/>
        </w:tc>
        <w:tc>
          <w:tcPr>
            <w:tcW w:w="974" w:type="dxa"/>
          </w:tcPr>
          <w:p w14:paraId="5CBAB5B4" w14:textId="77777777" w:rsidR="00EB198B" w:rsidRPr="000C0B6C" w:rsidRDefault="00EB198B" w:rsidP="00EB198B"/>
        </w:tc>
        <w:tc>
          <w:tcPr>
            <w:tcW w:w="1215" w:type="dxa"/>
            <w:gridSpan w:val="2"/>
          </w:tcPr>
          <w:p w14:paraId="01D9AD8F" w14:textId="77777777" w:rsidR="00EB198B" w:rsidRPr="000C0B6C" w:rsidRDefault="00EB198B" w:rsidP="00EB198B"/>
        </w:tc>
        <w:tc>
          <w:tcPr>
            <w:tcW w:w="5785" w:type="dxa"/>
          </w:tcPr>
          <w:p w14:paraId="16E40165" w14:textId="77777777" w:rsidR="00EB198B" w:rsidRPr="000C0B6C" w:rsidRDefault="00EB198B" w:rsidP="00EB198B"/>
        </w:tc>
      </w:tr>
      <w:tr w:rsidR="00EB198B" w:rsidRPr="000C0B6C" w14:paraId="57C52937" w14:textId="77777777" w:rsidTr="005D2E65">
        <w:trPr>
          <w:trHeight w:val="224"/>
        </w:trPr>
        <w:tc>
          <w:tcPr>
            <w:tcW w:w="817" w:type="dxa"/>
          </w:tcPr>
          <w:p w14:paraId="269E344B" w14:textId="77777777" w:rsidR="00EB198B" w:rsidRPr="000C0B6C" w:rsidRDefault="00EB198B" w:rsidP="00EB198B"/>
        </w:tc>
        <w:tc>
          <w:tcPr>
            <w:tcW w:w="815" w:type="dxa"/>
          </w:tcPr>
          <w:p w14:paraId="1E48E2E3" w14:textId="77777777" w:rsidR="00EB198B" w:rsidRPr="000C0B6C" w:rsidRDefault="00EB198B" w:rsidP="00EB198B"/>
        </w:tc>
        <w:tc>
          <w:tcPr>
            <w:tcW w:w="974" w:type="dxa"/>
          </w:tcPr>
          <w:p w14:paraId="6D34D66F" w14:textId="77777777" w:rsidR="00EB198B" w:rsidRPr="000C0B6C" w:rsidRDefault="00EB198B" w:rsidP="00EB198B"/>
        </w:tc>
        <w:tc>
          <w:tcPr>
            <w:tcW w:w="1215" w:type="dxa"/>
            <w:gridSpan w:val="2"/>
          </w:tcPr>
          <w:p w14:paraId="1F135477" w14:textId="77777777" w:rsidR="00EB198B" w:rsidRPr="000C0B6C" w:rsidRDefault="00EB198B" w:rsidP="00EB198B"/>
        </w:tc>
        <w:tc>
          <w:tcPr>
            <w:tcW w:w="5785" w:type="dxa"/>
          </w:tcPr>
          <w:p w14:paraId="439C21B0" w14:textId="77777777" w:rsidR="00EB198B" w:rsidRPr="000C0B6C" w:rsidRDefault="00EB198B" w:rsidP="00EB198B"/>
        </w:tc>
      </w:tr>
      <w:tr w:rsidR="00EB198B" w:rsidRPr="000C0B6C" w14:paraId="7E4E35B8" w14:textId="77777777" w:rsidTr="005D2E65">
        <w:trPr>
          <w:trHeight w:val="224"/>
        </w:trPr>
        <w:tc>
          <w:tcPr>
            <w:tcW w:w="817" w:type="dxa"/>
          </w:tcPr>
          <w:p w14:paraId="41CAF95F" w14:textId="77777777" w:rsidR="00EB198B" w:rsidRPr="000C0B6C" w:rsidRDefault="00EB198B" w:rsidP="00EB198B"/>
        </w:tc>
        <w:tc>
          <w:tcPr>
            <w:tcW w:w="815" w:type="dxa"/>
          </w:tcPr>
          <w:p w14:paraId="22CD9BE9" w14:textId="77777777" w:rsidR="00EB198B" w:rsidRPr="000C0B6C" w:rsidRDefault="00EB198B" w:rsidP="00EB198B"/>
        </w:tc>
        <w:tc>
          <w:tcPr>
            <w:tcW w:w="974" w:type="dxa"/>
          </w:tcPr>
          <w:p w14:paraId="44E310C9" w14:textId="77777777" w:rsidR="00EB198B" w:rsidRPr="000C0B6C" w:rsidRDefault="00EB198B" w:rsidP="00EB198B"/>
        </w:tc>
        <w:tc>
          <w:tcPr>
            <w:tcW w:w="1215" w:type="dxa"/>
            <w:gridSpan w:val="2"/>
          </w:tcPr>
          <w:p w14:paraId="5607D260" w14:textId="77777777" w:rsidR="00EB198B" w:rsidRPr="000C0B6C" w:rsidRDefault="00EB198B" w:rsidP="00EB198B"/>
        </w:tc>
        <w:tc>
          <w:tcPr>
            <w:tcW w:w="5785" w:type="dxa"/>
          </w:tcPr>
          <w:p w14:paraId="051E812C" w14:textId="77777777" w:rsidR="00EB198B" w:rsidRPr="000C0B6C" w:rsidRDefault="00EB198B" w:rsidP="00EB198B"/>
        </w:tc>
      </w:tr>
      <w:tr w:rsidR="00EB198B" w:rsidRPr="000C0B6C" w14:paraId="0C296243" w14:textId="77777777" w:rsidTr="005D2E65">
        <w:trPr>
          <w:trHeight w:val="224"/>
        </w:trPr>
        <w:tc>
          <w:tcPr>
            <w:tcW w:w="817" w:type="dxa"/>
          </w:tcPr>
          <w:p w14:paraId="196FD1A7" w14:textId="77777777" w:rsidR="00EB198B" w:rsidRPr="000C0B6C" w:rsidRDefault="00EB198B" w:rsidP="00EB198B"/>
        </w:tc>
        <w:tc>
          <w:tcPr>
            <w:tcW w:w="815" w:type="dxa"/>
          </w:tcPr>
          <w:p w14:paraId="71CAA63E" w14:textId="77777777" w:rsidR="00EB198B" w:rsidRPr="000C0B6C" w:rsidRDefault="00EB198B" w:rsidP="00EB198B"/>
        </w:tc>
        <w:tc>
          <w:tcPr>
            <w:tcW w:w="974" w:type="dxa"/>
          </w:tcPr>
          <w:p w14:paraId="065889AB" w14:textId="77777777" w:rsidR="00EB198B" w:rsidRPr="000C0B6C" w:rsidRDefault="00EB198B" w:rsidP="00EB198B"/>
        </w:tc>
        <w:tc>
          <w:tcPr>
            <w:tcW w:w="1215" w:type="dxa"/>
            <w:gridSpan w:val="2"/>
          </w:tcPr>
          <w:p w14:paraId="0DA62364" w14:textId="77777777" w:rsidR="00EB198B" w:rsidRPr="000C0B6C" w:rsidRDefault="00EB198B" w:rsidP="00EB198B"/>
        </w:tc>
        <w:tc>
          <w:tcPr>
            <w:tcW w:w="5785" w:type="dxa"/>
          </w:tcPr>
          <w:p w14:paraId="39A864A2" w14:textId="77777777" w:rsidR="00EB198B" w:rsidRPr="000C0B6C" w:rsidRDefault="00EB198B" w:rsidP="00EB198B"/>
        </w:tc>
      </w:tr>
      <w:tr w:rsidR="00EB198B" w:rsidRPr="000C0B6C" w14:paraId="70B39788" w14:textId="77777777" w:rsidTr="005D2E65">
        <w:trPr>
          <w:trHeight w:val="224"/>
        </w:trPr>
        <w:tc>
          <w:tcPr>
            <w:tcW w:w="817" w:type="dxa"/>
          </w:tcPr>
          <w:p w14:paraId="2AAB5BCA" w14:textId="77777777" w:rsidR="00EB198B" w:rsidRPr="000C0B6C" w:rsidRDefault="00EB198B" w:rsidP="00EB198B"/>
        </w:tc>
        <w:tc>
          <w:tcPr>
            <w:tcW w:w="815" w:type="dxa"/>
          </w:tcPr>
          <w:p w14:paraId="0AED17BF" w14:textId="77777777" w:rsidR="00EB198B" w:rsidRPr="000C0B6C" w:rsidRDefault="00EB198B" w:rsidP="00EB198B"/>
        </w:tc>
        <w:tc>
          <w:tcPr>
            <w:tcW w:w="974" w:type="dxa"/>
          </w:tcPr>
          <w:p w14:paraId="44B4B92D" w14:textId="77777777" w:rsidR="00EB198B" w:rsidRPr="000C0B6C" w:rsidRDefault="00EB198B" w:rsidP="00EB198B"/>
        </w:tc>
        <w:tc>
          <w:tcPr>
            <w:tcW w:w="1215" w:type="dxa"/>
            <w:gridSpan w:val="2"/>
          </w:tcPr>
          <w:p w14:paraId="6430D56D" w14:textId="77777777" w:rsidR="00EB198B" w:rsidRPr="000C0B6C" w:rsidRDefault="00EB198B" w:rsidP="00EB198B"/>
        </w:tc>
        <w:tc>
          <w:tcPr>
            <w:tcW w:w="5785" w:type="dxa"/>
          </w:tcPr>
          <w:p w14:paraId="4078ADE2" w14:textId="77777777" w:rsidR="00EB198B" w:rsidRPr="000C0B6C" w:rsidRDefault="00EB198B" w:rsidP="00EB198B"/>
        </w:tc>
      </w:tr>
      <w:tr w:rsidR="00EB198B" w:rsidRPr="000C0B6C" w14:paraId="48B8BC1C" w14:textId="77777777" w:rsidTr="005D2E65">
        <w:trPr>
          <w:trHeight w:val="224"/>
        </w:trPr>
        <w:tc>
          <w:tcPr>
            <w:tcW w:w="817" w:type="dxa"/>
          </w:tcPr>
          <w:p w14:paraId="34C933D8" w14:textId="77777777" w:rsidR="00EB198B" w:rsidRPr="000C0B6C" w:rsidRDefault="00EB198B" w:rsidP="00EB198B"/>
        </w:tc>
        <w:tc>
          <w:tcPr>
            <w:tcW w:w="815" w:type="dxa"/>
          </w:tcPr>
          <w:p w14:paraId="25D6ADA0" w14:textId="77777777" w:rsidR="00EB198B" w:rsidRPr="000C0B6C" w:rsidRDefault="00EB198B" w:rsidP="00EB198B"/>
        </w:tc>
        <w:tc>
          <w:tcPr>
            <w:tcW w:w="974" w:type="dxa"/>
          </w:tcPr>
          <w:p w14:paraId="37CFA9E5" w14:textId="77777777" w:rsidR="00EB198B" w:rsidRPr="000C0B6C" w:rsidRDefault="00EB198B" w:rsidP="00EB198B"/>
        </w:tc>
        <w:tc>
          <w:tcPr>
            <w:tcW w:w="1215" w:type="dxa"/>
            <w:gridSpan w:val="2"/>
          </w:tcPr>
          <w:p w14:paraId="34B576B5" w14:textId="77777777" w:rsidR="00EB198B" w:rsidRPr="000C0B6C" w:rsidRDefault="00EB198B" w:rsidP="00EB198B"/>
        </w:tc>
        <w:tc>
          <w:tcPr>
            <w:tcW w:w="5785" w:type="dxa"/>
          </w:tcPr>
          <w:p w14:paraId="3097C04B" w14:textId="77777777" w:rsidR="00EB198B" w:rsidRPr="000C0B6C" w:rsidRDefault="00EB198B" w:rsidP="00EB198B"/>
        </w:tc>
      </w:tr>
      <w:tr w:rsidR="00EB198B" w:rsidRPr="000C0B6C" w14:paraId="292E01FE" w14:textId="77777777" w:rsidTr="005D2E65">
        <w:trPr>
          <w:trHeight w:val="224"/>
        </w:trPr>
        <w:tc>
          <w:tcPr>
            <w:tcW w:w="817" w:type="dxa"/>
          </w:tcPr>
          <w:p w14:paraId="72156738" w14:textId="77777777" w:rsidR="00EB198B" w:rsidRPr="000C0B6C" w:rsidRDefault="00EB198B" w:rsidP="00EB198B"/>
        </w:tc>
        <w:tc>
          <w:tcPr>
            <w:tcW w:w="815" w:type="dxa"/>
          </w:tcPr>
          <w:p w14:paraId="3A25C282" w14:textId="77777777" w:rsidR="00EB198B" w:rsidRPr="000C0B6C" w:rsidRDefault="00EB198B" w:rsidP="00EB198B"/>
        </w:tc>
        <w:tc>
          <w:tcPr>
            <w:tcW w:w="974" w:type="dxa"/>
          </w:tcPr>
          <w:p w14:paraId="55A3D61C" w14:textId="77777777" w:rsidR="00EB198B" w:rsidRPr="000C0B6C" w:rsidRDefault="00EB198B" w:rsidP="00EB198B"/>
        </w:tc>
        <w:tc>
          <w:tcPr>
            <w:tcW w:w="1215" w:type="dxa"/>
            <w:gridSpan w:val="2"/>
          </w:tcPr>
          <w:p w14:paraId="0959C4B2" w14:textId="77777777" w:rsidR="00EB198B" w:rsidRPr="000C0B6C" w:rsidRDefault="00EB198B" w:rsidP="00EB198B"/>
        </w:tc>
        <w:tc>
          <w:tcPr>
            <w:tcW w:w="5785" w:type="dxa"/>
          </w:tcPr>
          <w:p w14:paraId="53DB8FF1" w14:textId="77777777" w:rsidR="00EB198B" w:rsidRPr="000C0B6C" w:rsidRDefault="00EB198B" w:rsidP="00EB198B"/>
        </w:tc>
      </w:tr>
      <w:tr w:rsidR="00EB198B" w:rsidRPr="000C0B6C" w14:paraId="68425C68" w14:textId="77777777" w:rsidTr="005D2E65">
        <w:trPr>
          <w:trHeight w:val="224"/>
        </w:trPr>
        <w:tc>
          <w:tcPr>
            <w:tcW w:w="817" w:type="dxa"/>
          </w:tcPr>
          <w:p w14:paraId="650F4743" w14:textId="77777777" w:rsidR="00EB198B" w:rsidRPr="000C0B6C" w:rsidRDefault="00EB198B" w:rsidP="00EB198B"/>
        </w:tc>
        <w:tc>
          <w:tcPr>
            <w:tcW w:w="815" w:type="dxa"/>
          </w:tcPr>
          <w:p w14:paraId="162DB4F4" w14:textId="77777777" w:rsidR="00EB198B" w:rsidRPr="000C0B6C" w:rsidRDefault="00EB198B" w:rsidP="00EB198B"/>
        </w:tc>
        <w:tc>
          <w:tcPr>
            <w:tcW w:w="974" w:type="dxa"/>
          </w:tcPr>
          <w:p w14:paraId="72839F6C" w14:textId="77777777" w:rsidR="00EB198B" w:rsidRPr="000C0B6C" w:rsidRDefault="00EB198B" w:rsidP="00EB198B"/>
        </w:tc>
        <w:tc>
          <w:tcPr>
            <w:tcW w:w="1215" w:type="dxa"/>
            <w:gridSpan w:val="2"/>
          </w:tcPr>
          <w:p w14:paraId="3E87E793" w14:textId="77777777" w:rsidR="00EB198B" w:rsidRPr="000C0B6C" w:rsidRDefault="00EB198B" w:rsidP="00EB198B"/>
        </w:tc>
        <w:tc>
          <w:tcPr>
            <w:tcW w:w="5785" w:type="dxa"/>
          </w:tcPr>
          <w:p w14:paraId="7ECBB742" w14:textId="77777777" w:rsidR="00EB198B" w:rsidRPr="000C0B6C" w:rsidRDefault="00EB198B" w:rsidP="00EB198B"/>
        </w:tc>
      </w:tr>
      <w:tr w:rsidR="00EB198B" w:rsidRPr="000C0B6C" w14:paraId="295673D6" w14:textId="77777777" w:rsidTr="005D2E65">
        <w:trPr>
          <w:trHeight w:val="224"/>
        </w:trPr>
        <w:tc>
          <w:tcPr>
            <w:tcW w:w="817" w:type="dxa"/>
          </w:tcPr>
          <w:p w14:paraId="54DFDE51" w14:textId="77777777" w:rsidR="00EB198B" w:rsidRPr="000C0B6C" w:rsidRDefault="00EB198B" w:rsidP="00EB198B"/>
        </w:tc>
        <w:tc>
          <w:tcPr>
            <w:tcW w:w="815" w:type="dxa"/>
          </w:tcPr>
          <w:p w14:paraId="2B60AFC8" w14:textId="77777777" w:rsidR="00EB198B" w:rsidRPr="000C0B6C" w:rsidRDefault="00EB198B" w:rsidP="00EB198B"/>
        </w:tc>
        <w:tc>
          <w:tcPr>
            <w:tcW w:w="974" w:type="dxa"/>
          </w:tcPr>
          <w:p w14:paraId="374443C7" w14:textId="77777777" w:rsidR="00EB198B" w:rsidRPr="000C0B6C" w:rsidRDefault="00EB198B" w:rsidP="00EB198B"/>
        </w:tc>
        <w:tc>
          <w:tcPr>
            <w:tcW w:w="1215" w:type="dxa"/>
            <w:gridSpan w:val="2"/>
          </w:tcPr>
          <w:p w14:paraId="50E90501" w14:textId="77777777" w:rsidR="00EB198B" w:rsidRPr="000C0B6C" w:rsidRDefault="00EB198B" w:rsidP="00EB198B"/>
        </w:tc>
        <w:tc>
          <w:tcPr>
            <w:tcW w:w="5785" w:type="dxa"/>
          </w:tcPr>
          <w:p w14:paraId="1671DDCB" w14:textId="77777777" w:rsidR="00EB198B" w:rsidRPr="000C0B6C" w:rsidRDefault="00EB198B" w:rsidP="00EB198B"/>
        </w:tc>
      </w:tr>
      <w:tr w:rsidR="00EB198B" w:rsidRPr="000C0B6C" w14:paraId="011EDDC2" w14:textId="77777777" w:rsidTr="005D2E65">
        <w:trPr>
          <w:trHeight w:val="224"/>
        </w:trPr>
        <w:tc>
          <w:tcPr>
            <w:tcW w:w="817" w:type="dxa"/>
          </w:tcPr>
          <w:p w14:paraId="74A6B055" w14:textId="77777777" w:rsidR="00EB198B" w:rsidRPr="000C0B6C" w:rsidRDefault="00EB198B" w:rsidP="00EB198B"/>
        </w:tc>
        <w:tc>
          <w:tcPr>
            <w:tcW w:w="815" w:type="dxa"/>
          </w:tcPr>
          <w:p w14:paraId="39C793AE" w14:textId="77777777" w:rsidR="00EB198B" w:rsidRPr="000C0B6C" w:rsidRDefault="00EB198B" w:rsidP="00EB198B"/>
        </w:tc>
        <w:tc>
          <w:tcPr>
            <w:tcW w:w="974" w:type="dxa"/>
          </w:tcPr>
          <w:p w14:paraId="38795C25" w14:textId="77777777" w:rsidR="00EB198B" w:rsidRPr="000C0B6C" w:rsidRDefault="00EB198B" w:rsidP="00EB198B"/>
        </w:tc>
        <w:tc>
          <w:tcPr>
            <w:tcW w:w="1215" w:type="dxa"/>
            <w:gridSpan w:val="2"/>
          </w:tcPr>
          <w:p w14:paraId="22D0BA6E" w14:textId="77777777" w:rsidR="00EB198B" w:rsidRPr="000C0B6C" w:rsidRDefault="00EB198B" w:rsidP="00EB198B"/>
        </w:tc>
        <w:tc>
          <w:tcPr>
            <w:tcW w:w="5785" w:type="dxa"/>
          </w:tcPr>
          <w:p w14:paraId="3C8CD046" w14:textId="77777777" w:rsidR="00EB198B" w:rsidRPr="000C0B6C" w:rsidRDefault="00EB198B" w:rsidP="00EB198B"/>
        </w:tc>
      </w:tr>
      <w:tr w:rsidR="00EB198B" w:rsidRPr="000C0B6C" w14:paraId="68B2A670" w14:textId="77777777" w:rsidTr="005D2E65">
        <w:trPr>
          <w:trHeight w:val="224"/>
        </w:trPr>
        <w:tc>
          <w:tcPr>
            <w:tcW w:w="817" w:type="dxa"/>
          </w:tcPr>
          <w:p w14:paraId="182E042A" w14:textId="77777777" w:rsidR="00EB198B" w:rsidRPr="000C0B6C" w:rsidRDefault="00EB198B" w:rsidP="00EB198B"/>
        </w:tc>
        <w:tc>
          <w:tcPr>
            <w:tcW w:w="815" w:type="dxa"/>
          </w:tcPr>
          <w:p w14:paraId="38628AF0" w14:textId="77777777" w:rsidR="00EB198B" w:rsidRPr="000C0B6C" w:rsidRDefault="00EB198B" w:rsidP="00EB198B"/>
        </w:tc>
        <w:tc>
          <w:tcPr>
            <w:tcW w:w="974" w:type="dxa"/>
          </w:tcPr>
          <w:p w14:paraId="3778E9B3" w14:textId="77777777" w:rsidR="00EB198B" w:rsidRPr="000C0B6C" w:rsidRDefault="00EB198B" w:rsidP="00EB198B"/>
        </w:tc>
        <w:tc>
          <w:tcPr>
            <w:tcW w:w="1215" w:type="dxa"/>
            <w:gridSpan w:val="2"/>
          </w:tcPr>
          <w:p w14:paraId="34AA455B" w14:textId="77777777" w:rsidR="00EB198B" w:rsidRPr="000C0B6C" w:rsidRDefault="00EB198B" w:rsidP="00EB198B"/>
        </w:tc>
        <w:tc>
          <w:tcPr>
            <w:tcW w:w="5785" w:type="dxa"/>
          </w:tcPr>
          <w:p w14:paraId="033378EC" w14:textId="77777777" w:rsidR="00EB198B" w:rsidRPr="000C0B6C" w:rsidRDefault="00EB198B" w:rsidP="00EB198B"/>
        </w:tc>
      </w:tr>
      <w:tr w:rsidR="00EB198B" w:rsidRPr="000C0B6C" w14:paraId="28B4CEF5" w14:textId="77777777" w:rsidTr="005D2E65">
        <w:trPr>
          <w:trHeight w:val="224"/>
        </w:trPr>
        <w:tc>
          <w:tcPr>
            <w:tcW w:w="817" w:type="dxa"/>
          </w:tcPr>
          <w:p w14:paraId="28A7F314" w14:textId="77777777" w:rsidR="00EB198B" w:rsidRPr="000C0B6C" w:rsidRDefault="00EB198B" w:rsidP="00EB198B"/>
        </w:tc>
        <w:tc>
          <w:tcPr>
            <w:tcW w:w="815" w:type="dxa"/>
          </w:tcPr>
          <w:p w14:paraId="4E250F52" w14:textId="77777777" w:rsidR="00EB198B" w:rsidRPr="000C0B6C" w:rsidRDefault="00EB198B" w:rsidP="00EB198B"/>
        </w:tc>
        <w:tc>
          <w:tcPr>
            <w:tcW w:w="974" w:type="dxa"/>
          </w:tcPr>
          <w:p w14:paraId="7EC99A72" w14:textId="77777777" w:rsidR="00EB198B" w:rsidRPr="000C0B6C" w:rsidRDefault="00EB198B" w:rsidP="00EB198B"/>
        </w:tc>
        <w:tc>
          <w:tcPr>
            <w:tcW w:w="1215" w:type="dxa"/>
            <w:gridSpan w:val="2"/>
          </w:tcPr>
          <w:p w14:paraId="17370991" w14:textId="77777777" w:rsidR="00EB198B" w:rsidRPr="000C0B6C" w:rsidRDefault="00EB198B" w:rsidP="00EB198B"/>
        </w:tc>
        <w:tc>
          <w:tcPr>
            <w:tcW w:w="5785" w:type="dxa"/>
          </w:tcPr>
          <w:p w14:paraId="3576C6C9" w14:textId="77777777" w:rsidR="00EB198B" w:rsidRPr="000C0B6C" w:rsidRDefault="00EB198B" w:rsidP="00EB198B"/>
        </w:tc>
      </w:tr>
      <w:tr w:rsidR="00EB198B" w:rsidRPr="000C0B6C" w14:paraId="70CA2C38" w14:textId="77777777" w:rsidTr="005D2E65">
        <w:trPr>
          <w:trHeight w:val="224"/>
        </w:trPr>
        <w:tc>
          <w:tcPr>
            <w:tcW w:w="817" w:type="dxa"/>
          </w:tcPr>
          <w:p w14:paraId="3B7460D9" w14:textId="77777777" w:rsidR="00EB198B" w:rsidRPr="000C0B6C" w:rsidRDefault="00EB198B" w:rsidP="00EB198B"/>
        </w:tc>
        <w:tc>
          <w:tcPr>
            <w:tcW w:w="815" w:type="dxa"/>
          </w:tcPr>
          <w:p w14:paraId="7AB4487C" w14:textId="77777777" w:rsidR="00EB198B" w:rsidRPr="000C0B6C" w:rsidRDefault="00EB198B" w:rsidP="00EB198B"/>
        </w:tc>
        <w:tc>
          <w:tcPr>
            <w:tcW w:w="974" w:type="dxa"/>
          </w:tcPr>
          <w:p w14:paraId="714DAD36" w14:textId="77777777" w:rsidR="00EB198B" w:rsidRPr="000C0B6C" w:rsidRDefault="00EB198B" w:rsidP="00EB198B"/>
        </w:tc>
        <w:tc>
          <w:tcPr>
            <w:tcW w:w="1215" w:type="dxa"/>
            <w:gridSpan w:val="2"/>
          </w:tcPr>
          <w:p w14:paraId="4BFAEDAC" w14:textId="77777777" w:rsidR="00EB198B" w:rsidRPr="000C0B6C" w:rsidRDefault="00EB198B" w:rsidP="00EB198B"/>
        </w:tc>
        <w:tc>
          <w:tcPr>
            <w:tcW w:w="5785" w:type="dxa"/>
          </w:tcPr>
          <w:p w14:paraId="747CBF77" w14:textId="77777777" w:rsidR="00EB198B" w:rsidRPr="000C0B6C" w:rsidRDefault="00EB198B" w:rsidP="00EB198B"/>
        </w:tc>
      </w:tr>
      <w:tr w:rsidR="00EB198B" w:rsidRPr="000C0B6C" w14:paraId="6B823947" w14:textId="77777777" w:rsidTr="005D2E65">
        <w:trPr>
          <w:trHeight w:val="224"/>
        </w:trPr>
        <w:tc>
          <w:tcPr>
            <w:tcW w:w="817" w:type="dxa"/>
          </w:tcPr>
          <w:p w14:paraId="170F4114" w14:textId="77777777" w:rsidR="00EB198B" w:rsidRPr="000C0B6C" w:rsidRDefault="00EB198B" w:rsidP="00EB198B"/>
        </w:tc>
        <w:tc>
          <w:tcPr>
            <w:tcW w:w="815" w:type="dxa"/>
          </w:tcPr>
          <w:p w14:paraId="3F4062EC" w14:textId="77777777" w:rsidR="00EB198B" w:rsidRPr="000C0B6C" w:rsidRDefault="00EB198B" w:rsidP="00EB198B"/>
        </w:tc>
        <w:tc>
          <w:tcPr>
            <w:tcW w:w="974" w:type="dxa"/>
          </w:tcPr>
          <w:p w14:paraId="241FDC97" w14:textId="77777777" w:rsidR="00EB198B" w:rsidRPr="000C0B6C" w:rsidRDefault="00EB198B" w:rsidP="00EB198B"/>
        </w:tc>
        <w:tc>
          <w:tcPr>
            <w:tcW w:w="1215" w:type="dxa"/>
            <w:gridSpan w:val="2"/>
          </w:tcPr>
          <w:p w14:paraId="755E530F" w14:textId="77777777" w:rsidR="00EB198B" w:rsidRPr="000C0B6C" w:rsidRDefault="00EB198B" w:rsidP="00EB198B"/>
        </w:tc>
        <w:tc>
          <w:tcPr>
            <w:tcW w:w="5785" w:type="dxa"/>
          </w:tcPr>
          <w:p w14:paraId="3EA56E38" w14:textId="77777777" w:rsidR="00EB198B" w:rsidRPr="000C0B6C" w:rsidRDefault="00EB198B" w:rsidP="00EB198B"/>
        </w:tc>
      </w:tr>
      <w:tr w:rsidR="00EB198B" w:rsidRPr="000C0B6C" w14:paraId="486C5A5B" w14:textId="77777777" w:rsidTr="005D2E65">
        <w:trPr>
          <w:trHeight w:val="224"/>
        </w:trPr>
        <w:tc>
          <w:tcPr>
            <w:tcW w:w="817" w:type="dxa"/>
          </w:tcPr>
          <w:p w14:paraId="7DDC37F3" w14:textId="77777777" w:rsidR="00EB198B" w:rsidRPr="000C0B6C" w:rsidRDefault="00EB198B" w:rsidP="00EB198B"/>
        </w:tc>
        <w:tc>
          <w:tcPr>
            <w:tcW w:w="815" w:type="dxa"/>
          </w:tcPr>
          <w:p w14:paraId="045B597F" w14:textId="77777777" w:rsidR="00EB198B" w:rsidRPr="000C0B6C" w:rsidRDefault="00EB198B" w:rsidP="00EB198B"/>
        </w:tc>
        <w:tc>
          <w:tcPr>
            <w:tcW w:w="974" w:type="dxa"/>
          </w:tcPr>
          <w:p w14:paraId="3F85061F" w14:textId="77777777" w:rsidR="00EB198B" w:rsidRPr="000C0B6C" w:rsidRDefault="00EB198B" w:rsidP="00EB198B"/>
        </w:tc>
        <w:tc>
          <w:tcPr>
            <w:tcW w:w="1215" w:type="dxa"/>
            <w:gridSpan w:val="2"/>
          </w:tcPr>
          <w:p w14:paraId="6D48BACF" w14:textId="77777777" w:rsidR="00EB198B" w:rsidRPr="000C0B6C" w:rsidRDefault="00EB198B" w:rsidP="00EB198B"/>
        </w:tc>
        <w:tc>
          <w:tcPr>
            <w:tcW w:w="5785" w:type="dxa"/>
          </w:tcPr>
          <w:p w14:paraId="1A339874" w14:textId="77777777" w:rsidR="00EB198B" w:rsidRPr="000C0B6C" w:rsidRDefault="00EB198B" w:rsidP="00EB198B"/>
        </w:tc>
      </w:tr>
      <w:tr w:rsidR="00EB198B" w:rsidRPr="000C0B6C" w14:paraId="37A6A6E1" w14:textId="77777777" w:rsidTr="005D2E65">
        <w:trPr>
          <w:trHeight w:val="224"/>
        </w:trPr>
        <w:tc>
          <w:tcPr>
            <w:tcW w:w="817" w:type="dxa"/>
          </w:tcPr>
          <w:p w14:paraId="7FD32215" w14:textId="77777777" w:rsidR="00EB198B" w:rsidRPr="000C0B6C" w:rsidRDefault="00EB198B" w:rsidP="00EB198B"/>
        </w:tc>
        <w:tc>
          <w:tcPr>
            <w:tcW w:w="815" w:type="dxa"/>
          </w:tcPr>
          <w:p w14:paraId="61CF7557" w14:textId="77777777" w:rsidR="00EB198B" w:rsidRPr="000C0B6C" w:rsidRDefault="00EB198B" w:rsidP="00EB198B"/>
        </w:tc>
        <w:tc>
          <w:tcPr>
            <w:tcW w:w="974" w:type="dxa"/>
          </w:tcPr>
          <w:p w14:paraId="6ED5723B" w14:textId="77777777" w:rsidR="00EB198B" w:rsidRPr="000C0B6C" w:rsidRDefault="00EB198B" w:rsidP="00EB198B"/>
        </w:tc>
        <w:tc>
          <w:tcPr>
            <w:tcW w:w="1215" w:type="dxa"/>
            <w:gridSpan w:val="2"/>
          </w:tcPr>
          <w:p w14:paraId="0D8C234B" w14:textId="77777777" w:rsidR="00EB198B" w:rsidRPr="000C0B6C" w:rsidRDefault="00EB198B" w:rsidP="00EB198B"/>
        </w:tc>
        <w:tc>
          <w:tcPr>
            <w:tcW w:w="5785" w:type="dxa"/>
          </w:tcPr>
          <w:p w14:paraId="5432B06A" w14:textId="77777777" w:rsidR="00EB198B" w:rsidRPr="000C0B6C" w:rsidRDefault="00EB198B" w:rsidP="00EB198B"/>
        </w:tc>
      </w:tr>
      <w:tr w:rsidR="00EB198B" w:rsidRPr="000C0B6C" w14:paraId="52BDAB6C" w14:textId="77777777" w:rsidTr="005D2E65">
        <w:trPr>
          <w:trHeight w:val="224"/>
        </w:trPr>
        <w:tc>
          <w:tcPr>
            <w:tcW w:w="817" w:type="dxa"/>
          </w:tcPr>
          <w:p w14:paraId="0F5CCD73" w14:textId="77777777" w:rsidR="00EB198B" w:rsidRPr="000C0B6C" w:rsidRDefault="00EB198B" w:rsidP="00EB198B"/>
        </w:tc>
        <w:tc>
          <w:tcPr>
            <w:tcW w:w="815" w:type="dxa"/>
          </w:tcPr>
          <w:p w14:paraId="764261BB" w14:textId="77777777" w:rsidR="00EB198B" w:rsidRPr="000C0B6C" w:rsidRDefault="00EB198B" w:rsidP="00EB198B"/>
        </w:tc>
        <w:tc>
          <w:tcPr>
            <w:tcW w:w="974" w:type="dxa"/>
          </w:tcPr>
          <w:p w14:paraId="6BAC4289" w14:textId="77777777" w:rsidR="00EB198B" w:rsidRPr="000C0B6C" w:rsidRDefault="00EB198B" w:rsidP="00EB198B"/>
        </w:tc>
        <w:tc>
          <w:tcPr>
            <w:tcW w:w="1215" w:type="dxa"/>
            <w:gridSpan w:val="2"/>
          </w:tcPr>
          <w:p w14:paraId="4A81687F" w14:textId="77777777" w:rsidR="00EB198B" w:rsidRPr="000C0B6C" w:rsidRDefault="00EB198B" w:rsidP="00EB198B"/>
        </w:tc>
        <w:tc>
          <w:tcPr>
            <w:tcW w:w="5785" w:type="dxa"/>
          </w:tcPr>
          <w:p w14:paraId="6192AB2C" w14:textId="77777777" w:rsidR="00EB198B" w:rsidRPr="000C0B6C" w:rsidRDefault="00EB198B" w:rsidP="00EB198B"/>
        </w:tc>
      </w:tr>
      <w:tr w:rsidR="00EB198B" w:rsidRPr="000C0B6C" w14:paraId="556713C2" w14:textId="77777777" w:rsidTr="005D2E65">
        <w:trPr>
          <w:trHeight w:val="224"/>
        </w:trPr>
        <w:tc>
          <w:tcPr>
            <w:tcW w:w="817" w:type="dxa"/>
          </w:tcPr>
          <w:p w14:paraId="5166326A" w14:textId="77777777" w:rsidR="00EB198B" w:rsidRPr="000C0B6C" w:rsidRDefault="00EB198B" w:rsidP="00EB198B"/>
        </w:tc>
        <w:tc>
          <w:tcPr>
            <w:tcW w:w="815" w:type="dxa"/>
          </w:tcPr>
          <w:p w14:paraId="58A8E0BA" w14:textId="77777777" w:rsidR="00EB198B" w:rsidRPr="000C0B6C" w:rsidRDefault="00EB198B" w:rsidP="00EB198B"/>
        </w:tc>
        <w:tc>
          <w:tcPr>
            <w:tcW w:w="974" w:type="dxa"/>
          </w:tcPr>
          <w:p w14:paraId="61C21FB4" w14:textId="77777777" w:rsidR="00EB198B" w:rsidRPr="000C0B6C" w:rsidRDefault="00EB198B" w:rsidP="00EB198B"/>
        </w:tc>
        <w:tc>
          <w:tcPr>
            <w:tcW w:w="1215" w:type="dxa"/>
            <w:gridSpan w:val="2"/>
          </w:tcPr>
          <w:p w14:paraId="6F4717F3" w14:textId="77777777" w:rsidR="00EB198B" w:rsidRPr="000C0B6C" w:rsidRDefault="00EB198B" w:rsidP="00EB198B"/>
        </w:tc>
        <w:tc>
          <w:tcPr>
            <w:tcW w:w="5785" w:type="dxa"/>
          </w:tcPr>
          <w:p w14:paraId="156EC422" w14:textId="77777777" w:rsidR="00EB198B" w:rsidRPr="000C0B6C" w:rsidRDefault="00EB198B" w:rsidP="00EB198B"/>
        </w:tc>
      </w:tr>
      <w:tr w:rsidR="00EB198B" w:rsidRPr="000C0B6C" w14:paraId="72BE3D4F" w14:textId="77777777" w:rsidTr="005D2E65">
        <w:trPr>
          <w:trHeight w:val="224"/>
        </w:trPr>
        <w:tc>
          <w:tcPr>
            <w:tcW w:w="817" w:type="dxa"/>
          </w:tcPr>
          <w:p w14:paraId="6E6DD749" w14:textId="77777777" w:rsidR="00EB198B" w:rsidRPr="000C0B6C" w:rsidRDefault="00EB198B" w:rsidP="00EB198B"/>
        </w:tc>
        <w:tc>
          <w:tcPr>
            <w:tcW w:w="815" w:type="dxa"/>
          </w:tcPr>
          <w:p w14:paraId="06E8F53F" w14:textId="77777777" w:rsidR="00EB198B" w:rsidRPr="000C0B6C" w:rsidRDefault="00EB198B" w:rsidP="00EB198B"/>
        </w:tc>
        <w:tc>
          <w:tcPr>
            <w:tcW w:w="974" w:type="dxa"/>
          </w:tcPr>
          <w:p w14:paraId="321530C1" w14:textId="77777777" w:rsidR="00EB198B" w:rsidRPr="000C0B6C" w:rsidRDefault="00EB198B" w:rsidP="00EB198B"/>
        </w:tc>
        <w:tc>
          <w:tcPr>
            <w:tcW w:w="1215" w:type="dxa"/>
            <w:gridSpan w:val="2"/>
          </w:tcPr>
          <w:p w14:paraId="71FC1ECC" w14:textId="77777777" w:rsidR="00EB198B" w:rsidRPr="000C0B6C" w:rsidRDefault="00EB198B" w:rsidP="00EB198B"/>
        </w:tc>
        <w:tc>
          <w:tcPr>
            <w:tcW w:w="5785" w:type="dxa"/>
          </w:tcPr>
          <w:p w14:paraId="70366B46" w14:textId="77777777" w:rsidR="00EB198B" w:rsidRPr="000C0B6C" w:rsidRDefault="00EB198B" w:rsidP="00EB198B"/>
        </w:tc>
      </w:tr>
      <w:tr w:rsidR="00EB198B" w:rsidRPr="000C0B6C" w14:paraId="1AFD0DC8" w14:textId="77777777" w:rsidTr="005D2E65">
        <w:trPr>
          <w:trHeight w:val="224"/>
        </w:trPr>
        <w:tc>
          <w:tcPr>
            <w:tcW w:w="817" w:type="dxa"/>
          </w:tcPr>
          <w:p w14:paraId="0742FAA9" w14:textId="77777777" w:rsidR="00EB198B" w:rsidRPr="000C0B6C" w:rsidRDefault="00EB198B" w:rsidP="00EB198B"/>
        </w:tc>
        <w:tc>
          <w:tcPr>
            <w:tcW w:w="815" w:type="dxa"/>
          </w:tcPr>
          <w:p w14:paraId="2F96DBB8" w14:textId="77777777" w:rsidR="00EB198B" w:rsidRPr="000C0B6C" w:rsidRDefault="00EB198B" w:rsidP="00EB198B"/>
        </w:tc>
        <w:tc>
          <w:tcPr>
            <w:tcW w:w="974" w:type="dxa"/>
          </w:tcPr>
          <w:p w14:paraId="4977EFC5" w14:textId="77777777" w:rsidR="00EB198B" w:rsidRPr="000C0B6C" w:rsidRDefault="00EB198B" w:rsidP="00EB198B"/>
        </w:tc>
        <w:tc>
          <w:tcPr>
            <w:tcW w:w="1215" w:type="dxa"/>
            <w:gridSpan w:val="2"/>
          </w:tcPr>
          <w:p w14:paraId="19362ED0" w14:textId="77777777" w:rsidR="00EB198B" w:rsidRPr="000C0B6C" w:rsidRDefault="00EB198B" w:rsidP="00EB198B"/>
        </w:tc>
        <w:tc>
          <w:tcPr>
            <w:tcW w:w="5785" w:type="dxa"/>
          </w:tcPr>
          <w:p w14:paraId="4EAE97A9" w14:textId="77777777" w:rsidR="00EB198B" w:rsidRPr="000C0B6C" w:rsidRDefault="00EB198B" w:rsidP="00EB198B"/>
        </w:tc>
      </w:tr>
      <w:tr w:rsidR="00EB198B" w:rsidRPr="000C0B6C" w14:paraId="13B171BE" w14:textId="77777777" w:rsidTr="005D2E65">
        <w:trPr>
          <w:trHeight w:val="224"/>
        </w:trPr>
        <w:tc>
          <w:tcPr>
            <w:tcW w:w="817" w:type="dxa"/>
          </w:tcPr>
          <w:p w14:paraId="79066DE5" w14:textId="77777777" w:rsidR="00EB198B" w:rsidRPr="000C0B6C" w:rsidRDefault="00EB198B" w:rsidP="00EB198B"/>
        </w:tc>
        <w:tc>
          <w:tcPr>
            <w:tcW w:w="815" w:type="dxa"/>
          </w:tcPr>
          <w:p w14:paraId="06B2EBE5" w14:textId="77777777" w:rsidR="00EB198B" w:rsidRPr="000C0B6C" w:rsidRDefault="00EB198B" w:rsidP="00EB198B"/>
        </w:tc>
        <w:tc>
          <w:tcPr>
            <w:tcW w:w="974" w:type="dxa"/>
          </w:tcPr>
          <w:p w14:paraId="191073DB" w14:textId="77777777" w:rsidR="00EB198B" w:rsidRPr="000C0B6C" w:rsidRDefault="00EB198B" w:rsidP="00EB198B"/>
        </w:tc>
        <w:tc>
          <w:tcPr>
            <w:tcW w:w="1215" w:type="dxa"/>
            <w:gridSpan w:val="2"/>
          </w:tcPr>
          <w:p w14:paraId="27394CDC" w14:textId="77777777" w:rsidR="00EB198B" w:rsidRPr="000C0B6C" w:rsidRDefault="00EB198B" w:rsidP="00EB198B"/>
        </w:tc>
        <w:tc>
          <w:tcPr>
            <w:tcW w:w="5785" w:type="dxa"/>
          </w:tcPr>
          <w:p w14:paraId="5C466584" w14:textId="77777777" w:rsidR="00EB198B" w:rsidRPr="000C0B6C" w:rsidRDefault="00EB198B" w:rsidP="00EB198B"/>
        </w:tc>
      </w:tr>
      <w:tr w:rsidR="00EB198B" w:rsidRPr="000C0B6C" w14:paraId="035A0DDD" w14:textId="77777777" w:rsidTr="005D2E65">
        <w:trPr>
          <w:trHeight w:val="224"/>
        </w:trPr>
        <w:tc>
          <w:tcPr>
            <w:tcW w:w="817" w:type="dxa"/>
          </w:tcPr>
          <w:p w14:paraId="19653202" w14:textId="77777777" w:rsidR="00EB198B" w:rsidRPr="000C0B6C" w:rsidRDefault="00EB198B" w:rsidP="00EB198B"/>
        </w:tc>
        <w:tc>
          <w:tcPr>
            <w:tcW w:w="815" w:type="dxa"/>
          </w:tcPr>
          <w:p w14:paraId="5A3C421A" w14:textId="77777777" w:rsidR="00EB198B" w:rsidRPr="000C0B6C" w:rsidRDefault="00EB198B" w:rsidP="00EB198B"/>
        </w:tc>
        <w:tc>
          <w:tcPr>
            <w:tcW w:w="974" w:type="dxa"/>
          </w:tcPr>
          <w:p w14:paraId="54C0D54E" w14:textId="77777777" w:rsidR="00EB198B" w:rsidRPr="000C0B6C" w:rsidRDefault="00EB198B" w:rsidP="00EB198B"/>
        </w:tc>
        <w:tc>
          <w:tcPr>
            <w:tcW w:w="1215" w:type="dxa"/>
            <w:gridSpan w:val="2"/>
          </w:tcPr>
          <w:p w14:paraId="04C406D4" w14:textId="77777777" w:rsidR="00EB198B" w:rsidRPr="000C0B6C" w:rsidRDefault="00EB198B" w:rsidP="00EB198B"/>
        </w:tc>
        <w:tc>
          <w:tcPr>
            <w:tcW w:w="5785" w:type="dxa"/>
          </w:tcPr>
          <w:p w14:paraId="6F469F4C" w14:textId="77777777" w:rsidR="00EB198B" w:rsidRPr="000C0B6C" w:rsidRDefault="00EB198B" w:rsidP="00EB198B"/>
        </w:tc>
      </w:tr>
      <w:tr w:rsidR="00EB198B" w:rsidRPr="000C0B6C" w14:paraId="200864F0" w14:textId="77777777" w:rsidTr="005D2E65">
        <w:trPr>
          <w:trHeight w:val="224"/>
        </w:trPr>
        <w:tc>
          <w:tcPr>
            <w:tcW w:w="817" w:type="dxa"/>
          </w:tcPr>
          <w:p w14:paraId="30D29673" w14:textId="77777777" w:rsidR="00EB198B" w:rsidRPr="000C0B6C" w:rsidRDefault="00EB198B" w:rsidP="00EB198B"/>
        </w:tc>
        <w:tc>
          <w:tcPr>
            <w:tcW w:w="815" w:type="dxa"/>
          </w:tcPr>
          <w:p w14:paraId="19E29857" w14:textId="77777777" w:rsidR="00EB198B" w:rsidRPr="000C0B6C" w:rsidRDefault="00EB198B" w:rsidP="00EB198B"/>
        </w:tc>
        <w:tc>
          <w:tcPr>
            <w:tcW w:w="974" w:type="dxa"/>
          </w:tcPr>
          <w:p w14:paraId="24FAFDED" w14:textId="77777777" w:rsidR="00EB198B" w:rsidRPr="000C0B6C" w:rsidRDefault="00EB198B" w:rsidP="00EB198B"/>
        </w:tc>
        <w:tc>
          <w:tcPr>
            <w:tcW w:w="1215" w:type="dxa"/>
            <w:gridSpan w:val="2"/>
          </w:tcPr>
          <w:p w14:paraId="4BEC290A" w14:textId="77777777" w:rsidR="00EB198B" w:rsidRPr="000C0B6C" w:rsidRDefault="00EB198B" w:rsidP="00EB198B"/>
        </w:tc>
        <w:tc>
          <w:tcPr>
            <w:tcW w:w="5785" w:type="dxa"/>
          </w:tcPr>
          <w:p w14:paraId="3DEF4A76" w14:textId="77777777" w:rsidR="00EB198B" w:rsidRPr="000C0B6C" w:rsidRDefault="00EB198B" w:rsidP="00EB198B">
            <w:r w:rsidRPr="000C0B6C">
              <w:rPr>
                <w:sz w:val="22"/>
                <w:szCs w:val="22"/>
              </w:rPr>
              <w:t>Additional rows can be added to this table by selecting “Table” followed by “insert” and “rows below”</w:t>
            </w:r>
          </w:p>
        </w:tc>
      </w:tr>
    </w:tbl>
    <w:p w14:paraId="7D151D61" w14:textId="77777777" w:rsidR="00AA726F" w:rsidRPr="00532BBA" w:rsidRDefault="00AA726F" w:rsidP="00DB71FC">
      <w:pPr>
        <w:pStyle w:val="Default"/>
        <w:jc w:val="center"/>
        <w:rPr>
          <w:b/>
          <w:sz w:val="22"/>
          <w:szCs w:val="22"/>
          <w:u w:val="single"/>
        </w:rPr>
      </w:pPr>
    </w:p>
    <w:p w14:paraId="2E151C68" w14:textId="77777777" w:rsidR="00AA726F" w:rsidRPr="00624FAA" w:rsidRDefault="00624FAA" w:rsidP="00DB71FC">
      <w:pPr>
        <w:jc w:val="both"/>
        <w:rPr>
          <w:i/>
          <w:szCs w:val="22"/>
        </w:rPr>
      </w:pPr>
      <w:r w:rsidRPr="00624FAA">
        <w:rPr>
          <w:i/>
          <w:sz w:val="22"/>
          <w:szCs w:val="22"/>
        </w:rPr>
        <w:t xml:space="preserve">Comments should be sent by e-mail to </w:t>
      </w:r>
      <w:hyperlink r:id="rId10"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16C9" w14:textId="77777777" w:rsidR="00495990" w:rsidRDefault="00495990">
      <w:r>
        <w:separator/>
      </w:r>
    </w:p>
  </w:endnote>
  <w:endnote w:type="continuationSeparator" w:id="0">
    <w:p w14:paraId="1D545722" w14:textId="77777777" w:rsidR="00495990" w:rsidRDefault="0049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021A" w14:textId="77777777" w:rsidR="00495990" w:rsidRDefault="00495990">
      <w:r>
        <w:separator/>
      </w:r>
    </w:p>
  </w:footnote>
  <w:footnote w:type="continuationSeparator" w:id="0">
    <w:p w14:paraId="07ED9A1D" w14:textId="77777777" w:rsidR="00495990" w:rsidRDefault="00495990">
      <w:r>
        <w:continuationSeparator/>
      </w:r>
    </w:p>
  </w:footnote>
  <w:footnote w:id="1">
    <w:p w14:paraId="3EE62365" w14:textId="77777777"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1DE8BFD2" w14:textId="77777777"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1FF9"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434A"/>
    <w:rsid w:val="0001655B"/>
    <w:rsid w:val="00020CB7"/>
    <w:rsid w:val="0002384F"/>
    <w:rsid w:val="00053583"/>
    <w:rsid w:val="00060F26"/>
    <w:rsid w:val="00082816"/>
    <w:rsid w:val="00090581"/>
    <w:rsid w:val="000968B8"/>
    <w:rsid w:val="000A1EAF"/>
    <w:rsid w:val="000B6228"/>
    <w:rsid w:val="000C0B6C"/>
    <w:rsid w:val="000E2664"/>
    <w:rsid w:val="000F5D77"/>
    <w:rsid w:val="0011369D"/>
    <w:rsid w:val="001179DB"/>
    <w:rsid w:val="00117FE0"/>
    <w:rsid w:val="001208DE"/>
    <w:rsid w:val="00124FA1"/>
    <w:rsid w:val="00131A78"/>
    <w:rsid w:val="00153018"/>
    <w:rsid w:val="00170A3F"/>
    <w:rsid w:val="00174E70"/>
    <w:rsid w:val="001771FC"/>
    <w:rsid w:val="001A7B51"/>
    <w:rsid w:val="001B7642"/>
    <w:rsid w:val="001C1A3B"/>
    <w:rsid w:val="001D3754"/>
    <w:rsid w:val="001E3E11"/>
    <w:rsid w:val="001F34E8"/>
    <w:rsid w:val="001F356A"/>
    <w:rsid w:val="001F4627"/>
    <w:rsid w:val="00203867"/>
    <w:rsid w:val="00211568"/>
    <w:rsid w:val="002324A3"/>
    <w:rsid w:val="002337AC"/>
    <w:rsid w:val="00244FE0"/>
    <w:rsid w:val="00247402"/>
    <w:rsid w:val="00250C40"/>
    <w:rsid w:val="00290379"/>
    <w:rsid w:val="00290B46"/>
    <w:rsid w:val="00293F53"/>
    <w:rsid w:val="00297A07"/>
    <w:rsid w:val="002A5D51"/>
    <w:rsid w:val="002A6DA8"/>
    <w:rsid w:val="002D065D"/>
    <w:rsid w:val="00305B1F"/>
    <w:rsid w:val="00311B71"/>
    <w:rsid w:val="00312698"/>
    <w:rsid w:val="00323670"/>
    <w:rsid w:val="003249B9"/>
    <w:rsid w:val="00332A6E"/>
    <w:rsid w:val="00333F18"/>
    <w:rsid w:val="00335407"/>
    <w:rsid w:val="0035529C"/>
    <w:rsid w:val="00384EB6"/>
    <w:rsid w:val="003B6338"/>
    <w:rsid w:val="003D6BBF"/>
    <w:rsid w:val="003E0BA2"/>
    <w:rsid w:val="003E63A9"/>
    <w:rsid w:val="003F5EC1"/>
    <w:rsid w:val="00404BD3"/>
    <w:rsid w:val="0043164D"/>
    <w:rsid w:val="004422E0"/>
    <w:rsid w:val="00454CE8"/>
    <w:rsid w:val="004710AE"/>
    <w:rsid w:val="004725FE"/>
    <w:rsid w:val="00487C28"/>
    <w:rsid w:val="00495268"/>
    <w:rsid w:val="00495990"/>
    <w:rsid w:val="004B50A2"/>
    <w:rsid w:val="004E0928"/>
    <w:rsid w:val="004E4BCF"/>
    <w:rsid w:val="004F0B61"/>
    <w:rsid w:val="004F1EB4"/>
    <w:rsid w:val="00506FCD"/>
    <w:rsid w:val="00526354"/>
    <w:rsid w:val="00532BBA"/>
    <w:rsid w:val="005469ED"/>
    <w:rsid w:val="0055668B"/>
    <w:rsid w:val="00560FBE"/>
    <w:rsid w:val="005824FC"/>
    <w:rsid w:val="00585692"/>
    <w:rsid w:val="00590627"/>
    <w:rsid w:val="005932D5"/>
    <w:rsid w:val="005C0D18"/>
    <w:rsid w:val="005C3F60"/>
    <w:rsid w:val="005D2E65"/>
    <w:rsid w:val="005D3F78"/>
    <w:rsid w:val="005D5557"/>
    <w:rsid w:val="005D7498"/>
    <w:rsid w:val="005E2407"/>
    <w:rsid w:val="005F0260"/>
    <w:rsid w:val="00600804"/>
    <w:rsid w:val="006056FD"/>
    <w:rsid w:val="00624C82"/>
    <w:rsid w:val="00624FAA"/>
    <w:rsid w:val="00626CE8"/>
    <w:rsid w:val="00642AC0"/>
    <w:rsid w:val="00643F7F"/>
    <w:rsid w:val="006545D8"/>
    <w:rsid w:val="00661157"/>
    <w:rsid w:val="006618C3"/>
    <w:rsid w:val="00665BC7"/>
    <w:rsid w:val="00690111"/>
    <w:rsid w:val="006D5291"/>
    <w:rsid w:val="006F40ED"/>
    <w:rsid w:val="006F4D56"/>
    <w:rsid w:val="00750EDF"/>
    <w:rsid w:val="00757A3C"/>
    <w:rsid w:val="007730B4"/>
    <w:rsid w:val="0079367D"/>
    <w:rsid w:val="00796A1A"/>
    <w:rsid w:val="007A24E9"/>
    <w:rsid w:val="007C0C1B"/>
    <w:rsid w:val="007C41D1"/>
    <w:rsid w:val="007D13B8"/>
    <w:rsid w:val="007F04C6"/>
    <w:rsid w:val="00801D1A"/>
    <w:rsid w:val="00804363"/>
    <w:rsid w:val="00832E1E"/>
    <w:rsid w:val="00840313"/>
    <w:rsid w:val="0085727C"/>
    <w:rsid w:val="00871884"/>
    <w:rsid w:val="00887B98"/>
    <w:rsid w:val="008911E7"/>
    <w:rsid w:val="008A2175"/>
    <w:rsid w:val="008B0624"/>
    <w:rsid w:val="008C4B6B"/>
    <w:rsid w:val="008D46F4"/>
    <w:rsid w:val="008D761B"/>
    <w:rsid w:val="008E5267"/>
    <w:rsid w:val="008E5DA6"/>
    <w:rsid w:val="00945444"/>
    <w:rsid w:val="00947BAE"/>
    <w:rsid w:val="00967C19"/>
    <w:rsid w:val="00985B44"/>
    <w:rsid w:val="00990C4C"/>
    <w:rsid w:val="009B53FD"/>
    <w:rsid w:val="009C0234"/>
    <w:rsid w:val="009C21A2"/>
    <w:rsid w:val="009D0254"/>
    <w:rsid w:val="009D02A0"/>
    <w:rsid w:val="009E5F12"/>
    <w:rsid w:val="009E7EB7"/>
    <w:rsid w:val="009F28E0"/>
    <w:rsid w:val="00A2000C"/>
    <w:rsid w:val="00A312D8"/>
    <w:rsid w:val="00A35A86"/>
    <w:rsid w:val="00A62047"/>
    <w:rsid w:val="00A711AB"/>
    <w:rsid w:val="00A93515"/>
    <w:rsid w:val="00AA45C5"/>
    <w:rsid w:val="00AA726F"/>
    <w:rsid w:val="00AC1D84"/>
    <w:rsid w:val="00AC73F7"/>
    <w:rsid w:val="00AE6FEC"/>
    <w:rsid w:val="00AF6208"/>
    <w:rsid w:val="00B0290E"/>
    <w:rsid w:val="00B02B94"/>
    <w:rsid w:val="00B06B2E"/>
    <w:rsid w:val="00B129C6"/>
    <w:rsid w:val="00B411D0"/>
    <w:rsid w:val="00B65D31"/>
    <w:rsid w:val="00B76BE3"/>
    <w:rsid w:val="00B93D50"/>
    <w:rsid w:val="00BC09B3"/>
    <w:rsid w:val="00BC3D9A"/>
    <w:rsid w:val="00BC4626"/>
    <w:rsid w:val="00BD036A"/>
    <w:rsid w:val="00C0100A"/>
    <w:rsid w:val="00C115A2"/>
    <w:rsid w:val="00C60611"/>
    <w:rsid w:val="00C65EF1"/>
    <w:rsid w:val="00C66A97"/>
    <w:rsid w:val="00C73F78"/>
    <w:rsid w:val="00C813ED"/>
    <w:rsid w:val="00C9464F"/>
    <w:rsid w:val="00CA3CDA"/>
    <w:rsid w:val="00CA574A"/>
    <w:rsid w:val="00CB31A6"/>
    <w:rsid w:val="00CB47F8"/>
    <w:rsid w:val="00CB6CB9"/>
    <w:rsid w:val="00CC3862"/>
    <w:rsid w:val="00CD6979"/>
    <w:rsid w:val="00CF16C6"/>
    <w:rsid w:val="00CF62DB"/>
    <w:rsid w:val="00D04742"/>
    <w:rsid w:val="00D17C13"/>
    <w:rsid w:val="00D5253A"/>
    <w:rsid w:val="00D72B8D"/>
    <w:rsid w:val="00D762D2"/>
    <w:rsid w:val="00D8033C"/>
    <w:rsid w:val="00D9146A"/>
    <w:rsid w:val="00D9467E"/>
    <w:rsid w:val="00DB71FC"/>
    <w:rsid w:val="00DC1FCD"/>
    <w:rsid w:val="00DC466F"/>
    <w:rsid w:val="00DC7317"/>
    <w:rsid w:val="00DD3897"/>
    <w:rsid w:val="00DE4062"/>
    <w:rsid w:val="00E034BA"/>
    <w:rsid w:val="00E059BB"/>
    <w:rsid w:val="00E14C4F"/>
    <w:rsid w:val="00E36708"/>
    <w:rsid w:val="00E47EE6"/>
    <w:rsid w:val="00E542DB"/>
    <w:rsid w:val="00E6426D"/>
    <w:rsid w:val="00E74140"/>
    <w:rsid w:val="00E75853"/>
    <w:rsid w:val="00E77899"/>
    <w:rsid w:val="00E80F46"/>
    <w:rsid w:val="00E86A51"/>
    <w:rsid w:val="00EA18E2"/>
    <w:rsid w:val="00EA58F2"/>
    <w:rsid w:val="00EB198B"/>
    <w:rsid w:val="00EB2762"/>
    <w:rsid w:val="00EB41C8"/>
    <w:rsid w:val="00EC787C"/>
    <w:rsid w:val="00F16439"/>
    <w:rsid w:val="00F35F42"/>
    <w:rsid w:val="00F54888"/>
    <w:rsid w:val="00F55E0E"/>
    <w:rsid w:val="00F60126"/>
    <w:rsid w:val="00F61250"/>
    <w:rsid w:val="00F91F01"/>
    <w:rsid w:val="00FB07FF"/>
    <w:rsid w:val="00FB59B7"/>
    <w:rsid w:val="00FC3FC2"/>
    <w:rsid w:val="00FD7120"/>
    <w:rsid w:val="00FE09CE"/>
    <w:rsid w:val="00FE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65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cbd.int"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AFEB-0B41-495B-8773-69B04C10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5</Pages>
  <Words>1074</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7321</CharactersWithSpaces>
  <SharedDoc>false</SharedDoc>
  <HLinks>
    <vt:vector size="30" baseType="variant">
      <vt:variant>
        <vt:i4>7405656</vt:i4>
      </vt:variant>
      <vt:variant>
        <vt:i4>6</vt:i4>
      </vt:variant>
      <vt:variant>
        <vt:i4>0</vt:i4>
      </vt:variant>
      <vt:variant>
        <vt:i4>5</vt:i4>
      </vt:variant>
      <vt:variant>
        <vt:lpwstr>mailto:secretariat@cbd.int</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2020-08-13T16:33:00Z</dcterms:created>
  <dcterms:modified xsi:type="dcterms:W3CDTF">2020-08-13T16:33:00Z</dcterms:modified>
</cp:coreProperties>
</file>