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26" w:rsidRPr="00D26321" w:rsidRDefault="008F4D26" w:rsidP="008F4D26">
      <w:pPr>
        <w:spacing w:after="100" w:afterAutospacing="1" w:line="240" w:lineRule="exact"/>
        <w:ind w:left="-187"/>
        <w:rPr>
          <w:rFonts w:eastAsia="Times New Roman" w:cstheme="minorHAnsi"/>
        </w:rPr>
      </w:pPr>
    </w:p>
    <w:p w:rsidR="0033776E" w:rsidRPr="0033776E" w:rsidRDefault="0033776E" w:rsidP="008F4D26">
      <w:pPr>
        <w:spacing w:after="100" w:afterAutospacing="1" w:line="240" w:lineRule="exact"/>
        <w:ind w:left="-187"/>
        <w:rPr>
          <w:rFonts w:eastAsia="Times New Roman" w:cstheme="minorHAnsi"/>
        </w:rPr>
      </w:pPr>
      <w:r w:rsidRPr="0033776E">
        <w:rPr>
          <w:rFonts w:eastAsia="Times New Roman" w:cstheme="minorHAnsi"/>
        </w:rPr>
        <w:t xml:space="preserve">Launched globally in 2005, the </w:t>
      </w:r>
      <w:r w:rsidRPr="0033776E">
        <w:rPr>
          <w:rFonts w:eastAsia="Times New Roman" w:cstheme="minorHAnsi"/>
          <w:b/>
        </w:rPr>
        <w:t>Alliance for Zero Extinction (AZE)</w:t>
      </w:r>
      <w:r w:rsidRPr="0033776E">
        <w:rPr>
          <w:rFonts w:eastAsia="Times New Roman" w:cstheme="minorHAnsi"/>
        </w:rPr>
        <w:t xml:space="preserve"> was established to designate and effectively conserve the most important sites for global biodiversity conservation.</w:t>
      </w:r>
      <w:r w:rsidRPr="00D26321">
        <w:rPr>
          <w:rFonts w:eastAsia="Times New Roman" w:cstheme="minorHAnsi"/>
        </w:rPr>
        <w:t xml:space="preserve"> Today, over 100 conservation groups comprise the Alliance.</w:t>
      </w:r>
    </w:p>
    <w:p w:rsidR="0033776E" w:rsidRPr="0033776E" w:rsidRDefault="0033776E" w:rsidP="008F4D26">
      <w:pPr>
        <w:spacing w:after="100" w:afterAutospacing="1" w:line="240" w:lineRule="exact"/>
        <w:ind w:left="-187"/>
        <w:rPr>
          <w:rFonts w:eastAsia="Times New Roman" w:cstheme="minorHAnsi"/>
        </w:rPr>
      </w:pPr>
      <w:r w:rsidRPr="0033776E">
        <w:rPr>
          <w:rFonts w:eastAsia="Times New Roman" w:cstheme="minorHAnsi"/>
        </w:rPr>
        <w:t xml:space="preserve">The </w:t>
      </w:r>
      <w:hyperlink r:id="rId7" w:history="1">
        <w:r w:rsidRPr="00D26321">
          <w:rPr>
            <w:rStyle w:val="Hyperlink"/>
            <w:rFonts w:eastAsia="Times New Roman" w:cstheme="minorHAnsi"/>
            <w:color w:val="auto"/>
          </w:rPr>
          <w:t>Alliance for Zero Extinction</w:t>
        </w:r>
      </w:hyperlink>
      <w:r w:rsidRPr="0033776E">
        <w:rPr>
          <w:rFonts w:eastAsia="Times New Roman" w:cstheme="minorHAnsi"/>
        </w:rPr>
        <w:t xml:space="preserve"> engages governments, multilateral institutions and non-governmental biodivers</w:t>
      </w:r>
      <w:r w:rsidRPr="00D26321">
        <w:rPr>
          <w:rFonts w:eastAsia="Times New Roman" w:cstheme="minorHAnsi"/>
        </w:rPr>
        <w:t xml:space="preserve">ity conservation organizations </w:t>
      </w:r>
      <w:r w:rsidRPr="0033776E">
        <w:rPr>
          <w:rFonts w:eastAsia="Times New Roman" w:cstheme="minorHAnsi"/>
        </w:rPr>
        <w:t>working to prevent species extinctions. Just under 1,500 of Earth’s most endangered species are restricted to just a single site, making these sites globally irreplaceable from a biodiversity conservation viewpoint.</w:t>
      </w:r>
    </w:p>
    <w:p w:rsidR="0033776E" w:rsidRPr="00D26321" w:rsidRDefault="0033776E" w:rsidP="008F4D26">
      <w:pPr>
        <w:spacing w:after="100" w:afterAutospacing="1" w:line="240" w:lineRule="exact"/>
        <w:ind w:left="-187"/>
        <w:rPr>
          <w:rFonts w:eastAsia="Times New Roman" w:cstheme="minorHAnsi"/>
        </w:rPr>
      </w:pPr>
      <w:r w:rsidRPr="00D26321">
        <w:rPr>
          <w:rFonts w:eastAsia="Times New Roman" w:cstheme="minorHAnsi"/>
        </w:rPr>
        <w:t>The Alliance for Zero Extinction has</w:t>
      </w:r>
      <w:r w:rsidRPr="0033776E">
        <w:rPr>
          <w:rFonts w:eastAsia="Times New Roman" w:cstheme="minorHAnsi"/>
        </w:rPr>
        <w:t xml:space="preserve"> identified 853 AZE sites, which are the areas that hold the last-remaining populations of one or more species evaluated to be Endangered or Critically Endangered on the </w:t>
      </w:r>
      <w:r w:rsidRPr="00D26321">
        <w:rPr>
          <w:rFonts w:eastAsia="Times New Roman" w:cstheme="minorHAnsi"/>
        </w:rPr>
        <w:t>IUCN Red List.</w:t>
      </w:r>
      <w:r w:rsidRPr="0033776E">
        <w:rPr>
          <w:rFonts w:eastAsia="Times New Roman" w:cstheme="minorHAnsi"/>
        </w:rPr>
        <w:t xml:space="preserve"> These </w:t>
      </w:r>
      <w:r w:rsidRPr="00D26321">
        <w:rPr>
          <w:rFonts w:eastAsia="Times New Roman" w:cstheme="minorHAnsi"/>
        </w:rPr>
        <w:t>sites, a subset of Key Biodiversity Areas,</w:t>
      </w:r>
      <w:r w:rsidRPr="0033776E">
        <w:rPr>
          <w:rFonts w:eastAsia="Times New Roman" w:cstheme="minorHAnsi"/>
        </w:rPr>
        <w:t xml:space="preserve"> must be effectively conserved to prevent the loss of the world’s species at highest risk of extinction, through protected area planning or </w:t>
      </w:r>
      <w:r w:rsidR="00ED7264" w:rsidRPr="00D26321">
        <w:t>other effective area -based conservation measures</w:t>
      </w:r>
      <w:r w:rsidRPr="0033776E">
        <w:rPr>
          <w:rFonts w:eastAsia="Times New Roman" w:cstheme="minorHAnsi"/>
        </w:rPr>
        <w:t>.</w:t>
      </w:r>
      <w:r w:rsidRPr="00D26321">
        <w:rPr>
          <w:rFonts w:eastAsia="Times New Roman" w:cstheme="minorHAnsi"/>
        </w:rPr>
        <w:t xml:space="preserve"> </w:t>
      </w:r>
    </w:p>
    <w:p w:rsidR="008F4D26" w:rsidRPr="00D26321" w:rsidRDefault="0033776E" w:rsidP="008F4D26">
      <w:pPr>
        <w:spacing w:after="100" w:afterAutospacing="1" w:line="240" w:lineRule="auto"/>
        <w:ind w:left="-187"/>
        <w:rPr>
          <w:rFonts w:eastAsia="Times New Roman" w:cstheme="minorHAnsi"/>
        </w:rPr>
      </w:pPr>
      <w:r w:rsidRPr="00D26321">
        <w:rPr>
          <w:rFonts w:eastAsia="Times New Roman" w:cstheme="minorHAnsi"/>
          <w:b/>
        </w:rPr>
        <w:t>The conservation of these 853 sites, identified globally using standardized criteria, must be the world’s top priority to prevent species extinctions</w:t>
      </w:r>
      <w:r w:rsidRPr="00D26321">
        <w:rPr>
          <w:rFonts w:eastAsia="Times New Roman" w:cstheme="minorHAnsi"/>
        </w:rPr>
        <w:t>.</w:t>
      </w:r>
    </w:p>
    <w:p w:rsidR="008F4D26" w:rsidRPr="00D26321" w:rsidRDefault="00AB5A1E" w:rsidP="008F4D26">
      <w:pPr>
        <w:spacing w:after="100" w:afterAutospacing="1" w:line="240" w:lineRule="auto"/>
        <w:ind w:left="-187"/>
        <w:rPr>
          <w:rFonts w:eastAsia="Times New Roman" w:cstheme="minorHAnsi"/>
        </w:rPr>
      </w:pPr>
      <w:r w:rsidRPr="00D26321">
        <w:rPr>
          <w:rFonts w:eastAsia="Times New Roman" w:cstheme="minorHAnsi"/>
          <w:b/>
          <w:sz w:val="32"/>
        </w:rPr>
        <w:t>AZE sites as indicators</w:t>
      </w:r>
    </w:p>
    <w:p w:rsidR="00AB5A1E" w:rsidRPr="00D26321" w:rsidRDefault="00AB5A1E" w:rsidP="008F4D26">
      <w:pPr>
        <w:spacing w:after="100" w:afterAutospacing="1" w:line="240" w:lineRule="auto"/>
        <w:ind w:left="-187"/>
        <w:rPr>
          <w:rFonts w:eastAsia="Times New Roman" w:cstheme="minorHAnsi"/>
        </w:rPr>
      </w:pPr>
      <w:r w:rsidRPr="00D26321">
        <w:rPr>
          <w:rFonts w:eastAsia="Times New Roman" w:cstheme="minorHAnsi"/>
        </w:rPr>
        <w:t>Alliance for Zero Extinction (AZE) sites are response targets (outcomes) that are:</w:t>
      </w:r>
    </w:p>
    <w:p w:rsidR="00AB5A1E" w:rsidRPr="00D26321" w:rsidRDefault="00AB5A1E" w:rsidP="008F4D26">
      <w:pPr>
        <w:pStyle w:val="ListParagraph"/>
        <w:numPr>
          <w:ilvl w:val="0"/>
          <w:numId w:val="2"/>
        </w:numPr>
        <w:spacing w:after="360" w:line="240" w:lineRule="exact"/>
        <w:ind w:left="1080"/>
        <w:rPr>
          <w:rFonts w:eastAsia="Times New Roman" w:cstheme="minorHAnsi"/>
        </w:rPr>
      </w:pPr>
      <w:r w:rsidRPr="00D26321">
        <w:rPr>
          <w:rFonts w:eastAsia="Times New Roman" w:cstheme="minorHAnsi"/>
        </w:rPr>
        <w:t>Specific, measureable, and identified using globally standardized criteria through broad consultation</w:t>
      </w:r>
    </w:p>
    <w:p w:rsidR="008F4D26" w:rsidRPr="00D26321" w:rsidRDefault="00AB5A1E" w:rsidP="008F4D26">
      <w:pPr>
        <w:pStyle w:val="ListParagraph"/>
        <w:numPr>
          <w:ilvl w:val="0"/>
          <w:numId w:val="2"/>
        </w:numPr>
        <w:spacing w:after="360" w:line="240" w:lineRule="exact"/>
        <w:ind w:left="1080"/>
        <w:rPr>
          <w:rFonts w:eastAsia="Times New Roman" w:cstheme="minorHAnsi"/>
        </w:rPr>
      </w:pPr>
      <w:r w:rsidRPr="00D26321">
        <w:t>Consistent and comparable across countries</w:t>
      </w:r>
    </w:p>
    <w:p w:rsidR="00AB5A1E" w:rsidRPr="00D26321" w:rsidRDefault="00AB5A1E" w:rsidP="008F4D26">
      <w:pPr>
        <w:spacing w:after="360" w:line="240" w:lineRule="exact"/>
        <w:ind w:left="-180"/>
        <w:rPr>
          <w:rFonts w:eastAsia="Times New Roman" w:cstheme="minorHAnsi"/>
        </w:rPr>
      </w:pPr>
      <w:r w:rsidRPr="00D26321">
        <w:rPr>
          <w:rFonts w:eastAsia="Times New Roman" w:cstheme="minorHAnsi"/>
        </w:rPr>
        <w:t xml:space="preserve">The </w:t>
      </w:r>
      <w:hyperlink r:id="rId8" w:history="1">
        <w:r w:rsidRPr="00D26321">
          <w:rPr>
            <w:rStyle w:val="Hyperlink"/>
            <w:rFonts w:eastAsia="Times New Roman" w:cstheme="minorHAnsi"/>
            <w:i/>
            <w:color w:val="auto"/>
          </w:rPr>
          <w:t>Quick guide to Aichi Biodiversity Target 12</w:t>
        </w:r>
      </w:hyperlink>
      <w:r w:rsidRPr="00D26321">
        <w:rPr>
          <w:rFonts w:eastAsia="Times New Roman" w:cstheme="minorHAnsi"/>
          <w:i/>
        </w:rPr>
        <w:t xml:space="preserve"> </w:t>
      </w:r>
      <w:r w:rsidRPr="00D26321">
        <w:rPr>
          <w:rFonts w:eastAsia="Times New Roman" w:cstheme="minorHAnsi"/>
        </w:rPr>
        <w:t>states</w:t>
      </w:r>
      <w:r w:rsidRPr="00D26321">
        <w:rPr>
          <w:rFonts w:eastAsia="Times New Roman" w:cstheme="minorHAnsi"/>
          <w:i/>
        </w:rPr>
        <w:t xml:space="preserve"> </w:t>
      </w:r>
      <w:r w:rsidRPr="00D26321">
        <w:rPr>
          <w:rFonts w:eastAsia="Times New Roman" w:cstheme="minorHAnsi"/>
        </w:rPr>
        <w:t>that</w:t>
      </w:r>
      <w:r w:rsidRPr="00D26321">
        <w:rPr>
          <w:rFonts w:eastAsia="Times New Roman" w:cstheme="minorHAnsi"/>
          <w:i/>
        </w:rPr>
        <w:t xml:space="preserve"> “</w:t>
      </w:r>
      <w:r w:rsidRPr="00D26321">
        <w:rPr>
          <w:rFonts w:eastAsia="Times New Roman" w:cstheme="minorHAnsi"/>
        </w:rPr>
        <w:t>imminent extinctions of known threatened species can in many cases be prevented by protecting important habitats (such as Alliance for Zero Extinction sites).”</w:t>
      </w:r>
    </w:p>
    <w:p w:rsidR="00AB5A1E" w:rsidRPr="00D26321" w:rsidRDefault="00AB5A1E" w:rsidP="008F4D26">
      <w:pPr>
        <w:spacing w:after="360" w:line="240" w:lineRule="exact"/>
        <w:ind w:left="-180"/>
        <w:rPr>
          <w:rFonts w:eastAsia="Times New Roman" w:cstheme="minorHAnsi"/>
        </w:rPr>
      </w:pPr>
      <w:r w:rsidRPr="00D26321">
        <w:rPr>
          <w:rFonts w:eastAsia="Times New Roman" w:cstheme="minorHAnsi"/>
        </w:rPr>
        <w:t xml:space="preserve">AZE sites have been successfully mainstreamed into key financial sector entities, including the IFC’s </w:t>
      </w:r>
      <w:hyperlink r:id="rId9" w:history="1">
        <w:r w:rsidRPr="00D26321">
          <w:rPr>
            <w:rStyle w:val="Hyperlink"/>
            <w:rFonts w:eastAsia="Times New Roman" w:cstheme="minorHAnsi"/>
            <w:color w:val="auto"/>
          </w:rPr>
          <w:t>Guidance Note 6</w:t>
        </w:r>
      </w:hyperlink>
      <w:r w:rsidRPr="00D26321">
        <w:rPr>
          <w:rFonts w:eastAsia="Times New Roman" w:cstheme="minorHAnsi"/>
        </w:rPr>
        <w:t xml:space="preserve"> and The World Bank’s </w:t>
      </w:r>
      <w:hyperlink r:id="rId10" w:anchor="page=81&amp;zoom=80" w:history="1">
        <w:r w:rsidRPr="00D26321">
          <w:rPr>
            <w:rStyle w:val="Hyperlink"/>
            <w:rFonts w:eastAsia="Times New Roman" w:cstheme="minorHAnsi"/>
            <w:color w:val="auto"/>
          </w:rPr>
          <w:t>ESS6</w:t>
        </w:r>
      </w:hyperlink>
      <w:r w:rsidRPr="00D26321">
        <w:rPr>
          <w:rFonts w:eastAsia="Times New Roman" w:cstheme="minorHAnsi"/>
        </w:rPr>
        <w:t>, and can be further integrated into other sectors.</w:t>
      </w:r>
    </w:p>
    <w:p w:rsidR="008F4D26" w:rsidRPr="00D26321" w:rsidRDefault="0033776E" w:rsidP="008F4D26">
      <w:pPr>
        <w:spacing w:after="360" w:line="240" w:lineRule="auto"/>
        <w:ind w:left="-187"/>
        <w:rPr>
          <w:rFonts w:eastAsia="Times New Roman" w:cstheme="minorHAnsi"/>
        </w:rPr>
      </w:pPr>
      <w:r w:rsidRPr="00D26321">
        <w:rPr>
          <w:rFonts w:eastAsia="Times New Roman" w:cstheme="minorHAnsi"/>
          <w:b/>
          <w:sz w:val="32"/>
        </w:rPr>
        <w:t xml:space="preserve">Recommendations </w:t>
      </w:r>
      <w:r w:rsidR="008F4D26" w:rsidRPr="00D26321">
        <w:rPr>
          <w:rFonts w:eastAsia="Times New Roman" w:cstheme="minorHAnsi"/>
          <w:b/>
          <w:sz w:val="32"/>
        </w:rPr>
        <w:br/>
      </w:r>
      <w:r w:rsidR="008851F9" w:rsidRPr="00D26321">
        <w:rPr>
          <w:rFonts w:eastAsia="Times New Roman" w:cstheme="minorHAnsi"/>
        </w:rPr>
        <w:br/>
      </w:r>
      <w:r w:rsidR="008F4D26" w:rsidRPr="00D26321">
        <w:rPr>
          <w:rFonts w:eastAsia="Times New Roman" w:cstheme="minorHAnsi"/>
        </w:rPr>
        <w:t>1. W</w:t>
      </w:r>
      <w:r w:rsidR="008851F9" w:rsidRPr="00D26321">
        <w:rPr>
          <w:rFonts w:eastAsia="Times New Roman" w:cstheme="minorHAnsi"/>
        </w:rPr>
        <w:t xml:space="preserve">e </w:t>
      </w:r>
      <w:r w:rsidR="008851F9" w:rsidRPr="00D26321">
        <w:rPr>
          <w:rFonts w:eastAsia="Times New Roman" w:cstheme="minorHAnsi"/>
          <w:b/>
        </w:rPr>
        <w:t>recommend that</w:t>
      </w:r>
      <w:r w:rsidR="002F31F9" w:rsidRPr="00D26321">
        <w:rPr>
          <w:rFonts w:eastAsia="Times New Roman" w:cstheme="minorHAnsi"/>
          <w:b/>
        </w:rPr>
        <w:t xml:space="preserve"> the conservation of</w:t>
      </w:r>
      <w:r w:rsidR="008851F9" w:rsidRPr="00D26321">
        <w:rPr>
          <w:rFonts w:eastAsia="Times New Roman" w:cstheme="minorHAnsi"/>
          <w:b/>
        </w:rPr>
        <w:t xml:space="preserve"> AZE sites be considered as </w:t>
      </w:r>
      <w:r w:rsidR="002F31F9" w:rsidRPr="00D26321">
        <w:rPr>
          <w:rFonts w:eastAsia="Times New Roman" w:cstheme="minorHAnsi"/>
          <w:b/>
        </w:rPr>
        <w:t>an</w:t>
      </w:r>
      <w:r w:rsidR="008851F9" w:rsidRPr="00D26321">
        <w:rPr>
          <w:rFonts w:eastAsia="Times New Roman" w:cstheme="minorHAnsi"/>
          <w:b/>
        </w:rPr>
        <w:t xml:space="preserve"> </w:t>
      </w:r>
      <w:r w:rsidR="003179D1">
        <w:rPr>
          <w:rFonts w:eastAsia="Times New Roman" w:cstheme="minorHAnsi"/>
          <w:b/>
        </w:rPr>
        <w:t>indicator</w:t>
      </w:r>
      <w:r w:rsidR="008851F9" w:rsidRPr="00D26321">
        <w:rPr>
          <w:rFonts w:eastAsia="Times New Roman" w:cstheme="minorHAnsi"/>
          <w:b/>
        </w:rPr>
        <w:t xml:space="preserve"> related to preventing species extinctions and to conserving biodiversity</w:t>
      </w:r>
      <w:r w:rsidR="007826FA" w:rsidRPr="00D26321">
        <w:rPr>
          <w:rFonts w:eastAsia="Times New Roman" w:cstheme="minorHAnsi"/>
          <w:b/>
        </w:rPr>
        <w:t xml:space="preserve"> </w:t>
      </w:r>
      <w:r w:rsidR="007826FA" w:rsidRPr="00D26321">
        <w:rPr>
          <w:rFonts w:eastAsia="Times New Roman" w:cstheme="minorHAnsi"/>
        </w:rPr>
        <w:t>(Aichi Targets 12 and 11</w:t>
      </w:r>
      <w:r w:rsidR="003A5FEE" w:rsidRPr="00D26321">
        <w:rPr>
          <w:rFonts w:eastAsia="Times New Roman" w:cstheme="minorHAnsi"/>
        </w:rPr>
        <w:t>/GBF Target 2</w:t>
      </w:r>
      <w:r w:rsidR="007826FA" w:rsidRPr="00D26321">
        <w:rPr>
          <w:rFonts w:eastAsia="Times New Roman" w:cstheme="minorHAnsi"/>
        </w:rPr>
        <w:t>)</w:t>
      </w:r>
      <w:r w:rsidR="008851F9" w:rsidRPr="00D26321">
        <w:rPr>
          <w:rFonts w:eastAsia="Times New Roman" w:cstheme="minorHAnsi"/>
        </w:rPr>
        <w:t>.</w:t>
      </w:r>
    </w:p>
    <w:p w:rsidR="0033776E" w:rsidRPr="00D26321" w:rsidRDefault="008F4D26" w:rsidP="008F4D26">
      <w:pPr>
        <w:spacing w:after="360" w:line="240" w:lineRule="exact"/>
        <w:ind w:left="-180"/>
        <w:rPr>
          <w:rFonts w:eastAsia="Times New Roman" w:cstheme="minorHAnsi"/>
        </w:rPr>
      </w:pPr>
      <w:r w:rsidRPr="00D26321">
        <w:rPr>
          <w:rFonts w:eastAsia="Times New Roman" w:cstheme="minorHAnsi"/>
        </w:rPr>
        <w:t xml:space="preserve">2. </w:t>
      </w:r>
      <w:r w:rsidR="00ED7264" w:rsidRPr="00D26321">
        <w:rPr>
          <w:rFonts w:eastAsia="Times New Roman" w:cstheme="minorHAnsi"/>
        </w:rPr>
        <w:t xml:space="preserve">We further </w:t>
      </w:r>
      <w:r w:rsidR="00ED7264" w:rsidRPr="00D26321">
        <w:rPr>
          <w:rFonts w:eastAsia="Times New Roman" w:cstheme="minorHAnsi"/>
          <w:b/>
        </w:rPr>
        <w:t xml:space="preserve">recommend that the </w:t>
      </w:r>
      <w:r w:rsidR="003179D1">
        <w:rPr>
          <w:rFonts w:eastAsia="Times New Roman" w:cstheme="minorHAnsi"/>
          <w:b/>
        </w:rPr>
        <w:t>successful integration</w:t>
      </w:r>
      <w:r w:rsidR="00ED7264" w:rsidRPr="00D26321">
        <w:rPr>
          <w:rFonts w:eastAsia="Times New Roman" w:cstheme="minorHAnsi"/>
          <w:b/>
        </w:rPr>
        <w:t xml:space="preserve"> of AZE site conservation</w:t>
      </w:r>
      <w:r w:rsidR="003179D1">
        <w:rPr>
          <w:rFonts w:eastAsia="Times New Roman" w:cstheme="minorHAnsi"/>
          <w:b/>
        </w:rPr>
        <w:t xml:space="preserve"> into multiple sectors</w:t>
      </w:r>
      <w:bookmarkStart w:id="0" w:name="_GoBack"/>
      <w:bookmarkEnd w:id="0"/>
      <w:r w:rsidR="00ED7264" w:rsidRPr="00D26321">
        <w:rPr>
          <w:rFonts w:eastAsia="Times New Roman" w:cstheme="minorHAnsi"/>
          <w:b/>
        </w:rPr>
        <w:t xml:space="preserve"> be considered as a</w:t>
      </w:r>
      <w:r w:rsidR="003A5FEE" w:rsidRPr="00D26321">
        <w:rPr>
          <w:rFonts w:eastAsia="Times New Roman" w:cstheme="minorHAnsi"/>
          <w:b/>
        </w:rPr>
        <w:t>n</w:t>
      </w:r>
      <w:r w:rsidR="00ED7264" w:rsidRPr="00D26321">
        <w:rPr>
          <w:rFonts w:eastAsia="Times New Roman" w:cstheme="minorHAnsi"/>
          <w:b/>
        </w:rPr>
        <w:t xml:space="preserve"> </w:t>
      </w:r>
      <w:r w:rsidR="00D314C9" w:rsidRPr="00D26321">
        <w:rPr>
          <w:rFonts w:eastAsia="Times New Roman" w:cstheme="minorHAnsi"/>
          <w:b/>
        </w:rPr>
        <w:t>indicator</w:t>
      </w:r>
      <w:r w:rsidR="00ED7264" w:rsidRPr="00D26321">
        <w:rPr>
          <w:rFonts w:eastAsia="Times New Roman" w:cstheme="minorHAnsi"/>
          <w:b/>
        </w:rPr>
        <w:t xml:space="preserve"> for mainstreaming biodiversity</w:t>
      </w:r>
      <w:r w:rsidR="00C852CD" w:rsidRPr="00D26321">
        <w:rPr>
          <w:rFonts w:eastAsia="Times New Roman" w:cstheme="minorHAnsi"/>
          <w:b/>
        </w:rPr>
        <w:t xml:space="preserve"> across sectors</w:t>
      </w:r>
      <w:r w:rsidR="003A5FEE" w:rsidRPr="00D26321">
        <w:rPr>
          <w:rFonts w:eastAsia="Times New Roman" w:cstheme="minorHAnsi"/>
          <w:b/>
        </w:rPr>
        <w:t xml:space="preserve"> </w:t>
      </w:r>
      <w:r w:rsidR="003A5FEE" w:rsidRPr="00D26321">
        <w:rPr>
          <w:rFonts w:eastAsia="Times New Roman" w:cstheme="minorHAnsi"/>
        </w:rPr>
        <w:t>(GBF Target 13)</w:t>
      </w:r>
      <w:r w:rsidR="00ED7264" w:rsidRPr="00D26321">
        <w:rPr>
          <w:rFonts w:eastAsia="Times New Roman" w:cstheme="minorHAnsi"/>
          <w:b/>
        </w:rPr>
        <w:t>.</w:t>
      </w:r>
      <w:r w:rsidR="00ED7264" w:rsidRPr="00D26321">
        <w:rPr>
          <w:rFonts w:eastAsia="Times New Roman" w:cstheme="minorHAnsi"/>
        </w:rPr>
        <w:t xml:space="preserve"> </w:t>
      </w:r>
    </w:p>
    <w:sectPr w:rsidR="0033776E" w:rsidRPr="00D26321" w:rsidSect="00ED7264">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02" w:rsidRDefault="009C6E02" w:rsidP="008F4D26">
      <w:pPr>
        <w:spacing w:after="0" w:line="240" w:lineRule="auto"/>
      </w:pPr>
      <w:r>
        <w:separator/>
      </w:r>
    </w:p>
  </w:endnote>
  <w:endnote w:type="continuationSeparator" w:id="0">
    <w:p w:rsidR="009C6E02" w:rsidRDefault="009C6E02" w:rsidP="008F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02" w:rsidRDefault="009C6E02" w:rsidP="008F4D26">
      <w:pPr>
        <w:spacing w:after="0" w:line="240" w:lineRule="auto"/>
      </w:pPr>
      <w:r>
        <w:separator/>
      </w:r>
    </w:p>
  </w:footnote>
  <w:footnote w:type="continuationSeparator" w:id="0">
    <w:p w:rsidR="009C6E02" w:rsidRDefault="009C6E02" w:rsidP="008F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95" w:type="dxa"/>
      <w:tblInd w:w="-270" w:type="dxa"/>
      <w:tblLook w:val="04A0" w:firstRow="1" w:lastRow="0" w:firstColumn="1" w:lastColumn="0" w:noHBand="0" w:noVBand="1"/>
    </w:tblPr>
    <w:tblGrid>
      <w:gridCol w:w="5755"/>
      <w:gridCol w:w="5040"/>
    </w:tblGrid>
    <w:tr w:rsidR="008F4D26" w:rsidRPr="008F4D26" w:rsidTr="008F4D26">
      <w:tc>
        <w:tcPr>
          <w:tcW w:w="5755" w:type="dxa"/>
          <w:tcBorders>
            <w:top w:val="nil"/>
            <w:left w:val="nil"/>
            <w:bottom w:val="nil"/>
            <w:right w:val="nil"/>
          </w:tcBorders>
        </w:tcPr>
        <w:p w:rsidR="008F4D26" w:rsidRPr="008F4D26" w:rsidRDefault="008F4D26" w:rsidP="007E2C65">
          <w:pPr>
            <w:pStyle w:val="Header"/>
            <w:rPr>
              <w:rFonts w:eastAsia="Times New Roman" w:cstheme="minorHAnsi"/>
            </w:rPr>
          </w:pPr>
          <w:r w:rsidRPr="008F4D26">
            <w:rPr>
              <w:rFonts w:eastAsia="Times New Roman" w:cstheme="minorHAnsi"/>
            </w:rPr>
            <w:t xml:space="preserve">Recommendations on possible targets, indicators and baselines related to the drivers of biodiversity loss as well as on species conservation and the mainstreaming of biodiversity across sectors in relation to the development of the </w:t>
          </w:r>
          <w:r w:rsidR="00D26321">
            <w:rPr>
              <w:rFonts w:eastAsia="Times New Roman" w:cstheme="minorHAnsi"/>
            </w:rPr>
            <w:t>post-2020 Global Biodiversity F</w:t>
          </w:r>
          <w:r w:rsidRPr="008F4D26">
            <w:rPr>
              <w:rFonts w:eastAsia="Times New Roman" w:cstheme="minorHAnsi"/>
            </w:rPr>
            <w:t>ramework</w:t>
          </w:r>
          <w:r w:rsidR="00D26321">
            <w:rPr>
              <w:rFonts w:eastAsia="Times New Roman" w:cstheme="minorHAnsi"/>
            </w:rPr>
            <w:t xml:space="preserve"> (GBF)</w:t>
          </w:r>
        </w:p>
      </w:tc>
      <w:tc>
        <w:tcPr>
          <w:tcW w:w="5040" w:type="dxa"/>
          <w:tcBorders>
            <w:top w:val="nil"/>
            <w:left w:val="nil"/>
            <w:bottom w:val="nil"/>
            <w:right w:val="nil"/>
          </w:tcBorders>
        </w:tcPr>
        <w:p w:rsidR="008F4D26" w:rsidRPr="008F4D26" w:rsidRDefault="008F4D26" w:rsidP="008F4D26">
          <w:pPr>
            <w:pStyle w:val="Header"/>
            <w:jc w:val="right"/>
          </w:pPr>
          <w:r w:rsidRPr="008F4D26">
            <w:rPr>
              <w:noProof/>
            </w:rPr>
            <w:drawing>
              <wp:inline distT="0" distB="0" distL="0" distR="0" wp14:anchorId="5FB1070B" wp14:editId="256814CD">
                <wp:extent cx="25527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2700" cy="714375"/>
                        </a:xfrm>
                        <a:prstGeom prst="rect">
                          <a:avLst/>
                        </a:prstGeom>
                      </pic:spPr>
                    </pic:pic>
                  </a:graphicData>
                </a:graphic>
              </wp:inline>
            </w:drawing>
          </w:r>
          <w:r w:rsidRPr="008F4D26">
            <w:rPr>
              <w:rFonts w:eastAsia="Times New Roman" w:cstheme="minorHAnsi"/>
            </w:rPr>
            <w:br/>
          </w:r>
        </w:p>
      </w:tc>
    </w:tr>
  </w:tbl>
  <w:p w:rsidR="008F4D26" w:rsidRDefault="008F4D26" w:rsidP="008F4D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FC1"/>
    <w:multiLevelType w:val="hybridMultilevel"/>
    <w:tmpl w:val="63F63F70"/>
    <w:lvl w:ilvl="0" w:tplc="7DA6E3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2D91A42"/>
    <w:multiLevelType w:val="hybridMultilevel"/>
    <w:tmpl w:val="30663B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3F477DA"/>
    <w:multiLevelType w:val="hybridMultilevel"/>
    <w:tmpl w:val="80CC81FC"/>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6E"/>
    <w:rsid w:val="00094262"/>
    <w:rsid w:val="002F31F9"/>
    <w:rsid w:val="003179D1"/>
    <w:rsid w:val="00322081"/>
    <w:rsid w:val="0033776E"/>
    <w:rsid w:val="003A5FEE"/>
    <w:rsid w:val="003B05D4"/>
    <w:rsid w:val="003E484D"/>
    <w:rsid w:val="006502A5"/>
    <w:rsid w:val="00680B1A"/>
    <w:rsid w:val="007826FA"/>
    <w:rsid w:val="00806620"/>
    <w:rsid w:val="008851F9"/>
    <w:rsid w:val="008B237D"/>
    <w:rsid w:val="008F4D26"/>
    <w:rsid w:val="009C6E02"/>
    <w:rsid w:val="00AB5A1E"/>
    <w:rsid w:val="00AC5DF3"/>
    <w:rsid w:val="00BD5DC7"/>
    <w:rsid w:val="00C852CD"/>
    <w:rsid w:val="00D26321"/>
    <w:rsid w:val="00D314C9"/>
    <w:rsid w:val="00D35C43"/>
    <w:rsid w:val="00D6124F"/>
    <w:rsid w:val="00DE193D"/>
    <w:rsid w:val="00E5445B"/>
    <w:rsid w:val="00ED7264"/>
    <w:rsid w:val="00F34F6B"/>
    <w:rsid w:val="00FA7687"/>
    <w:rsid w:val="00FF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C993"/>
  <w15:chartTrackingRefBased/>
  <w15:docId w15:val="{EACD85BE-3502-4D03-9AAE-17B078C6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7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7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77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76E"/>
    <w:rPr>
      <w:color w:val="0000FF"/>
      <w:u w:val="single"/>
    </w:rPr>
  </w:style>
  <w:style w:type="paragraph" w:styleId="ListParagraph">
    <w:name w:val="List Paragraph"/>
    <w:basedOn w:val="Normal"/>
    <w:uiPriority w:val="34"/>
    <w:qFormat/>
    <w:rsid w:val="0033776E"/>
    <w:pPr>
      <w:ind w:left="720"/>
      <w:contextualSpacing/>
    </w:pPr>
  </w:style>
  <w:style w:type="paragraph" w:styleId="Header">
    <w:name w:val="header"/>
    <w:basedOn w:val="Normal"/>
    <w:link w:val="HeaderChar"/>
    <w:uiPriority w:val="99"/>
    <w:unhideWhenUsed/>
    <w:rsid w:val="008F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D26"/>
  </w:style>
  <w:style w:type="paragraph" w:styleId="Footer">
    <w:name w:val="footer"/>
    <w:basedOn w:val="Normal"/>
    <w:link w:val="FooterChar"/>
    <w:uiPriority w:val="99"/>
    <w:unhideWhenUsed/>
    <w:rsid w:val="008F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D26"/>
  </w:style>
  <w:style w:type="table" w:styleId="TableGrid">
    <w:name w:val="Table Grid"/>
    <w:basedOn w:val="TableNormal"/>
    <w:uiPriority w:val="39"/>
    <w:rsid w:val="008F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5465">
      <w:bodyDiv w:val="1"/>
      <w:marLeft w:val="0"/>
      <w:marRight w:val="0"/>
      <w:marTop w:val="0"/>
      <w:marBottom w:val="0"/>
      <w:divBdr>
        <w:top w:val="none" w:sz="0" w:space="0" w:color="auto"/>
        <w:left w:val="none" w:sz="0" w:space="0" w:color="auto"/>
        <w:bottom w:val="none" w:sz="0" w:space="0" w:color="auto"/>
        <w:right w:val="none" w:sz="0" w:space="0" w:color="auto"/>
      </w:divBdr>
      <w:divsChild>
        <w:div w:id="280846630">
          <w:marLeft w:val="-26"/>
          <w:marRight w:val="4"/>
          <w:marTop w:val="0"/>
          <w:marBottom w:val="0"/>
          <w:divBdr>
            <w:top w:val="none" w:sz="0" w:space="0" w:color="auto"/>
            <w:left w:val="none" w:sz="0" w:space="0" w:color="auto"/>
            <w:bottom w:val="none" w:sz="0" w:space="0" w:color="auto"/>
            <w:right w:val="none" w:sz="0" w:space="0" w:color="auto"/>
          </w:divBdr>
        </w:div>
      </w:divsChild>
    </w:div>
    <w:div w:id="453059289">
      <w:bodyDiv w:val="1"/>
      <w:marLeft w:val="0"/>
      <w:marRight w:val="0"/>
      <w:marTop w:val="0"/>
      <w:marBottom w:val="0"/>
      <w:divBdr>
        <w:top w:val="none" w:sz="0" w:space="0" w:color="auto"/>
        <w:left w:val="none" w:sz="0" w:space="0" w:color="auto"/>
        <w:bottom w:val="none" w:sz="0" w:space="0" w:color="auto"/>
        <w:right w:val="none" w:sz="0" w:space="0" w:color="auto"/>
      </w:divBdr>
      <w:divsChild>
        <w:div w:id="150023735">
          <w:marLeft w:val="-26"/>
          <w:marRight w:val="4"/>
          <w:marTop w:val="0"/>
          <w:marBottom w:val="0"/>
          <w:divBdr>
            <w:top w:val="none" w:sz="0" w:space="0" w:color="auto"/>
            <w:left w:val="none" w:sz="0" w:space="0" w:color="auto"/>
            <w:bottom w:val="none" w:sz="0" w:space="0" w:color="auto"/>
            <w:right w:val="none" w:sz="0" w:space="0" w:color="auto"/>
          </w:divBdr>
        </w:div>
      </w:divsChild>
    </w:div>
    <w:div w:id="572787107">
      <w:bodyDiv w:val="1"/>
      <w:marLeft w:val="0"/>
      <w:marRight w:val="0"/>
      <w:marTop w:val="0"/>
      <w:marBottom w:val="0"/>
      <w:divBdr>
        <w:top w:val="none" w:sz="0" w:space="0" w:color="auto"/>
        <w:left w:val="none" w:sz="0" w:space="0" w:color="auto"/>
        <w:bottom w:val="none" w:sz="0" w:space="0" w:color="auto"/>
        <w:right w:val="none" w:sz="0" w:space="0" w:color="auto"/>
      </w:divBdr>
      <w:divsChild>
        <w:div w:id="882908126">
          <w:marLeft w:val="-26"/>
          <w:marRight w:val="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strategic-plan/targets/T12-quick-guide-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eroextinc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ubdocs.worldbank.org/en/837721522762050108/Environmental-and-Social-Framework.pdf" TargetMode="External"/><Relationship Id="rId4" Type="http://schemas.openxmlformats.org/officeDocument/2006/relationships/webSettings" Target="webSettings.xml"/><Relationship Id="rId9" Type="http://schemas.openxmlformats.org/officeDocument/2006/relationships/hyperlink" Target="https://www.ifc.org/wps/wcm/connect/5e0f3c0c-0aa4-4290-a0f8-4490b61de245/GN6_English_June-27-2019.pdf?MOD=AJPERES&amp;CVID=mKqG85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Upgren</dc:creator>
  <cp:keywords/>
  <dc:description/>
  <cp:lastModifiedBy>Amy Upgren</cp:lastModifiedBy>
  <cp:revision>2</cp:revision>
  <cp:lastPrinted>2020-01-28T15:20:00Z</cp:lastPrinted>
  <dcterms:created xsi:type="dcterms:W3CDTF">2020-01-28T15:45:00Z</dcterms:created>
  <dcterms:modified xsi:type="dcterms:W3CDTF">2020-01-28T15:45:00Z</dcterms:modified>
</cp:coreProperties>
</file>