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jc w:val="center"/>
        <w:rPr>
          <w:rFonts w:ascii="Times New Roman" w:hAnsi="Times New Roman" w:cs="Times New Roman"/>
          <w:b/>
          <w:b/>
          <w:bCs/>
          <w:sz w:val="24"/>
          <w:szCs w:val="24"/>
        </w:rPr>
      </w:pPr>
      <w:r>
        <w:rPr>
          <w:rFonts w:cs="Times New Roman" w:ascii="Times New Roman" w:hAnsi="Times New Roman"/>
          <w:b/>
          <w:bCs/>
          <w:sz w:val="24"/>
          <w:szCs w:val="24"/>
        </w:rPr>
        <w:t>Review Comment Template for the document on indicators for the draft goals and targets of the post-2020 global biodiversity framework</w:t>
      </w:r>
    </w:p>
    <w:p>
      <w:pPr>
        <w:pStyle w:val="Normal"/>
        <w:spacing w:lineRule="auto" w:line="240" w:before="0" w:after="0"/>
        <w:rPr>
          <w:rFonts w:ascii="Times New Roman" w:hAnsi="Times New Roman" w:cs="Times New Roman"/>
          <w:b/>
          <w:b/>
          <w:bCs/>
          <w:sz w:val="24"/>
          <w:szCs w:val="24"/>
        </w:rPr>
      </w:pPr>
      <w:r>
        <w:rPr>
          <w:rFonts w:cs="Times New Roman" w:ascii="Times New Roman" w:hAnsi="Times New Roman"/>
          <w:b/>
          <w:bCs/>
          <w:sz w:val="24"/>
          <w:szCs w:val="24"/>
        </w:rPr>
      </w:r>
    </w:p>
    <w:p>
      <w:pPr>
        <w:pStyle w:val="Normal"/>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pPr>
      <w:r>
        <w:rPr>
          <w:rFonts w:cs="Times New Roman" w:ascii="Times New Roman" w:hAnsi="Times New Roman"/>
        </w:rPr>
        <w:t xml:space="preserve">Parties and stakeholders are invited to make suggestions of indicators (currently available or under development) that may be used to measure progress towards the post-2020 framework. The draft components and elements of the monitoring framework for the post-2020 global biodiversity framework are based on updated draft goals and targets, as was requested by the second meeting of the OEWG, and presented in document </w:t>
      </w:r>
      <w:hyperlink r:id="rId2">
        <w:r>
          <w:rPr>
            <w:rStyle w:val="InternetLink"/>
          </w:rPr>
          <w:t>https://www.cbd.int/sbstta/sbstta-24/post2020-monitoring-en.pdf</w:t>
        </w:r>
      </w:hyperlink>
      <w:r>
        <w:rPr>
          <w:rFonts w:cs="Times New Roman" w:ascii="Times New Roman" w:hAnsi="Times New Roman"/>
        </w:rPr>
        <w:t xml:space="preserve">. </w:t>
      </w:r>
    </w:p>
    <w:p>
      <w:pPr>
        <w:pStyle w:val="Normal"/>
        <w:spacing w:lineRule="auto" w:line="240" w:before="0" w:after="0"/>
        <w:rPr>
          <w:rFonts w:ascii="Times New Roman" w:hAnsi="Times New Roman" w:eastAsia="Arial" w:cs="Times New Roman"/>
          <w:color w:val="000000" w:themeColor="text1"/>
        </w:rPr>
      </w:pPr>
      <w:r>
        <w:rPr>
          <w:rFonts w:eastAsia="Arial" w:cs="Times New Roman" w:ascii="Times New Roman" w:hAnsi="Times New Roman"/>
          <w:color w:val="000000" w:themeColor="text1"/>
        </w:rPr>
        <w:t xml:space="preserve">Please note: there are two tables in this document, one for suggestions for indicators for the draft monitoring elements of </w:t>
      </w:r>
      <w:r>
        <w:rPr>
          <w:rFonts w:eastAsia="Arial" w:cs="Times New Roman" w:ascii="Times New Roman" w:hAnsi="Times New Roman"/>
          <w:color w:val="000000" w:themeColor="text1"/>
          <w:u w:val="single"/>
        </w:rPr>
        <w:t>goals</w:t>
      </w:r>
      <w:r>
        <w:rPr>
          <w:rFonts w:eastAsia="Arial" w:cs="Times New Roman" w:ascii="Times New Roman" w:hAnsi="Times New Roman"/>
          <w:color w:val="000000" w:themeColor="text1"/>
        </w:rPr>
        <w:t xml:space="preserve">, and another table for indicators for the draft monitoring elements of </w:t>
      </w:r>
      <w:r>
        <w:rPr>
          <w:rFonts w:eastAsia="Arial" w:cs="Times New Roman" w:ascii="Times New Roman" w:hAnsi="Times New Roman"/>
          <w:color w:val="000000" w:themeColor="text1"/>
          <w:u w:val="single"/>
        </w:rPr>
        <w:t>targets</w:t>
      </w:r>
      <w:r>
        <w:rPr>
          <w:rFonts w:eastAsia="Arial" w:cs="Times New Roman" w:ascii="Times New Roman" w:hAnsi="Times New Roman"/>
          <w:color w:val="000000" w:themeColor="text1"/>
        </w:rPr>
        <w:t xml:space="preserve"> </w:t>
      </w:r>
    </w:p>
    <w:p>
      <w:pPr>
        <w:pStyle w:val="Normal"/>
        <w:spacing w:lineRule="auto" w:line="240" w:before="0" w:after="0"/>
        <w:jc w:val="center"/>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b/>
          <w:b/>
          <w:bCs/>
        </w:rPr>
      </w:pPr>
      <w:r>
        <w:rPr>
          <w:rFonts w:cs="Times New Roman" w:ascii="Times New Roman" w:hAnsi="Times New Roman"/>
          <w:b/>
          <w:bCs/>
        </w:rPr>
        <w:t>Instructions for providing input on indicators and completion of indicator tables (for goals and targets):</w:t>
      </w:r>
    </w:p>
    <w:p>
      <w:pPr>
        <w:pStyle w:val="Normal"/>
        <w:spacing w:lineRule="auto" w:line="240" w:before="0" w:after="0"/>
        <w:rPr>
          <w:rFonts w:ascii="Times New Roman" w:hAnsi="Times New Roman" w:cs="Times New Roman"/>
          <w:b/>
          <w:b/>
          <w:bCs/>
          <w:color w:val="FF0000"/>
        </w:rPr>
      </w:pPr>
      <w:r>
        <w:rPr>
          <w:rFonts w:cs="Times New Roman" w:ascii="Times New Roman" w:hAnsi="Times New Roman"/>
          <w:b/>
          <w:bCs/>
          <w:color w:val="FF0000"/>
        </w:rPr>
      </w:r>
    </w:p>
    <w:p>
      <w:pPr>
        <w:pStyle w:val="ListParagraph"/>
        <w:numPr>
          <w:ilvl w:val="0"/>
          <w:numId w:val="1"/>
        </w:numPr>
        <w:spacing w:lineRule="auto" w:line="240" w:before="0" w:after="0"/>
        <w:rPr>
          <w:rFonts w:ascii="Times New Roman" w:hAnsi="Times New Roman" w:cs="Times New Roman"/>
        </w:rPr>
      </w:pPr>
      <w:r>
        <w:rPr>
          <w:rFonts w:cs="Times New Roman" w:ascii="Times New Roman" w:hAnsi="Times New Roman"/>
        </w:rPr>
        <w:t>Please do not add columns to the tables below</w:t>
      </w:r>
    </w:p>
    <w:p>
      <w:pPr>
        <w:pStyle w:val="ListParagraph"/>
        <w:numPr>
          <w:ilvl w:val="0"/>
          <w:numId w:val="1"/>
        </w:numPr>
        <w:spacing w:lineRule="auto" w:line="240" w:before="0" w:after="0"/>
        <w:rPr/>
      </w:pPr>
      <w:r>
        <w:rPr>
          <w:rFonts w:cs="Times New Roman" w:ascii="Times New Roman" w:hAnsi="Times New Roman"/>
        </w:rPr>
        <w:t xml:space="preserve">Please add rows for additional indicators related to monitoring elements for specific components from goals (table 1) and components from targets (table 2). The information of draft components and monitoring elements for goals and targets is available in document </w:t>
      </w:r>
      <w:hyperlink r:id="rId3">
        <w:r>
          <w:rPr>
            <w:rStyle w:val="InternetLink"/>
            <w:rFonts w:ascii="Times New Roman" w:hAnsi="Times New Roman"/>
          </w:rPr>
          <w:t>https://www.cbd.int/sbstta/sbstta-24/post2020-monitoring-en.pdf</w:t>
        </w:r>
      </w:hyperlink>
    </w:p>
    <w:p>
      <w:pPr>
        <w:pStyle w:val="ListParagraph"/>
        <w:numPr>
          <w:ilvl w:val="0"/>
          <w:numId w:val="1"/>
        </w:numPr>
        <w:spacing w:lineRule="auto" w:line="240" w:before="0" w:after="0"/>
        <w:rPr>
          <w:rFonts w:ascii="Times New Roman" w:hAnsi="Times New Roman" w:cs="Times New Roman"/>
        </w:rPr>
      </w:pPr>
      <w:r>
        <w:rPr>
          <w:rFonts w:cs="Times New Roman" w:ascii="Times New Roman" w:hAnsi="Times New Roman"/>
        </w:rPr>
        <w:t>To add an indicator for specific monitoring elements, please provide the following information:</w:t>
      </w:r>
    </w:p>
    <w:p>
      <w:pPr>
        <w:pStyle w:val="ListParagraph"/>
        <w:numPr>
          <w:ilvl w:val="1"/>
          <w:numId w:val="1"/>
        </w:numPr>
        <w:spacing w:lineRule="auto" w:line="240" w:before="0" w:after="0"/>
        <w:rPr/>
      </w:pPr>
      <w:r>
        <w:rPr>
          <w:rFonts w:cs="Times New Roman" w:ascii="Times New Roman" w:hAnsi="Times New Roman"/>
        </w:rPr>
        <w:t xml:space="preserve">Column 1: copy/paste the component of the goal (enter information in table 1) or target (enter information in table 2) from </w:t>
      </w:r>
      <w:hyperlink r:id="rId4">
        <w:r>
          <w:rPr>
            <w:rStyle w:val="InternetLink"/>
          </w:rPr>
          <w:t>https://www.cbd.int/sbstta/sbstta-24/post2020-monitoring-en.pdf</w:t>
        </w:r>
      </w:hyperlink>
      <w:r>
        <w:rPr>
          <w:rFonts w:cs="Times New Roman" w:ascii="Times New Roman" w:hAnsi="Times New Roman"/>
        </w:rPr>
        <w:t>, which the indicator can be used for. This MUST be provided</w:t>
      </w:r>
    </w:p>
    <w:p>
      <w:pPr>
        <w:pStyle w:val="ListParagraph"/>
        <w:numPr>
          <w:ilvl w:val="1"/>
          <w:numId w:val="1"/>
        </w:numPr>
        <w:spacing w:lineRule="auto" w:line="240" w:before="0" w:after="0"/>
        <w:rPr/>
      </w:pPr>
      <w:r>
        <w:rPr>
          <w:rFonts w:cs="Times New Roman" w:ascii="Times New Roman" w:hAnsi="Times New Roman"/>
        </w:rPr>
        <w:t xml:space="preserve">Column 2: copy/paste the specific monitoring element of the goal (enter information in table 1) or target (enter information in table 2), which the indicator can be used for from </w:t>
      </w:r>
      <w:hyperlink r:id="rId5">
        <w:r>
          <w:rPr>
            <w:rStyle w:val="InternetLink"/>
          </w:rPr>
          <w:t>https://www.cbd.int/sbstta/sbstta-24/post2020-monitoring-en.pdf</w:t>
        </w:r>
      </w:hyperlink>
      <w:r>
        <w:rPr>
          <w:rFonts w:cs="Times New Roman" w:ascii="Times New Roman" w:hAnsi="Times New Roman"/>
        </w:rPr>
        <w:t>. This MUST be provided</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3: the published or accepted name of the indicator. This MUST be provided</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 xml:space="preserve">Column 4: the name of the organisation(s) responsible for producing the indicator and keeping it up to date. This MUST be provided </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5: please state whether the indicator is ready for use today (with an X) or if is still under development (Y). This MUST be provided</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6: if you are adding a new indicator that is still under development, please indicate the year that you expect it to be available</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7: for any existing indicator, please add the year of the last update</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 xml:space="preserve">Column 8: please provide the time series for the indicator and frequency of update (e.g. 1990-2020, available every 5 years).  </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9: please state (Y or N) whether there is a published methodology for application of the indicator at the national level</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 xml:space="preserve">Column 10: please state (Y or N) whether any new or existing indicator can be disaggregated at the national level for use by Parties </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11: please state (Y or N) whether the indicator is aggregated from data that is collected at the national level (e.g. with data from national institutions)</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12: please state (Y or N) whether any indicator has been used in the 4</w:t>
      </w:r>
      <w:r>
        <w:rPr>
          <w:rFonts w:cs="Times New Roman" w:ascii="Times New Roman" w:hAnsi="Times New Roman"/>
          <w:vertAlign w:val="superscript"/>
        </w:rPr>
        <w:t>th</w:t>
      </w:r>
      <w:r>
        <w:rPr>
          <w:rFonts w:cs="Times New Roman" w:ascii="Times New Roman" w:hAnsi="Times New Roman"/>
        </w:rPr>
        <w:t xml:space="preserve"> Edition of the Global Biodiversity Outlook (GBO-4).</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13: please state (Y or N) whether the indicator is currently included in the SDG indicator framework and provide the SDG indicator number</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14: please state whether an indicator is used for any Multi-Lateral Environmental Agreements other than the CBD (e.g. Ramsar Convention, CMS) or is used as an indicator by IPBES, by writing the abbreviated name of the MEA or process</w:t>
      </w:r>
    </w:p>
    <w:p>
      <w:pPr>
        <w:pStyle w:val="ListParagraph"/>
        <w:numPr>
          <w:ilvl w:val="1"/>
          <w:numId w:val="1"/>
        </w:numPr>
        <w:spacing w:lineRule="auto" w:line="240" w:before="0" w:after="0"/>
        <w:rPr>
          <w:rFonts w:ascii="Times New Roman" w:hAnsi="Times New Roman" w:cs="Times New Roman"/>
        </w:rPr>
      </w:pPr>
      <w:r>
        <w:rPr>
          <w:rFonts w:cs="Times New Roman" w:ascii="Times New Roman" w:hAnsi="Times New Roman"/>
        </w:rPr>
        <w:t>Column 15: please enter any further information or relevant links</w:t>
      </w:r>
    </w:p>
    <w:p>
      <w:pPr>
        <w:pStyle w:val="ListParagraph"/>
        <w:numPr>
          <w:ilvl w:val="0"/>
          <w:numId w:val="1"/>
        </w:numPr>
        <w:spacing w:lineRule="auto" w:line="240" w:before="0" w:after="0"/>
        <w:rPr>
          <w:rFonts w:ascii="Times New Roman" w:hAnsi="Times New Roman" w:cs="Times New Roman"/>
        </w:rPr>
      </w:pPr>
      <w:r>
        <w:rPr>
          <w:rFonts w:cs="Times New Roman" w:ascii="Times New Roman" w:hAnsi="Times New Roman"/>
        </w:rPr>
        <w:t>Example entries have been provided in the tables below for goals and targets, please follow the same format for each indicator entry</w:t>
      </w:r>
    </w:p>
    <w:p>
      <w:pPr>
        <w:pStyle w:val="ListParagraph"/>
        <w:numPr>
          <w:ilvl w:val="0"/>
          <w:numId w:val="1"/>
        </w:numPr>
        <w:jc w:val="both"/>
        <w:rPr/>
      </w:pPr>
      <w:r>
        <w:rPr>
          <w:rFonts w:cs="Times New Roman" w:ascii="Times New Roman" w:hAnsi="Times New Roman"/>
        </w:rPr>
        <w:t>Inputs should be sent by e-mail to</w:t>
      </w:r>
      <w:r>
        <w:rPr>
          <w:i/>
        </w:rPr>
        <w:t xml:space="preserve"> </w:t>
      </w:r>
      <w:hyperlink r:id="rId6">
        <w:r>
          <w:rPr>
            <w:rStyle w:val="InternetLink"/>
            <w:i/>
          </w:rPr>
          <w:t>secretariat@cbd.int</w:t>
        </w:r>
      </w:hyperlink>
      <w:r>
        <w:rPr>
          <w:i/>
        </w:rPr>
        <w:t xml:space="preserve"> </w:t>
      </w:r>
      <w:r>
        <w:rPr>
          <w:rFonts w:cs="Times New Roman" w:ascii="Times New Roman" w:hAnsi="Times New Roman"/>
        </w:rPr>
        <w:t>no later than 25 July 2020</w:t>
      </w:r>
    </w:p>
    <w:p>
      <w:pPr>
        <w:pStyle w:val="ListParagraph"/>
        <w:jc w:val="both"/>
        <w:rPr>
          <w:iCs/>
        </w:rPr>
      </w:pPr>
      <w:r>
        <w:rPr>
          <w:iCs/>
        </w:rPr>
      </w:r>
    </w:p>
    <w:p>
      <w:pPr>
        <w:pStyle w:val="Normal"/>
        <w:spacing w:lineRule="auto" w:line="240" w:before="0" w:after="0"/>
        <w:rPr>
          <w:rFonts w:ascii="Times New Roman" w:hAnsi="Times New Roman" w:cs="Times New Roman"/>
          <w:b/>
          <w:b/>
          <w:bCs/>
        </w:rPr>
      </w:pPr>
      <w:r>
        <w:rPr>
          <w:rFonts w:cs="Times New Roman" w:ascii="Times New Roman" w:hAnsi="Times New Roman"/>
          <w:b/>
          <w:bCs/>
        </w:rPr>
        <w:t>For general comments please use the template provided in page 2 below</w:t>
      </w:r>
    </w:p>
    <w:p>
      <w:pPr>
        <w:pStyle w:val="ListParagraph"/>
        <w:jc w:val="both"/>
        <w:rPr>
          <w:iCs/>
        </w:rPr>
      </w:pPr>
      <w:r>
        <w:rPr>
          <w:iCs/>
        </w:rPr>
      </w:r>
    </w:p>
    <w:p>
      <w:pPr>
        <w:pStyle w:val="ListParagraph"/>
        <w:jc w:val="both"/>
        <w:rPr>
          <w:i/>
          <w:i/>
        </w:rPr>
      </w:pPr>
      <w:r>
        <w:rPr>
          <w:i/>
        </w:rPr>
      </w:r>
    </w:p>
    <w:p>
      <w:pPr>
        <w:pStyle w:val="ListParagraph"/>
        <w:spacing w:lineRule="auto" w:line="240" w:before="0" w:after="0"/>
        <w:rPr>
          <w:rFonts w:ascii="Times New Roman" w:hAnsi="Times New Roman" w:cs="Times New Roman"/>
        </w:rPr>
      </w:pPr>
      <w:r>
        <w:rPr>
          <w:rFonts w:cs="Times New Roman" w:ascii="Times New Roman" w:hAnsi="Times New Roman"/>
        </w:rPr>
      </w:r>
    </w:p>
    <w:p>
      <w:pPr>
        <w:pStyle w:val="Normal"/>
        <w:spacing w:lineRule="auto" w:line="240" w:before="0" w:after="0"/>
        <w:rPr>
          <w:rFonts w:ascii="Times New Roman" w:hAnsi="Times New Roman" w:cs="Times New Roman"/>
        </w:rPr>
      </w:pPr>
      <w:r>
        <w:rPr>
          <w:rFonts w:cs="Times New Roman" w:ascii="Times New Roman" w:hAnsi="Times New Roman"/>
        </w:rPr>
      </w:r>
    </w:p>
    <w:p>
      <w:pPr>
        <w:sectPr>
          <w:headerReference w:type="default" r:id="rId7"/>
          <w:footerReference w:type="default" r:id="rId8"/>
          <w:type w:val="nextPage"/>
          <w:pgSz w:w="16838" w:h="23811"/>
          <w:pgMar w:left="1440" w:right="1440" w:header="709" w:top="1440" w:footer="709" w:bottom="1440" w:gutter="0"/>
          <w:pgNumType w:fmt="decimal"/>
          <w:formProt w:val="false"/>
          <w:textDirection w:val="lrTb"/>
          <w:docGrid w:type="default" w:linePitch="360" w:charSpace="4294965247"/>
        </w:sectPr>
        <w:pStyle w:val="Normal"/>
        <w:spacing w:lineRule="auto" w:line="240" w:before="0" w:after="0"/>
        <w:rPr>
          <w:rFonts w:ascii="Times New Roman" w:hAnsi="Times New Roman" w:cs="Times New Roman"/>
        </w:rPr>
      </w:pPr>
      <w:r>
        <w:rPr>
          <w:rFonts w:cs="Times New Roman" w:ascii="Times New Roman" w:hAnsi="Times New Roman"/>
        </w:rPr>
      </w:r>
    </w:p>
    <w:p>
      <w:pPr>
        <w:pStyle w:val="Normal"/>
        <w:tabs>
          <w:tab w:val="left" w:pos="2943" w:leader="none"/>
          <w:tab w:val="left" w:pos="6912" w:leader="none"/>
          <w:tab w:val="left" w:pos="10314" w:leader="none"/>
        </w:tabs>
        <w:rPr>
          <w:rFonts w:ascii="Arial" w:hAnsi="Arial" w:eastAsia="Arial" w:cs="Arial"/>
          <w:b/>
          <w:b/>
          <w:bCs/>
          <w:sz w:val="24"/>
          <w:szCs w:val="24"/>
        </w:rPr>
      </w:pPr>
      <w:r>
        <w:rPr>
          <w:rFonts w:eastAsia="Arial" w:cs="Arial" w:ascii="Arial" w:hAnsi="Arial"/>
          <w:b/>
          <w:bCs/>
          <w:sz w:val="24"/>
          <w:szCs w:val="24"/>
        </w:rPr>
        <w:t>Table 1. Indicators for monitoring elements of the draft goals (with example entries)</w:t>
      </w:r>
    </w:p>
    <w:tbl>
      <w:tblPr>
        <w:tblStyle w:val="TableGrid"/>
        <w:tblW w:w="21803" w:type="dxa"/>
        <w:jc w:val="left"/>
        <w:tblInd w:w="0" w:type="dxa"/>
        <w:tblCellMar>
          <w:top w:w="0" w:type="dxa"/>
          <w:left w:w="108" w:type="dxa"/>
          <w:bottom w:w="0" w:type="dxa"/>
          <w:right w:w="108" w:type="dxa"/>
        </w:tblCellMar>
        <w:tblLook w:firstRow="1" w:noVBand="1" w:lastRow="0" w:firstColumn="1" w:lastColumn="0" w:noHBand="0" w:val="04a0"/>
      </w:tblPr>
      <w:tblGrid>
        <w:gridCol w:w="1781"/>
        <w:gridCol w:w="1936"/>
        <w:gridCol w:w="1788"/>
        <w:gridCol w:w="1489"/>
        <w:gridCol w:w="1195"/>
        <w:gridCol w:w="1341"/>
        <w:gridCol w:w="1042"/>
        <w:gridCol w:w="1192"/>
        <w:gridCol w:w="1341"/>
        <w:gridCol w:w="1640"/>
        <w:gridCol w:w="1341"/>
        <w:gridCol w:w="1166"/>
        <w:gridCol w:w="966"/>
        <w:gridCol w:w="1794"/>
        <w:gridCol w:w="1791"/>
      </w:tblGrid>
      <w:tr>
        <w:trPr>
          <w:tblHeader w:val="true"/>
          <w:trHeight w:val="280" w:hRule="atLeast"/>
        </w:trPr>
        <w:tc>
          <w:tcPr>
            <w:tcW w:w="1781"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1</w:t>
            </w:r>
          </w:p>
        </w:tc>
        <w:tc>
          <w:tcPr>
            <w:tcW w:w="1936" w:type="dxa"/>
            <w:tcBorders/>
            <w:shd w:color="auto" w:fill="BFBFBF" w:themeFill="background1" w:themeFillShade="bf" w:val="clear"/>
            <w:tcMar>
              <w:left w:w="108" w:type="dxa"/>
            </w:tcMar>
            <w:vAlign w:val="center"/>
          </w:tcPr>
          <w:p>
            <w:pPr>
              <w:pStyle w:val="Normal"/>
              <w:spacing w:lineRule="auto" w:line="240" w:before="0" w:after="0"/>
              <w:ind w:firstLine="171"/>
              <w:jc w:val="center"/>
              <w:rPr>
                <w:rFonts w:ascii="Arial" w:hAnsi="Arial" w:cs="Arial"/>
                <w:b/>
                <w:b/>
                <w:sz w:val="16"/>
                <w:szCs w:val="16"/>
              </w:rPr>
            </w:pPr>
            <w:r>
              <w:rPr>
                <w:rFonts w:cs="Arial" w:ascii="Arial" w:hAnsi="Arial"/>
                <w:b/>
                <w:sz w:val="16"/>
                <w:szCs w:val="16"/>
              </w:rPr>
              <w:t>2</w:t>
            </w:r>
          </w:p>
        </w:tc>
        <w:tc>
          <w:tcPr>
            <w:tcW w:w="1788" w:type="dxa"/>
            <w:tcBorders/>
            <w:shd w:color="auto" w:fill="BFBFBF" w:themeFill="background1" w:themeFillShade="bf" w:val="clear"/>
            <w:tcMar>
              <w:left w:w="108" w:type="dxa"/>
            </w:tcMar>
            <w:vAlign w:val="center"/>
          </w:tcPr>
          <w:p>
            <w:pPr>
              <w:pStyle w:val="Normal"/>
              <w:spacing w:lineRule="auto" w:line="240" w:before="0" w:after="0"/>
              <w:ind w:firstLine="171"/>
              <w:jc w:val="center"/>
              <w:rPr>
                <w:rFonts w:ascii="Arial" w:hAnsi="Arial" w:cs="Arial"/>
                <w:b/>
                <w:b/>
                <w:sz w:val="16"/>
                <w:szCs w:val="16"/>
              </w:rPr>
            </w:pPr>
            <w:r>
              <w:rPr>
                <w:rFonts w:cs="Arial" w:ascii="Arial" w:hAnsi="Arial"/>
                <w:b/>
                <w:sz w:val="16"/>
                <w:szCs w:val="16"/>
              </w:rPr>
              <w:t>3</w:t>
            </w:r>
          </w:p>
        </w:tc>
        <w:tc>
          <w:tcPr>
            <w:tcW w:w="1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4</w:t>
            </w:r>
          </w:p>
        </w:tc>
        <w:tc>
          <w:tcPr>
            <w:tcW w:w="119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5</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6</w:t>
            </w:r>
          </w:p>
        </w:tc>
        <w:tc>
          <w:tcPr>
            <w:tcW w:w="10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7</w:t>
            </w:r>
          </w:p>
        </w:tc>
        <w:tc>
          <w:tcPr>
            <w:tcW w:w="119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8</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9</w:t>
            </w:r>
          </w:p>
        </w:tc>
        <w:tc>
          <w:tcPr>
            <w:tcW w:w="16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10</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11</w:t>
            </w:r>
          </w:p>
        </w:tc>
        <w:tc>
          <w:tcPr>
            <w:tcW w:w="11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12</w:t>
            </w:r>
          </w:p>
        </w:tc>
        <w:tc>
          <w:tcPr>
            <w:tcW w:w="9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13</w:t>
            </w:r>
          </w:p>
        </w:tc>
        <w:tc>
          <w:tcPr>
            <w:tcW w:w="1794"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14</w:t>
            </w:r>
          </w:p>
        </w:tc>
        <w:tc>
          <w:tcPr>
            <w:tcW w:w="1791" w:type="dxa"/>
            <w:tcBorders/>
            <w:shd w:color="auto" w:fill="BFBFBF" w:themeFill="background1" w:themeFillShade="bf" w:val="clear"/>
            <w:tcMar>
              <w:left w:w="108" w:type="dxa"/>
            </w:tcMar>
          </w:tcPr>
          <w:p>
            <w:pPr>
              <w:pStyle w:val="Normal"/>
              <w:spacing w:lineRule="auto" w:line="240" w:before="0" w:after="0"/>
              <w:jc w:val="center"/>
              <w:rPr>
                <w:rFonts w:ascii="Arial" w:hAnsi="Arial" w:cs="Arial"/>
                <w:b/>
                <w:b/>
                <w:sz w:val="16"/>
                <w:szCs w:val="16"/>
              </w:rPr>
            </w:pPr>
            <w:r>
              <w:rPr>
                <w:rFonts w:cs="Arial" w:ascii="Arial" w:hAnsi="Arial"/>
                <w:b/>
                <w:sz w:val="16"/>
                <w:szCs w:val="16"/>
              </w:rPr>
              <w:t>15</w:t>
            </w:r>
          </w:p>
        </w:tc>
      </w:tr>
      <w:tr>
        <w:trPr>
          <w:tblHeader w:val="true"/>
          <w:trHeight w:val="1041" w:hRule="atLeast"/>
        </w:trPr>
        <w:tc>
          <w:tcPr>
            <w:tcW w:w="1781" w:type="dxa"/>
            <w:tcBorders/>
            <w:shd w:color="auto" w:fill="BFBFBF" w:themeFill="background1" w:themeFillShade="bf" w:val="clear"/>
            <w:tcMar>
              <w:left w:w="108" w:type="dxa"/>
            </w:tcMar>
            <w:vAlign w:val="center"/>
          </w:tcPr>
          <w:p>
            <w:pPr>
              <w:pStyle w:val="ListParagraph"/>
              <w:spacing w:lineRule="auto" w:line="240" w:before="0" w:after="0"/>
              <w:ind w:left="0" w:hanging="0"/>
              <w:contextualSpacing/>
              <w:jc w:val="center"/>
              <w:rPr>
                <w:rFonts w:ascii="Arial" w:hAnsi="Arial" w:cs="Arial"/>
                <w:b/>
                <w:b/>
                <w:bCs/>
                <w:sz w:val="16"/>
                <w:szCs w:val="16"/>
              </w:rPr>
            </w:pPr>
            <w:r>
              <w:rPr>
                <w:rFonts w:cs="Arial" w:ascii="Arial" w:hAnsi="Arial"/>
                <w:b/>
                <w:sz w:val="16"/>
                <w:szCs w:val="16"/>
              </w:rPr>
              <w:t xml:space="preserve">Components of the </w:t>
            </w:r>
            <w:r>
              <w:rPr>
                <w:rFonts w:cs="Arial" w:ascii="Arial" w:hAnsi="Arial"/>
                <w:b/>
                <w:bCs/>
                <w:sz w:val="16"/>
                <w:szCs w:val="16"/>
              </w:rPr>
              <w:t>draft</w:t>
            </w:r>
            <w:r>
              <w:rPr>
                <w:rFonts w:cs="Arial" w:ascii="Arial" w:hAnsi="Arial"/>
                <w:b/>
                <w:sz w:val="16"/>
                <w:szCs w:val="16"/>
              </w:rPr>
              <w:t xml:space="preserve"> </w:t>
            </w:r>
            <w:r>
              <w:rPr>
                <w:rFonts w:cs="Arial" w:ascii="Arial" w:hAnsi="Arial"/>
                <w:b/>
                <w:bCs/>
                <w:sz w:val="16"/>
                <w:szCs w:val="16"/>
              </w:rPr>
              <w:t>Goals</w:t>
            </w:r>
          </w:p>
          <w:p>
            <w:pPr>
              <w:pStyle w:val="ListParagraph"/>
              <w:spacing w:lineRule="auto" w:line="240" w:before="0" w:after="0"/>
              <w:ind w:left="0" w:hanging="0"/>
              <w:contextualSpacing/>
              <w:jc w:val="center"/>
              <w:rPr>
                <w:rFonts w:ascii="Arial" w:hAnsi="Arial" w:cs="Arial"/>
                <w:b/>
                <w:b/>
                <w:bCs/>
                <w:sz w:val="16"/>
                <w:szCs w:val="16"/>
              </w:rPr>
            </w:pPr>
            <w:r>
              <w:rPr>
                <w:rFonts w:cs="Arial" w:ascii="Arial" w:hAnsi="Arial"/>
                <w:b/>
                <w:bCs/>
                <w:sz w:val="16"/>
                <w:szCs w:val="16"/>
              </w:rPr>
            </w:r>
          </w:p>
          <w:p>
            <w:pPr>
              <w:pStyle w:val="ListParagraph"/>
              <w:spacing w:lineRule="auto" w:line="240" w:before="0" w:after="0"/>
              <w:ind w:left="0" w:hanging="0"/>
              <w:contextualSpacing/>
              <w:rPr/>
            </w:pPr>
            <w:r>
              <w:rPr>
                <w:rFonts w:cs="Arial" w:ascii="Arial" w:hAnsi="Arial"/>
                <w:b/>
                <w:bCs/>
                <w:sz w:val="16"/>
                <w:szCs w:val="16"/>
              </w:rPr>
              <w:t xml:space="preserve">(copy/paste text from </w:t>
            </w:r>
            <w:hyperlink r:id="rId9">
              <w:r>
                <w:rPr>
                  <w:rStyle w:val="InternetLink"/>
                  <w:rFonts w:cs="Arial" w:ascii="Arial" w:hAnsi="Arial"/>
                  <w:b/>
                  <w:bCs/>
                  <w:sz w:val="16"/>
                  <w:szCs w:val="16"/>
                </w:rPr>
                <w:t>CBD/SBSTTA-24/post-2020-monitoring.en.pdf</w:t>
              </w:r>
            </w:hyperlink>
            <w:r>
              <w:rPr>
                <w:rFonts w:cs="Arial" w:ascii="Arial" w:hAnsi="Arial"/>
                <w:b/>
                <w:bCs/>
                <w:sz w:val="16"/>
                <w:szCs w:val="16"/>
              </w:rPr>
              <w:t>)</w:t>
            </w:r>
          </w:p>
          <w:p>
            <w:pPr>
              <w:pStyle w:val="Normal"/>
              <w:spacing w:lineRule="auto" w:line="240" w:before="0" w:after="0"/>
              <w:ind w:firstLine="171"/>
              <w:jc w:val="center"/>
              <w:rPr>
                <w:rFonts w:ascii="Arial" w:hAnsi="Arial" w:cs="Arial"/>
                <w:sz w:val="16"/>
                <w:szCs w:val="16"/>
              </w:rPr>
            </w:pPr>
            <w:r>
              <w:rPr>
                <w:rFonts w:cs="Arial" w:ascii="Arial" w:hAnsi="Arial"/>
                <w:sz w:val="16"/>
                <w:szCs w:val="16"/>
              </w:rPr>
            </w:r>
          </w:p>
        </w:tc>
        <w:tc>
          <w:tcPr>
            <w:tcW w:w="1936"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bCs/>
                <w:sz w:val="16"/>
                <w:szCs w:val="16"/>
              </w:rPr>
              <w:t xml:space="preserve">Goal </w:t>
            </w:r>
            <w:r>
              <w:rPr>
                <w:rFonts w:cs="Arial" w:ascii="Arial" w:hAnsi="Arial"/>
                <w:b/>
                <w:sz w:val="16"/>
                <w:szCs w:val="16"/>
              </w:rPr>
              <w:t>Monitoring Elements</w:t>
            </w:r>
          </w:p>
          <w:p>
            <w:pPr>
              <w:pStyle w:val="Normal"/>
              <w:spacing w:lineRule="auto" w:line="240" w:before="0" w:after="0"/>
              <w:jc w:val="center"/>
              <w:rPr>
                <w:rFonts w:ascii="Arial" w:hAnsi="Arial" w:cs="Arial"/>
                <w:b/>
                <w:b/>
                <w:sz w:val="16"/>
                <w:szCs w:val="16"/>
              </w:rPr>
            </w:pPr>
            <w:r>
              <w:rPr>
                <w:rFonts w:cs="Arial" w:ascii="Arial" w:hAnsi="Arial"/>
                <w:b/>
                <w:sz w:val="16"/>
                <w:szCs w:val="16"/>
              </w:rPr>
            </w:r>
          </w:p>
          <w:p>
            <w:pPr>
              <w:pStyle w:val="ListParagraph"/>
              <w:spacing w:lineRule="auto" w:line="240" w:before="0" w:after="0"/>
              <w:ind w:left="0" w:hanging="0"/>
              <w:contextualSpacing/>
              <w:rPr/>
            </w:pPr>
            <w:r>
              <w:rPr>
                <w:rFonts w:cs="Arial" w:ascii="Arial" w:hAnsi="Arial"/>
                <w:b/>
                <w:bCs/>
                <w:sz w:val="16"/>
                <w:szCs w:val="16"/>
              </w:rPr>
              <w:t xml:space="preserve">(copy/paste text from </w:t>
            </w:r>
            <w:hyperlink r:id="rId10">
              <w:r>
                <w:rPr>
                  <w:rStyle w:val="InternetLink"/>
                  <w:rFonts w:cs="Arial" w:ascii="Arial" w:hAnsi="Arial"/>
                  <w:b/>
                  <w:bCs/>
                  <w:sz w:val="16"/>
                  <w:szCs w:val="16"/>
                </w:rPr>
                <w:t>CBD/SBSTTA-24/post-2020-monitoring.en.pdf</w:t>
              </w:r>
            </w:hyperlink>
            <w:r>
              <w:rPr>
                <w:rFonts w:cs="Arial" w:ascii="Arial" w:hAnsi="Arial"/>
                <w:b/>
                <w:bCs/>
                <w:sz w:val="16"/>
                <w:szCs w:val="16"/>
              </w:rPr>
              <w:t>)</w:t>
            </w:r>
          </w:p>
          <w:p>
            <w:pPr>
              <w:pStyle w:val="Normal"/>
              <w:spacing w:lineRule="auto" w:line="240" w:before="0" w:after="0"/>
              <w:jc w:val="center"/>
              <w:rPr>
                <w:rFonts w:ascii="Arial" w:hAnsi="Arial" w:cs="Arial"/>
                <w:b/>
                <w:b/>
                <w:sz w:val="16"/>
                <w:szCs w:val="16"/>
              </w:rPr>
            </w:pPr>
            <w:r>
              <w:rPr>
                <w:rFonts w:cs="Arial" w:ascii="Arial" w:hAnsi="Arial"/>
                <w:b/>
                <w:sz w:val="16"/>
                <w:szCs w:val="16"/>
              </w:rPr>
            </w:r>
          </w:p>
        </w:tc>
        <w:tc>
          <w:tcPr>
            <w:tcW w:w="1788"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bCs/>
                <w:sz w:val="16"/>
                <w:szCs w:val="16"/>
              </w:rPr>
              <w:t>Indicator name</w:t>
            </w:r>
          </w:p>
        </w:tc>
        <w:tc>
          <w:tcPr>
            <w:tcW w:w="1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Responsible Institution</w:t>
            </w:r>
            <w:r>
              <w:rPr>
                <w:rFonts w:cs="Arial" w:ascii="Arial" w:hAnsi="Arial"/>
                <w:b/>
                <w:bCs/>
                <w:sz w:val="16"/>
                <w:szCs w:val="16"/>
              </w:rPr>
              <w:t xml:space="preserve"> for the indicator</w:t>
            </w:r>
          </w:p>
        </w:tc>
        <w:tc>
          <w:tcPr>
            <w:tcW w:w="119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Available today (X) or under active development (Y)</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Date of availability for indicator in development (Year)</w:t>
            </w:r>
          </w:p>
        </w:tc>
        <w:tc>
          <w:tcPr>
            <w:tcW w:w="10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Year of last update (e.g. 2019)</w:t>
            </w:r>
          </w:p>
        </w:tc>
        <w:tc>
          <w:tcPr>
            <w:tcW w:w="119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Arial" w:cs="Arial" w:ascii="Arial" w:hAnsi="Arial"/>
                <w:b/>
                <w:sz w:val="16"/>
                <w:szCs w:val="16"/>
              </w:rPr>
              <w:t>Time series and frequency of updates (e.g. 1985-2019, annually)</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Methodology available for national use (Y/N)</w:t>
            </w:r>
          </w:p>
        </w:tc>
        <w:tc>
          <w:tcPr>
            <w:tcW w:w="16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Global indicator can be disaggregated for national use (Y/N)</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National data aggregated to form global indicator (Y/N)</w:t>
            </w:r>
          </w:p>
        </w:tc>
        <w:tc>
          <w:tcPr>
            <w:tcW w:w="11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Used in GBO-4 (Y/N)</w:t>
            </w:r>
          </w:p>
        </w:tc>
        <w:tc>
          <w:tcPr>
            <w:tcW w:w="9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SDG indicator (Y/N)</w:t>
            </w:r>
          </w:p>
        </w:tc>
        <w:tc>
          <w:tcPr>
            <w:tcW w:w="1794"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Indicator used to measure other MEAs or processes (e.g. Ramsar</w:t>
            </w:r>
            <w:r>
              <w:rPr>
                <w:rFonts w:cs="Arial" w:ascii="Arial" w:hAnsi="Arial"/>
                <w:b/>
                <w:bCs/>
                <w:sz w:val="16"/>
                <w:szCs w:val="16"/>
              </w:rPr>
              <w:t xml:space="preserve">  Convention</w:t>
            </w:r>
            <w:r>
              <w:rPr>
                <w:rFonts w:cs="Arial" w:ascii="Arial" w:hAnsi="Arial"/>
                <w:b/>
                <w:sz w:val="16"/>
                <w:szCs w:val="16"/>
              </w:rPr>
              <w:t>, IPBES, CMS)</w:t>
            </w:r>
          </w:p>
        </w:tc>
        <w:tc>
          <w:tcPr>
            <w:tcW w:w="1791"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Comments</w:t>
            </w:r>
          </w:p>
        </w:tc>
      </w:tr>
      <w:tr>
        <w:trPr>
          <w:trHeight w:val="296" w:hRule="atLeast"/>
        </w:trPr>
        <w:tc>
          <w:tcPr>
            <w:tcW w:w="1781" w:type="dxa"/>
            <w:tcBorders/>
            <w:shd w:color="auto" w:fill="FFE599" w:themeFill="accent4" w:themeFillTint="66" w:val="clear"/>
            <w:tcMar>
              <w:left w:w="108" w:type="dxa"/>
            </w:tcMar>
          </w:tcPr>
          <w:p>
            <w:pPr>
              <w:pStyle w:val="Normal"/>
              <w:rPr/>
            </w:pPr>
            <w:r>
              <w:rPr>
                <w:rFonts w:eastAsia="Arial" w:cs="Arial" w:ascii="Arial" w:hAnsi="Arial"/>
                <w:sz w:val="18"/>
                <w:szCs w:val="18"/>
              </w:rPr>
              <w:t>GA5. Maintain Genetic diversity</w:t>
            </w:r>
          </w:p>
          <w:p>
            <w:pPr>
              <w:pStyle w:val="Normal"/>
              <w:spacing w:before="0" w:after="160"/>
              <w:rPr>
                <w:rFonts w:ascii="Arial" w:hAnsi="Arial" w:eastAsia="Arial" w:cs="Arial"/>
                <w:sz w:val="18"/>
                <w:szCs w:val="18"/>
              </w:rPr>
            </w:pPr>
            <w:r>
              <w:rPr>
                <w:rFonts w:eastAsia="Arial" w:cs="Arial" w:ascii="Arial" w:hAnsi="Arial"/>
                <w:sz w:val="18"/>
                <w:szCs w:val="18"/>
              </w:rPr>
            </w:r>
          </w:p>
        </w:tc>
        <w:tc>
          <w:tcPr>
            <w:tcW w:w="1936" w:type="dxa"/>
            <w:tcBorders/>
            <w:shd w:color="auto" w:fill="FFE599" w:themeFill="accent4" w:themeFillTint="66" w:val="clear"/>
            <w:tcMar>
              <w:left w:w="108" w:type="dxa"/>
            </w:tcMar>
          </w:tcPr>
          <w:p>
            <w:pPr>
              <w:pStyle w:val="Normal"/>
              <w:widowControl/>
              <w:bidi w:val="0"/>
              <w:spacing w:lineRule="auto" w:line="259" w:before="0" w:after="160"/>
              <w:jc w:val="left"/>
              <w:rPr/>
            </w:pPr>
            <w:r>
              <w:rPr>
                <w:rFonts w:eastAsia="Arial" w:cs="Arial" w:ascii="Arial" w:hAnsi="Arial"/>
                <w:sz w:val="18"/>
                <w:szCs w:val="18"/>
              </w:rPr>
              <w:t>Trends in the genetic diversity of wild species</w:t>
            </w:r>
          </w:p>
        </w:tc>
        <w:tc>
          <w:tcPr>
            <w:tcW w:w="1788" w:type="dxa"/>
            <w:tcBorders/>
            <w:shd w:color="auto" w:fill="auto" w:val="clear"/>
            <w:tcMar>
              <w:left w:w="108" w:type="dxa"/>
            </w:tcMar>
          </w:tcPr>
          <w:p>
            <w:pPr>
              <w:pStyle w:val="Normal"/>
              <w:widowControl/>
              <w:bidi w:val="0"/>
              <w:spacing w:lineRule="auto" w:line="259" w:before="0" w:after="160"/>
              <w:jc w:val="left"/>
              <w:rPr/>
            </w:pPr>
            <w:r>
              <w:rPr>
                <w:rFonts w:eastAsia="Arial" w:cs="Arial" w:ascii="Arial" w:hAnsi="Arial"/>
                <w:sz w:val="18"/>
                <w:szCs w:val="18"/>
              </w:rPr>
              <w:t>Number of populations within species with effective population size (Ne) above 500 versus those with Ne below 500.</w:t>
            </w:r>
          </w:p>
        </w:tc>
        <w:tc>
          <w:tcPr>
            <w:tcW w:w="1489" w:type="dxa"/>
            <w:tcBorders/>
            <w:shd w:color="auto" w:fill="auto" w:val="clear"/>
            <w:tcMar>
              <w:left w:w="108" w:type="dxa"/>
            </w:tcMar>
          </w:tcPr>
          <w:p>
            <w:pPr>
              <w:pStyle w:val="Normal"/>
              <w:rPr/>
            </w:pPr>
            <w:r>
              <w:rPr>
                <w:rFonts w:eastAsia="Arial" w:cs="Arial" w:ascii="Arial" w:hAnsi="Arial"/>
                <w:sz w:val="18"/>
                <w:szCs w:val="18"/>
              </w:rPr>
              <w:t>GEO BON Genetic Composition Working Group, IUCN Conservation Genetic Specialist Group, GBIKE</w:t>
            </w:r>
          </w:p>
          <w:p>
            <w:pPr>
              <w:pStyle w:val="Normal"/>
              <w:widowControl/>
              <w:bidi w:val="0"/>
              <w:spacing w:lineRule="auto" w:line="259" w:before="0" w:after="160"/>
              <w:jc w:val="left"/>
              <w:rPr/>
            </w:pPr>
            <w:r>
              <w:rPr>
                <w:rFonts w:eastAsia="Arial" w:cs="Arial" w:ascii="Arial" w:hAnsi="Arial"/>
                <w:sz w:val="18"/>
                <w:szCs w:val="18"/>
              </w:rPr>
              <w:t>shoban@mortonarb.org</w:t>
            </w:r>
          </w:p>
        </w:tc>
        <w:tc>
          <w:tcPr>
            <w:tcW w:w="1195"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rFonts w:ascii="Arial" w:hAnsi="Arial" w:eastAsia="Arial" w:cs="Arial"/>
                <w:sz w:val="18"/>
                <w:szCs w:val="18"/>
              </w:rPr>
            </w:pPr>
            <w:r>
              <w:rPr>
                <w:rFonts w:eastAsia="Arial" w:cs="Arial" w:ascii="Arial" w:hAnsi="Arial"/>
                <w:sz w:val="18"/>
                <w:szCs w:val="18"/>
              </w:rPr>
            </w:r>
          </w:p>
        </w:tc>
        <w:tc>
          <w:tcPr>
            <w:tcW w:w="1042" w:type="dxa"/>
            <w:tcBorders/>
            <w:shd w:color="auto" w:fill="auto" w:val="clear"/>
            <w:tcMar>
              <w:left w:w="108" w:type="dxa"/>
            </w:tcMar>
          </w:tcPr>
          <w:p>
            <w:pPr>
              <w:pStyle w:val="Normal"/>
              <w:spacing w:before="0" w:after="160"/>
              <w:jc w:val="center"/>
              <w:rPr/>
            </w:pPr>
            <w:r>
              <w:rPr>
                <w:rFonts w:eastAsia="Arial" w:cs="Arial" w:ascii="Arial" w:hAnsi="Arial"/>
                <w:sz w:val="18"/>
                <w:szCs w:val="18"/>
              </w:rPr>
              <w:t>2021</w:t>
            </w:r>
          </w:p>
        </w:tc>
        <w:tc>
          <w:tcPr>
            <w:tcW w:w="1192" w:type="dxa"/>
            <w:tcBorders/>
            <w:shd w:color="auto" w:fill="auto" w:val="clear"/>
            <w:tcMar>
              <w:left w:w="108" w:type="dxa"/>
            </w:tcMar>
          </w:tcPr>
          <w:p>
            <w:pPr>
              <w:pStyle w:val="Normal"/>
              <w:spacing w:before="0" w:after="160"/>
              <w:jc w:val="center"/>
              <w:rPr/>
            </w:pPr>
            <w:r>
              <w:rPr>
                <w:rFonts w:eastAsia="Arial" w:cs="Arial" w:ascii="Arial" w:hAnsi="Arial"/>
                <w:sz w:val="18"/>
                <w:szCs w:val="18"/>
              </w:rPr>
              <w:t>annually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partly (Hoban et al 2020)</w:t>
            </w:r>
          </w:p>
        </w:tc>
        <w:tc>
          <w:tcPr>
            <w:tcW w:w="1640"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1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9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4"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1" w:type="dxa"/>
            <w:tcBorders/>
            <w:shd w:fill="auto" w:val="clear"/>
            <w:tcMar>
              <w:left w:w="108" w:type="dxa"/>
            </w:tcMar>
          </w:tcPr>
          <w:p>
            <w:pPr>
              <w:pStyle w:val="Normal"/>
              <w:jc w:val="center"/>
              <w:rPr/>
            </w:pPr>
            <w:hyperlink r:id="rId11">
              <w:r>
                <w:rPr>
                  <w:rStyle w:val="InternetLink"/>
                  <w:rFonts w:eastAsia="Arial" w:cs="Arial" w:ascii="Arial" w:hAnsi="Arial"/>
                  <w:color w:val="1155CC"/>
                  <w:sz w:val="18"/>
                  <w:szCs w:val="18"/>
                  <w:u w:val="single"/>
                </w:rPr>
                <w:t>https://doi.org/10.1016/j.biocon.2020.108654</w:t>
              </w:r>
            </w:hyperlink>
            <w:r>
              <w:rPr>
                <w:rFonts w:eastAsia="Arial" w:cs="Arial" w:ascii="Arial" w:hAnsi="Arial"/>
                <w:sz w:val="18"/>
                <w:szCs w:val="18"/>
              </w:rPr>
              <w:t xml:space="preserve">, </w:t>
            </w:r>
          </w:p>
          <w:p>
            <w:pPr>
              <w:pStyle w:val="Normal"/>
              <w:spacing w:before="0" w:after="160"/>
              <w:jc w:val="center"/>
              <w:rPr/>
            </w:pPr>
            <w:hyperlink r:id="rId12">
              <w:r>
                <w:rPr>
                  <w:rStyle w:val="InternetLink"/>
                  <w:rFonts w:eastAsia="Arial" w:cs="Arial" w:ascii="Arial" w:hAnsi="Arial"/>
                  <w:color w:val="1155CC"/>
                  <w:sz w:val="18"/>
                  <w:szCs w:val="18"/>
                  <w:u w:val="single"/>
                </w:rPr>
                <w:t>https://doi.org/10.1126/science.abb2748</w:t>
              </w:r>
            </w:hyperlink>
            <w:r>
              <w:rPr>
                <w:rFonts w:eastAsia="Arial" w:cs="Arial" w:ascii="Arial" w:hAnsi="Arial"/>
                <w:sz w:val="18"/>
                <w:szCs w:val="18"/>
              </w:rPr>
              <w:t xml:space="preserve"> </w:t>
            </w:r>
          </w:p>
        </w:tc>
      </w:tr>
      <w:tr>
        <w:trPr>
          <w:trHeight w:val="236" w:hRule="atLeast"/>
        </w:trPr>
        <w:tc>
          <w:tcPr>
            <w:tcW w:w="1781" w:type="dxa"/>
            <w:tcBorders/>
            <w:shd w:color="auto" w:fill="FFE599" w:themeFill="accent4" w:themeFillTint="66" w:val="clear"/>
            <w:tcMar>
              <w:left w:w="108" w:type="dxa"/>
            </w:tcMar>
          </w:tcPr>
          <w:p>
            <w:pPr>
              <w:pStyle w:val="Normal"/>
              <w:widowControl/>
              <w:bidi w:val="0"/>
              <w:spacing w:lineRule="auto" w:line="259" w:before="0" w:after="160"/>
              <w:jc w:val="left"/>
              <w:rPr/>
            </w:pPr>
            <w:r>
              <w:rPr>
                <w:rFonts w:eastAsia="Arial" w:cs="Arial" w:ascii="Arial" w:hAnsi="Arial"/>
                <w:sz w:val="18"/>
                <w:szCs w:val="18"/>
              </w:rPr>
              <w:t>GA5. Maintain Genetic diversity</w:t>
            </w:r>
          </w:p>
        </w:tc>
        <w:tc>
          <w:tcPr>
            <w:tcW w:w="1936" w:type="dxa"/>
            <w:tcBorders/>
            <w:shd w:color="auto" w:fill="FFE599" w:themeFill="accent4" w:themeFillTint="66" w:val="clear"/>
            <w:tcMar>
              <w:left w:w="108" w:type="dxa"/>
            </w:tcMar>
          </w:tcPr>
          <w:p>
            <w:pPr>
              <w:pStyle w:val="Normal"/>
              <w:widowControl/>
              <w:bidi w:val="0"/>
              <w:spacing w:lineRule="auto" w:line="259" w:before="0" w:after="160"/>
              <w:jc w:val="left"/>
              <w:rPr/>
            </w:pPr>
            <w:r>
              <w:rPr>
                <w:rFonts w:eastAsia="Arial" w:cs="Arial" w:ascii="Arial" w:hAnsi="Arial"/>
                <w:sz w:val="18"/>
                <w:szCs w:val="18"/>
              </w:rPr>
              <w:t>Trends in the genetic diversity of wild species</w:t>
            </w:r>
          </w:p>
        </w:tc>
        <w:tc>
          <w:tcPr>
            <w:tcW w:w="1788" w:type="dxa"/>
            <w:tcBorders/>
            <w:shd w:color="auto" w:fill="auto" w:val="clear"/>
            <w:tcMar>
              <w:left w:w="108" w:type="dxa"/>
            </w:tcMar>
          </w:tcPr>
          <w:p>
            <w:pPr>
              <w:pStyle w:val="Normal"/>
              <w:widowControl/>
              <w:bidi w:val="0"/>
              <w:spacing w:lineRule="auto" w:line="259" w:before="0" w:after="160"/>
              <w:jc w:val="left"/>
              <w:rPr/>
            </w:pPr>
            <w:r>
              <w:rPr>
                <w:rFonts w:eastAsia="Arial" w:cs="Arial" w:ascii="Arial" w:hAnsi="Arial"/>
                <w:sz w:val="18"/>
                <w:szCs w:val="18"/>
              </w:rPr>
              <w:t>The proportion of distinct populations maintained within species</w:t>
            </w:r>
          </w:p>
        </w:tc>
        <w:tc>
          <w:tcPr>
            <w:tcW w:w="1489" w:type="dxa"/>
            <w:tcBorders/>
            <w:shd w:color="auto" w:fill="auto" w:val="clear"/>
            <w:tcMar>
              <w:left w:w="108" w:type="dxa"/>
            </w:tcMar>
          </w:tcPr>
          <w:p>
            <w:pPr>
              <w:pStyle w:val="Normal"/>
              <w:rPr/>
            </w:pPr>
            <w:r>
              <w:rPr>
                <w:rFonts w:eastAsia="Arial" w:cs="Arial" w:ascii="Arial" w:hAnsi="Arial"/>
                <w:sz w:val="18"/>
                <w:szCs w:val="18"/>
              </w:rPr>
              <w:t>GEO BON Genetic Composition Working Group, IUCN Conservation Genetic Specialist Group, GBIKE</w:t>
            </w:r>
          </w:p>
          <w:p>
            <w:pPr>
              <w:pStyle w:val="Normal"/>
              <w:widowControl/>
              <w:bidi w:val="0"/>
              <w:spacing w:lineRule="auto" w:line="259" w:before="0" w:after="160"/>
              <w:jc w:val="left"/>
              <w:rPr/>
            </w:pPr>
            <w:r>
              <w:rPr>
                <w:rFonts w:eastAsia="Arial" w:cs="Arial" w:ascii="Arial" w:hAnsi="Arial"/>
                <w:sz w:val="18"/>
                <w:szCs w:val="18"/>
              </w:rPr>
              <w:t>shoban@mortonarb.org</w:t>
            </w:r>
          </w:p>
        </w:tc>
        <w:tc>
          <w:tcPr>
            <w:tcW w:w="1195"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rFonts w:ascii="Arial" w:hAnsi="Arial" w:eastAsia="Arial" w:cs="Arial"/>
                <w:sz w:val="18"/>
                <w:szCs w:val="18"/>
              </w:rPr>
            </w:pPr>
            <w:r>
              <w:rPr>
                <w:rFonts w:eastAsia="Arial" w:cs="Arial" w:ascii="Arial" w:hAnsi="Arial"/>
                <w:sz w:val="18"/>
                <w:szCs w:val="18"/>
              </w:rPr>
            </w:r>
          </w:p>
        </w:tc>
        <w:tc>
          <w:tcPr>
            <w:tcW w:w="1042" w:type="dxa"/>
            <w:tcBorders/>
            <w:shd w:color="auto" w:fill="auto" w:val="clear"/>
            <w:tcMar>
              <w:left w:w="108" w:type="dxa"/>
            </w:tcMar>
          </w:tcPr>
          <w:p>
            <w:pPr>
              <w:pStyle w:val="Normal"/>
              <w:spacing w:before="0" w:after="160"/>
              <w:jc w:val="center"/>
              <w:rPr/>
            </w:pPr>
            <w:r>
              <w:rPr>
                <w:rFonts w:eastAsia="Arial" w:cs="Arial" w:ascii="Arial" w:hAnsi="Arial"/>
                <w:sz w:val="18"/>
                <w:szCs w:val="18"/>
              </w:rPr>
              <w:t>2021</w:t>
            </w:r>
          </w:p>
        </w:tc>
        <w:tc>
          <w:tcPr>
            <w:tcW w:w="1192" w:type="dxa"/>
            <w:tcBorders/>
            <w:shd w:color="auto" w:fill="auto" w:val="clear"/>
            <w:tcMar>
              <w:left w:w="108" w:type="dxa"/>
            </w:tcMar>
          </w:tcPr>
          <w:p>
            <w:pPr>
              <w:pStyle w:val="Normal"/>
              <w:spacing w:before="0" w:after="160"/>
              <w:jc w:val="center"/>
              <w:rPr/>
            </w:pPr>
            <w:r>
              <w:rPr>
                <w:rFonts w:eastAsia="Arial" w:cs="Arial" w:ascii="Arial" w:hAnsi="Arial"/>
                <w:sz w:val="18"/>
                <w:szCs w:val="18"/>
              </w:rPr>
              <w:t>annually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partly (Hoban et al 2020)</w:t>
            </w:r>
          </w:p>
        </w:tc>
        <w:tc>
          <w:tcPr>
            <w:tcW w:w="1640"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1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9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4"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1" w:type="dxa"/>
            <w:tcBorders/>
            <w:shd w:fill="auto" w:val="clear"/>
            <w:tcMar>
              <w:left w:w="108" w:type="dxa"/>
            </w:tcMar>
          </w:tcPr>
          <w:p>
            <w:pPr>
              <w:pStyle w:val="Normal"/>
              <w:jc w:val="center"/>
              <w:rPr/>
            </w:pPr>
            <w:hyperlink r:id="rId13">
              <w:r>
                <w:rPr>
                  <w:rStyle w:val="InternetLink"/>
                  <w:rFonts w:eastAsia="Arial" w:cs="Arial" w:ascii="Arial" w:hAnsi="Arial"/>
                  <w:color w:val="1155CC"/>
                  <w:sz w:val="18"/>
                  <w:szCs w:val="18"/>
                  <w:u w:val="single"/>
                </w:rPr>
                <w:t>https://doi.org/10.1016/j.biocon.2020.108654</w:t>
              </w:r>
            </w:hyperlink>
            <w:r>
              <w:rPr>
                <w:rFonts w:eastAsia="Arial" w:cs="Arial" w:ascii="Arial" w:hAnsi="Arial"/>
                <w:sz w:val="18"/>
                <w:szCs w:val="18"/>
              </w:rPr>
              <w:t xml:space="preserve">, </w:t>
            </w:r>
          </w:p>
          <w:p>
            <w:pPr>
              <w:pStyle w:val="Normal"/>
              <w:spacing w:before="0" w:after="160"/>
              <w:jc w:val="center"/>
              <w:rPr/>
            </w:pPr>
            <w:hyperlink r:id="rId14">
              <w:r>
                <w:rPr>
                  <w:rStyle w:val="InternetLink"/>
                  <w:rFonts w:eastAsia="Arial" w:cs="Arial" w:ascii="Arial" w:hAnsi="Arial"/>
                  <w:color w:val="1155CC"/>
                  <w:sz w:val="18"/>
                  <w:szCs w:val="18"/>
                  <w:u w:val="single"/>
                </w:rPr>
                <w:t>https://doi.org/10.1126/science.abb2748</w:t>
              </w:r>
            </w:hyperlink>
            <w:r>
              <w:rPr>
                <w:rFonts w:eastAsia="Arial" w:cs="Arial" w:ascii="Arial" w:hAnsi="Arial"/>
                <w:sz w:val="18"/>
                <w:szCs w:val="18"/>
              </w:rPr>
              <w:t xml:space="preserve"> </w:t>
            </w:r>
          </w:p>
        </w:tc>
      </w:tr>
      <w:tr>
        <w:trPr>
          <w:trHeight w:val="236" w:hRule="atLeast"/>
        </w:trPr>
        <w:tc>
          <w:tcPr>
            <w:tcW w:w="1781" w:type="dxa"/>
            <w:tcBorders/>
            <w:shd w:color="auto" w:fill="FFE599" w:themeFill="accent4" w:themeFillTint="66" w:val="clear"/>
            <w:tcMar>
              <w:left w:w="108" w:type="dxa"/>
            </w:tcMar>
          </w:tcPr>
          <w:p>
            <w:pPr>
              <w:pStyle w:val="Normal"/>
              <w:widowControl/>
              <w:bidi w:val="0"/>
              <w:spacing w:lineRule="auto" w:line="259" w:before="0" w:after="160"/>
              <w:jc w:val="left"/>
              <w:rPr/>
            </w:pPr>
            <w:r>
              <w:rPr>
                <w:rFonts w:eastAsia="Arial" w:cs="Arial" w:ascii="Arial" w:hAnsi="Arial"/>
                <w:sz w:val="18"/>
                <w:szCs w:val="18"/>
              </w:rPr>
              <w:t>GA5. Maintain Genetic diversity</w:t>
            </w:r>
          </w:p>
        </w:tc>
        <w:tc>
          <w:tcPr>
            <w:tcW w:w="1936" w:type="dxa"/>
            <w:tcBorders/>
            <w:shd w:color="auto" w:fill="FFE599" w:themeFill="accent4" w:themeFillTint="66" w:val="clear"/>
            <w:tcMar>
              <w:left w:w="108" w:type="dxa"/>
            </w:tcMar>
          </w:tcPr>
          <w:p>
            <w:pPr>
              <w:pStyle w:val="Normal"/>
              <w:widowControl/>
              <w:bidi w:val="0"/>
              <w:spacing w:lineRule="auto" w:line="259" w:before="0" w:after="160"/>
              <w:jc w:val="left"/>
              <w:rPr/>
            </w:pPr>
            <w:r>
              <w:rPr>
                <w:rFonts w:eastAsia="Arial" w:cs="Arial" w:ascii="Arial" w:hAnsi="Arial"/>
                <w:sz w:val="18"/>
                <w:szCs w:val="18"/>
              </w:rPr>
              <w:t>Trends in the genetic diversity of wild species</w:t>
            </w:r>
          </w:p>
        </w:tc>
        <w:tc>
          <w:tcPr>
            <w:tcW w:w="1788" w:type="dxa"/>
            <w:tcBorders/>
            <w:shd w:color="auto" w:fill="auto" w:val="clear"/>
            <w:tcMar>
              <w:left w:w="108" w:type="dxa"/>
            </w:tcMar>
          </w:tcPr>
          <w:p>
            <w:pPr>
              <w:pStyle w:val="Normal"/>
              <w:widowControl/>
              <w:bidi w:val="0"/>
              <w:spacing w:lineRule="auto" w:line="259" w:before="0" w:after="160"/>
              <w:jc w:val="left"/>
              <w:rPr/>
            </w:pPr>
            <w:r>
              <w:rPr>
                <w:rFonts w:eastAsia="Arial" w:cs="Arial" w:ascii="Arial" w:hAnsi="Arial"/>
                <w:sz w:val="18"/>
                <w:szCs w:val="18"/>
              </w:rPr>
              <w:t>Number of species and populations in which genetic diversity is being monitored using DNA based methods</w:t>
            </w:r>
          </w:p>
        </w:tc>
        <w:tc>
          <w:tcPr>
            <w:tcW w:w="1489" w:type="dxa"/>
            <w:tcBorders/>
            <w:shd w:color="auto" w:fill="auto" w:val="clear"/>
            <w:tcMar>
              <w:left w:w="108" w:type="dxa"/>
            </w:tcMar>
          </w:tcPr>
          <w:p>
            <w:pPr>
              <w:pStyle w:val="Normal"/>
              <w:rPr/>
            </w:pPr>
            <w:r>
              <w:rPr>
                <w:rFonts w:eastAsia="Arial" w:cs="Arial" w:ascii="Arial" w:hAnsi="Arial"/>
                <w:sz w:val="18"/>
                <w:szCs w:val="18"/>
              </w:rPr>
              <w:t>GEO BON Genetic Composition Working Group, IUCN Conservation Genetic Specialist Group, GBIKE</w:t>
            </w:r>
          </w:p>
          <w:p>
            <w:pPr>
              <w:pStyle w:val="Normal"/>
              <w:widowControl/>
              <w:bidi w:val="0"/>
              <w:spacing w:lineRule="auto" w:line="259" w:before="0" w:after="160"/>
              <w:jc w:val="left"/>
              <w:rPr/>
            </w:pPr>
            <w:r>
              <w:rPr>
                <w:rFonts w:eastAsia="Arial" w:cs="Arial" w:ascii="Arial" w:hAnsi="Arial"/>
                <w:sz w:val="18"/>
                <w:szCs w:val="18"/>
              </w:rPr>
              <w:t>shoban@mortonarb.org</w:t>
            </w:r>
          </w:p>
        </w:tc>
        <w:tc>
          <w:tcPr>
            <w:tcW w:w="1195"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rFonts w:ascii="Arial" w:hAnsi="Arial" w:eastAsia="Arial" w:cs="Arial"/>
                <w:sz w:val="18"/>
                <w:szCs w:val="18"/>
              </w:rPr>
            </w:pPr>
            <w:r>
              <w:rPr>
                <w:rFonts w:eastAsia="Arial" w:cs="Arial" w:ascii="Arial" w:hAnsi="Arial"/>
                <w:sz w:val="18"/>
                <w:szCs w:val="18"/>
              </w:rPr>
            </w:r>
          </w:p>
        </w:tc>
        <w:tc>
          <w:tcPr>
            <w:tcW w:w="1042" w:type="dxa"/>
            <w:tcBorders/>
            <w:shd w:color="auto" w:fill="auto" w:val="clear"/>
            <w:tcMar>
              <w:left w:w="108" w:type="dxa"/>
            </w:tcMar>
          </w:tcPr>
          <w:p>
            <w:pPr>
              <w:pStyle w:val="Normal"/>
              <w:spacing w:before="0" w:after="160"/>
              <w:jc w:val="center"/>
              <w:rPr/>
            </w:pPr>
            <w:r>
              <w:rPr>
                <w:rFonts w:eastAsia="Arial" w:cs="Arial" w:ascii="Arial" w:hAnsi="Arial"/>
                <w:sz w:val="18"/>
                <w:szCs w:val="18"/>
              </w:rPr>
              <w:t>2021</w:t>
            </w:r>
          </w:p>
        </w:tc>
        <w:tc>
          <w:tcPr>
            <w:tcW w:w="1192" w:type="dxa"/>
            <w:tcBorders/>
            <w:shd w:color="auto" w:fill="auto" w:val="clear"/>
            <w:tcMar>
              <w:left w:w="108" w:type="dxa"/>
            </w:tcMar>
          </w:tcPr>
          <w:p>
            <w:pPr>
              <w:pStyle w:val="Normal"/>
              <w:spacing w:before="0" w:after="160"/>
              <w:jc w:val="center"/>
              <w:rPr/>
            </w:pPr>
            <w:r>
              <w:rPr>
                <w:rFonts w:eastAsia="Arial" w:cs="Arial" w:ascii="Arial" w:hAnsi="Arial"/>
                <w:sz w:val="18"/>
                <w:szCs w:val="18"/>
              </w:rPr>
              <w:t>annually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partly (Hoban et al 2020)</w:t>
            </w:r>
          </w:p>
        </w:tc>
        <w:tc>
          <w:tcPr>
            <w:tcW w:w="1640"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341" w:type="dxa"/>
            <w:tcBorders/>
            <w:shd w:color="auto" w:fill="auto" w:val="clear"/>
            <w:tcMar>
              <w:left w:w="108" w:type="dxa"/>
            </w:tcMar>
          </w:tcPr>
          <w:p>
            <w:pPr>
              <w:pStyle w:val="Normal"/>
              <w:spacing w:before="0" w:after="160"/>
              <w:jc w:val="center"/>
              <w:rPr/>
            </w:pPr>
            <w:r>
              <w:rPr>
                <w:rFonts w:eastAsia="Arial" w:cs="Arial" w:ascii="Arial" w:hAnsi="Arial"/>
                <w:sz w:val="18"/>
                <w:szCs w:val="18"/>
              </w:rPr>
              <w:t>Y</w:t>
            </w:r>
          </w:p>
        </w:tc>
        <w:tc>
          <w:tcPr>
            <w:tcW w:w="11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966"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4" w:type="dxa"/>
            <w:tcBorders/>
            <w:shd w:color="auto" w:fill="auto" w:val="clear"/>
            <w:tcMar>
              <w:left w:w="108" w:type="dxa"/>
            </w:tcMar>
          </w:tcPr>
          <w:p>
            <w:pPr>
              <w:pStyle w:val="Normal"/>
              <w:spacing w:before="0" w:after="160"/>
              <w:jc w:val="center"/>
              <w:rPr/>
            </w:pPr>
            <w:r>
              <w:rPr>
                <w:rFonts w:eastAsia="Arial" w:cs="Arial" w:ascii="Arial" w:hAnsi="Arial"/>
                <w:sz w:val="18"/>
                <w:szCs w:val="18"/>
              </w:rPr>
              <w:t>N</w:t>
            </w:r>
          </w:p>
        </w:tc>
        <w:tc>
          <w:tcPr>
            <w:tcW w:w="1791" w:type="dxa"/>
            <w:tcBorders/>
            <w:shd w:fill="auto" w:val="clear"/>
            <w:tcMar>
              <w:left w:w="108" w:type="dxa"/>
            </w:tcMar>
          </w:tcPr>
          <w:p>
            <w:pPr>
              <w:pStyle w:val="Normal"/>
              <w:jc w:val="center"/>
              <w:rPr/>
            </w:pPr>
            <w:hyperlink r:id="rId15">
              <w:r>
                <w:rPr>
                  <w:rStyle w:val="InternetLink"/>
                  <w:rFonts w:eastAsia="Arial" w:cs="Arial" w:ascii="Arial" w:hAnsi="Arial"/>
                  <w:color w:val="1155CC"/>
                  <w:sz w:val="18"/>
                  <w:szCs w:val="18"/>
                  <w:u w:val="single"/>
                </w:rPr>
                <w:t>https://doi.org/10.1016/j.biocon.2020.108654</w:t>
              </w:r>
            </w:hyperlink>
            <w:r>
              <w:rPr>
                <w:rFonts w:eastAsia="Arial" w:cs="Arial" w:ascii="Arial" w:hAnsi="Arial"/>
                <w:sz w:val="18"/>
                <w:szCs w:val="18"/>
              </w:rPr>
              <w:t xml:space="preserve">, </w:t>
            </w:r>
          </w:p>
          <w:p>
            <w:pPr>
              <w:pStyle w:val="Normal"/>
              <w:spacing w:before="0" w:after="160"/>
              <w:jc w:val="center"/>
              <w:rPr/>
            </w:pPr>
            <w:hyperlink r:id="rId16">
              <w:r>
                <w:rPr>
                  <w:rStyle w:val="InternetLink"/>
                  <w:rFonts w:eastAsia="Arial" w:cs="Arial" w:ascii="Arial" w:hAnsi="Arial"/>
                  <w:color w:val="1155CC"/>
                  <w:sz w:val="18"/>
                  <w:szCs w:val="18"/>
                  <w:u w:val="single"/>
                </w:rPr>
                <w:t>https://doi.org/10.1126/science.abb2748</w:t>
              </w:r>
            </w:hyperlink>
            <w:r>
              <w:rPr>
                <w:rFonts w:eastAsia="Arial" w:cs="Arial" w:ascii="Arial" w:hAnsi="Arial"/>
                <w:sz w:val="18"/>
                <w:szCs w:val="18"/>
              </w:rPr>
              <w:t xml:space="preserve"> </w:t>
            </w:r>
          </w:p>
        </w:tc>
      </w:tr>
      <w:tr>
        <w:trPr>
          <w:trHeight w:val="236" w:hRule="atLeast"/>
        </w:trPr>
        <w:tc>
          <w:tcPr>
            <w:tcW w:w="1781"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Fonts w:eastAsia="Arial" w:cs="Arial" w:ascii="Arial" w:hAnsi="Arial"/>
                <w:sz w:val="18"/>
                <w:szCs w:val="18"/>
              </w:rPr>
            </w:r>
          </w:p>
        </w:tc>
        <w:tc>
          <w:tcPr>
            <w:tcW w:w="1936"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Fonts w:eastAsia="Arial" w:cs="Arial" w:ascii="Arial" w:hAnsi="Arial"/>
                <w:sz w:val="18"/>
                <w:szCs w:val="18"/>
              </w:rPr>
            </w:r>
          </w:p>
        </w:tc>
        <w:tc>
          <w:tcPr>
            <w:tcW w:w="1788"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489"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195"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cs="Arial"/>
                <w:sz w:val="18"/>
                <w:szCs w:val="18"/>
              </w:rPr>
            </w:pPr>
            <w:r>
              <w:rPr>
                <w:rFonts w:cs="Arial" w:ascii="Arial" w:hAnsi="Arial"/>
                <w:sz w:val="18"/>
                <w:szCs w:val="18"/>
              </w:rPr>
            </w:r>
          </w:p>
        </w:tc>
        <w:tc>
          <w:tcPr>
            <w:tcW w:w="104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9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640"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9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4"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1" w:type="dxa"/>
            <w:tcBorders/>
            <w:shd w:fill="auto" w:val="clear"/>
            <w:tcMar>
              <w:left w:w="108" w:type="dxa"/>
            </w:tcMar>
          </w:tcPr>
          <w:p>
            <w:pPr>
              <w:pStyle w:val="Normal"/>
              <w:spacing w:lineRule="auto" w:line="240" w:before="0" w:after="0"/>
              <w:jc w:val="center"/>
              <w:rPr>
                <w:rFonts w:ascii="Arial" w:hAnsi="Arial" w:cs="Arial"/>
                <w:sz w:val="18"/>
                <w:szCs w:val="18"/>
              </w:rPr>
            </w:pPr>
            <w:bookmarkStart w:id="0" w:name="_Hlk43808610"/>
            <w:bookmarkStart w:id="1" w:name="_Hlk43808610"/>
            <w:bookmarkEnd w:id="1"/>
            <w:r>
              <w:rPr>
                <w:rFonts w:cs="Arial" w:ascii="Arial" w:hAnsi="Arial"/>
                <w:sz w:val="18"/>
                <w:szCs w:val="18"/>
              </w:rPr>
            </w:r>
          </w:p>
        </w:tc>
      </w:tr>
    </w:tbl>
    <w:p>
      <w:pPr>
        <w:pStyle w:val="Normal"/>
        <w:tabs>
          <w:tab w:val="left" w:pos="2943" w:leader="none"/>
          <w:tab w:val="left" w:pos="6912" w:leader="none"/>
          <w:tab w:val="left" w:pos="10314" w:leader="none"/>
        </w:tabs>
        <w:rPr>
          <w:rFonts w:ascii="Arial" w:hAnsi="Arial" w:eastAsia="Arial" w:cs="Arial"/>
          <w:b/>
          <w:b/>
          <w:bCs/>
          <w:sz w:val="24"/>
          <w:szCs w:val="24"/>
        </w:rPr>
      </w:pPr>
      <w:r>
        <w:rPr>
          <w:rFonts w:eastAsia="Arial" w:cs="Arial" w:ascii="Arial" w:hAnsi="Arial"/>
          <w:b/>
          <w:bCs/>
          <w:sz w:val="24"/>
          <w:szCs w:val="24"/>
        </w:rPr>
      </w:r>
    </w:p>
    <w:p>
      <w:pPr>
        <w:pStyle w:val="Normal"/>
        <w:tabs>
          <w:tab w:val="left" w:pos="2943" w:leader="none"/>
          <w:tab w:val="left" w:pos="6912" w:leader="none"/>
          <w:tab w:val="left" w:pos="10314" w:leader="none"/>
        </w:tabs>
        <w:rPr>
          <w:rFonts w:ascii="Arial" w:hAnsi="Arial" w:cs="Arial"/>
          <w:sz w:val="18"/>
          <w:szCs w:val="18"/>
        </w:rPr>
      </w:pPr>
      <w:r>
        <w:rPr>
          <w:rFonts w:cs="Arial" w:ascii="Arial" w:hAnsi="Arial"/>
          <w:sz w:val="18"/>
          <w:szCs w:val="18"/>
        </w:rPr>
      </w:r>
    </w:p>
    <w:p>
      <w:pPr>
        <w:pStyle w:val="Normal"/>
        <w:tabs>
          <w:tab w:val="left" w:pos="2943" w:leader="none"/>
          <w:tab w:val="left" w:pos="6912" w:leader="none"/>
          <w:tab w:val="left" w:pos="10314" w:leader="none"/>
        </w:tabs>
        <w:rPr>
          <w:rFonts w:ascii="Arial" w:hAnsi="Arial" w:eastAsia="Arial" w:cs="Arial"/>
          <w:b/>
          <w:b/>
          <w:bCs/>
          <w:sz w:val="24"/>
          <w:szCs w:val="24"/>
        </w:rPr>
      </w:pPr>
      <w:r>
        <w:rPr>
          <w:rFonts w:eastAsia="Arial" w:cs="Arial" w:ascii="Arial" w:hAnsi="Arial"/>
          <w:b/>
          <w:bCs/>
          <w:sz w:val="24"/>
          <w:szCs w:val="24"/>
        </w:rPr>
        <w:t>Table 2. Indicators for monitoring elements of the draft targets (with example entries)</w:t>
      </w:r>
    </w:p>
    <w:tbl>
      <w:tblPr>
        <w:tblStyle w:val="TableGrid"/>
        <w:tblW w:w="21803" w:type="dxa"/>
        <w:jc w:val="left"/>
        <w:tblInd w:w="0" w:type="dxa"/>
        <w:tblCellMar>
          <w:top w:w="0" w:type="dxa"/>
          <w:left w:w="108" w:type="dxa"/>
          <w:bottom w:w="0" w:type="dxa"/>
          <w:right w:w="108" w:type="dxa"/>
        </w:tblCellMar>
        <w:tblLook w:firstRow="1" w:noVBand="1" w:lastRow="0" w:firstColumn="1" w:lastColumn="0" w:noHBand="0" w:val="04a0"/>
      </w:tblPr>
      <w:tblGrid>
        <w:gridCol w:w="1781"/>
        <w:gridCol w:w="1936"/>
        <w:gridCol w:w="1788"/>
        <w:gridCol w:w="1489"/>
        <w:gridCol w:w="1195"/>
        <w:gridCol w:w="1341"/>
        <w:gridCol w:w="1042"/>
        <w:gridCol w:w="1192"/>
        <w:gridCol w:w="1341"/>
        <w:gridCol w:w="1640"/>
        <w:gridCol w:w="1341"/>
        <w:gridCol w:w="1166"/>
        <w:gridCol w:w="966"/>
        <w:gridCol w:w="1794"/>
        <w:gridCol w:w="1791"/>
      </w:tblGrid>
      <w:tr>
        <w:trPr>
          <w:tblHeader w:val="true"/>
          <w:trHeight w:val="280" w:hRule="atLeast"/>
        </w:trPr>
        <w:tc>
          <w:tcPr>
            <w:tcW w:w="1781"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1</w:t>
            </w:r>
          </w:p>
        </w:tc>
        <w:tc>
          <w:tcPr>
            <w:tcW w:w="1936" w:type="dxa"/>
            <w:tcBorders/>
            <w:shd w:color="auto" w:fill="BFBFBF" w:themeFill="background1" w:themeFillShade="bf" w:val="clear"/>
            <w:tcMar>
              <w:left w:w="108" w:type="dxa"/>
            </w:tcMar>
            <w:vAlign w:val="center"/>
          </w:tcPr>
          <w:p>
            <w:pPr>
              <w:pStyle w:val="Normal"/>
              <w:spacing w:lineRule="auto" w:line="240" w:before="0" w:after="0"/>
              <w:ind w:firstLine="171"/>
              <w:jc w:val="center"/>
              <w:rPr>
                <w:rFonts w:ascii="Arial" w:hAnsi="Arial" w:cs="Arial"/>
                <w:b/>
                <w:b/>
                <w:sz w:val="16"/>
                <w:szCs w:val="16"/>
              </w:rPr>
            </w:pPr>
            <w:r>
              <w:rPr>
                <w:rFonts w:cs="Arial" w:ascii="Arial" w:hAnsi="Arial"/>
                <w:b/>
                <w:sz w:val="16"/>
                <w:szCs w:val="16"/>
              </w:rPr>
              <w:t>2</w:t>
            </w:r>
          </w:p>
        </w:tc>
        <w:tc>
          <w:tcPr>
            <w:tcW w:w="1788" w:type="dxa"/>
            <w:tcBorders/>
            <w:shd w:color="auto" w:fill="BFBFBF" w:themeFill="background1" w:themeFillShade="bf" w:val="clear"/>
            <w:tcMar>
              <w:left w:w="108" w:type="dxa"/>
            </w:tcMar>
            <w:vAlign w:val="center"/>
          </w:tcPr>
          <w:p>
            <w:pPr>
              <w:pStyle w:val="Normal"/>
              <w:spacing w:lineRule="auto" w:line="240" w:before="0" w:after="0"/>
              <w:ind w:firstLine="171"/>
              <w:jc w:val="center"/>
              <w:rPr>
                <w:rFonts w:ascii="Arial" w:hAnsi="Arial" w:cs="Arial"/>
                <w:b/>
                <w:b/>
                <w:sz w:val="16"/>
                <w:szCs w:val="16"/>
              </w:rPr>
            </w:pPr>
            <w:r>
              <w:rPr>
                <w:rFonts w:cs="Arial" w:ascii="Arial" w:hAnsi="Arial"/>
                <w:b/>
                <w:sz w:val="16"/>
                <w:szCs w:val="16"/>
              </w:rPr>
              <w:t>3</w:t>
            </w:r>
          </w:p>
        </w:tc>
        <w:tc>
          <w:tcPr>
            <w:tcW w:w="1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4</w:t>
            </w:r>
          </w:p>
        </w:tc>
        <w:tc>
          <w:tcPr>
            <w:tcW w:w="119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5</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6</w:t>
            </w:r>
          </w:p>
        </w:tc>
        <w:tc>
          <w:tcPr>
            <w:tcW w:w="10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7</w:t>
            </w:r>
          </w:p>
        </w:tc>
        <w:tc>
          <w:tcPr>
            <w:tcW w:w="119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8</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9</w:t>
            </w:r>
          </w:p>
        </w:tc>
        <w:tc>
          <w:tcPr>
            <w:tcW w:w="16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10</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11</w:t>
            </w:r>
          </w:p>
        </w:tc>
        <w:tc>
          <w:tcPr>
            <w:tcW w:w="11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12</w:t>
            </w:r>
          </w:p>
        </w:tc>
        <w:tc>
          <w:tcPr>
            <w:tcW w:w="9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13</w:t>
            </w:r>
          </w:p>
        </w:tc>
        <w:tc>
          <w:tcPr>
            <w:tcW w:w="1794"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14</w:t>
            </w:r>
          </w:p>
        </w:tc>
        <w:tc>
          <w:tcPr>
            <w:tcW w:w="1791" w:type="dxa"/>
            <w:tcBorders/>
            <w:shd w:color="auto" w:fill="BFBFBF" w:themeFill="background1" w:themeFillShade="bf" w:val="clear"/>
            <w:tcMar>
              <w:left w:w="108" w:type="dxa"/>
            </w:tcMar>
          </w:tcPr>
          <w:p>
            <w:pPr>
              <w:pStyle w:val="Normal"/>
              <w:spacing w:lineRule="auto" w:line="240" w:before="0" w:after="0"/>
              <w:jc w:val="center"/>
              <w:rPr>
                <w:rFonts w:ascii="Arial" w:hAnsi="Arial" w:cs="Arial"/>
                <w:b/>
                <w:b/>
                <w:sz w:val="16"/>
                <w:szCs w:val="16"/>
              </w:rPr>
            </w:pPr>
            <w:r>
              <w:rPr>
                <w:rFonts w:cs="Arial" w:ascii="Arial" w:hAnsi="Arial"/>
                <w:b/>
                <w:sz w:val="16"/>
                <w:szCs w:val="16"/>
              </w:rPr>
              <w:t>15</w:t>
            </w:r>
          </w:p>
        </w:tc>
      </w:tr>
      <w:tr>
        <w:trPr>
          <w:tblHeader w:val="true"/>
          <w:trHeight w:val="1041" w:hRule="atLeast"/>
        </w:trPr>
        <w:tc>
          <w:tcPr>
            <w:tcW w:w="1781" w:type="dxa"/>
            <w:tcBorders/>
            <w:shd w:color="auto" w:fill="BFBFBF" w:themeFill="background1" w:themeFillShade="bf" w:val="clear"/>
            <w:tcMar>
              <w:left w:w="108" w:type="dxa"/>
            </w:tcMar>
            <w:vAlign w:val="center"/>
          </w:tcPr>
          <w:p>
            <w:pPr>
              <w:pStyle w:val="ListParagraph"/>
              <w:spacing w:lineRule="auto" w:line="240" w:before="0" w:after="0"/>
              <w:ind w:left="0" w:hanging="0"/>
              <w:contextualSpacing/>
              <w:jc w:val="center"/>
              <w:rPr>
                <w:rFonts w:ascii="Arial" w:hAnsi="Arial" w:cs="Arial"/>
                <w:b/>
                <w:b/>
                <w:sz w:val="16"/>
                <w:szCs w:val="16"/>
              </w:rPr>
            </w:pPr>
            <w:r>
              <w:rPr>
                <w:rFonts w:cs="Arial" w:ascii="Arial" w:hAnsi="Arial"/>
                <w:b/>
                <w:sz w:val="16"/>
                <w:szCs w:val="16"/>
              </w:rPr>
              <w:t xml:space="preserve">Components of the </w:t>
            </w:r>
            <w:r>
              <w:rPr>
                <w:rFonts w:cs="Arial" w:ascii="Arial" w:hAnsi="Arial"/>
                <w:b/>
                <w:bCs/>
                <w:sz w:val="16"/>
                <w:szCs w:val="16"/>
              </w:rPr>
              <w:t>draft Targets</w:t>
            </w:r>
          </w:p>
          <w:p>
            <w:pPr>
              <w:pStyle w:val="Normal"/>
              <w:spacing w:lineRule="auto" w:line="240" w:before="0" w:after="0"/>
              <w:ind w:firstLine="171"/>
              <w:jc w:val="center"/>
              <w:rPr>
                <w:rFonts w:ascii="Arial" w:hAnsi="Arial" w:cs="Arial"/>
                <w:sz w:val="16"/>
                <w:szCs w:val="16"/>
              </w:rPr>
            </w:pPr>
            <w:r>
              <w:rPr>
                <w:rFonts w:cs="Arial" w:ascii="Arial" w:hAnsi="Arial"/>
                <w:sz w:val="16"/>
                <w:szCs w:val="16"/>
              </w:rPr>
            </w:r>
          </w:p>
          <w:p>
            <w:pPr>
              <w:pStyle w:val="ListParagraph"/>
              <w:spacing w:lineRule="auto" w:line="240" w:before="0" w:after="0"/>
              <w:ind w:left="0" w:hanging="0"/>
              <w:contextualSpacing/>
              <w:rPr/>
            </w:pPr>
            <w:r>
              <w:rPr>
                <w:rFonts w:cs="Arial" w:ascii="Arial" w:hAnsi="Arial"/>
                <w:b/>
                <w:bCs/>
                <w:sz w:val="16"/>
                <w:szCs w:val="16"/>
              </w:rPr>
              <w:t xml:space="preserve">(copy/paste text from </w:t>
            </w:r>
            <w:hyperlink r:id="rId17">
              <w:r>
                <w:rPr>
                  <w:rStyle w:val="InternetLink"/>
                  <w:rFonts w:cs="Arial" w:ascii="Arial" w:hAnsi="Arial"/>
                  <w:b/>
                  <w:bCs/>
                  <w:sz w:val="16"/>
                  <w:szCs w:val="16"/>
                </w:rPr>
                <w:t>CBD/SBSTTA-24/post-2020-monitoring.en.pdf</w:t>
              </w:r>
            </w:hyperlink>
            <w:r>
              <w:rPr>
                <w:rFonts w:cs="Arial" w:ascii="Arial" w:hAnsi="Arial"/>
                <w:b/>
                <w:bCs/>
                <w:sz w:val="16"/>
                <w:szCs w:val="16"/>
              </w:rPr>
              <w:t>)</w:t>
            </w:r>
          </w:p>
        </w:tc>
        <w:tc>
          <w:tcPr>
            <w:tcW w:w="1936"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bCs/>
                <w:sz w:val="16"/>
                <w:szCs w:val="16"/>
              </w:rPr>
              <w:t xml:space="preserve">Target </w:t>
            </w:r>
            <w:r>
              <w:rPr>
                <w:rFonts w:cs="Arial" w:ascii="Arial" w:hAnsi="Arial"/>
                <w:b/>
                <w:sz w:val="16"/>
                <w:szCs w:val="16"/>
              </w:rPr>
              <w:t>Monitoring Elements</w:t>
            </w:r>
          </w:p>
          <w:p>
            <w:pPr>
              <w:pStyle w:val="Normal"/>
              <w:spacing w:lineRule="auto" w:line="240" w:before="0" w:after="0"/>
              <w:jc w:val="center"/>
              <w:rPr>
                <w:rFonts w:ascii="Arial" w:hAnsi="Arial" w:cs="Arial"/>
                <w:b/>
                <w:b/>
                <w:sz w:val="16"/>
                <w:szCs w:val="16"/>
              </w:rPr>
            </w:pPr>
            <w:r>
              <w:rPr>
                <w:rFonts w:cs="Arial" w:ascii="Arial" w:hAnsi="Arial"/>
                <w:b/>
                <w:sz w:val="16"/>
                <w:szCs w:val="16"/>
              </w:rPr>
            </w:r>
          </w:p>
          <w:p>
            <w:pPr>
              <w:pStyle w:val="ListParagraph"/>
              <w:spacing w:lineRule="auto" w:line="240" w:before="0" w:after="0"/>
              <w:ind w:left="0" w:hanging="0"/>
              <w:contextualSpacing/>
              <w:rPr/>
            </w:pPr>
            <w:r>
              <w:rPr>
                <w:rFonts w:cs="Arial" w:ascii="Arial" w:hAnsi="Arial"/>
                <w:b/>
                <w:bCs/>
                <w:sz w:val="16"/>
                <w:szCs w:val="16"/>
              </w:rPr>
              <w:t xml:space="preserve">(copy/paste text from </w:t>
            </w:r>
            <w:hyperlink r:id="rId18">
              <w:r>
                <w:rPr>
                  <w:rStyle w:val="InternetLink"/>
                  <w:rFonts w:cs="Arial" w:ascii="Arial" w:hAnsi="Arial"/>
                  <w:b/>
                  <w:bCs/>
                  <w:sz w:val="16"/>
                  <w:szCs w:val="16"/>
                </w:rPr>
                <w:t>CBD/SBSTTA-24/post-2020-monitoring.en.pdf</w:t>
              </w:r>
            </w:hyperlink>
            <w:r>
              <w:rPr>
                <w:rFonts w:cs="Arial" w:ascii="Arial" w:hAnsi="Arial"/>
                <w:b/>
                <w:bCs/>
                <w:sz w:val="16"/>
                <w:szCs w:val="16"/>
              </w:rPr>
              <w:t>)</w:t>
            </w:r>
          </w:p>
          <w:p>
            <w:pPr>
              <w:pStyle w:val="ListParagraph"/>
              <w:spacing w:lineRule="auto" w:line="240" w:before="0" w:after="0"/>
              <w:ind w:left="0" w:hanging="0"/>
              <w:contextualSpacing/>
              <w:rPr>
                <w:rFonts w:ascii="Arial" w:hAnsi="Arial" w:cs="Arial"/>
                <w:b/>
                <w:b/>
                <w:bCs/>
                <w:sz w:val="16"/>
                <w:szCs w:val="16"/>
              </w:rPr>
            </w:pPr>
            <w:r>
              <w:rPr>
                <w:rFonts w:cs="Arial" w:ascii="Arial" w:hAnsi="Arial"/>
                <w:b/>
                <w:bCs/>
                <w:sz w:val="16"/>
                <w:szCs w:val="16"/>
              </w:rPr>
            </w:r>
          </w:p>
        </w:tc>
        <w:tc>
          <w:tcPr>
            <w:tcW w:w="1788"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bCs/>
                <w:sz w:val="16"/>
                <w:szCs w:val="16"/>
              </w:rPr>
              <w:t>Indicator name</w:t>
            </w:r>
          </w:p>
        </w:tc>
        <w:tc>
          <w:tcPr>
            <w:tcW w:w="1489"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Responsible Institution</w:t>
            </w:r>
            <w:r>
              <w:rPr>
                <w:rFonts w:cs="Arial" w:ascii="Arial" w:hAnsi="Arial"/>
                <w:b/>
                <w:bCs/>
                <w:sz w:val="16"/>
                <w:szCs w:val="16"/>
              </w:rPr>
              <w:t xml:space="preserve"> for the indicator</w:t>
            </w:r>
          </w:p>
        </w:tc>
        <w:tc>
          <w:tcPr>
            <w:tcW w:w="1195"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Available today (X) or under active development (Y)</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Date of availability for indicator in development (Year)</w:t>
            </w:r>
          </w:p>
        </w:tc>
        <w:tc>
          <w:tcPr>
            <w:tcW w:w="104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Year of last update (e.g. 2019)</w:t>
            </w:r>
          </w:p>
        </w:tc>
        <w:tc>
          <w:tcPr>
            <w:tcW w:w="1192"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Arial" w:cs="Arial" w:ascii="Arial" w:hAnsi="Arial"/>
                <w:b/>
                <w:sz w:val="16"/>
                <w:szCs w:val="16"/>
              </w:rPr>
              <w:t>Time series and frequency of updates (e.g. 1985-2019, annually)</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Methodology available for national use (Y/N)</w:t>
            </w:r>
          </w:p>
        </w:tc>
        <w:tc>
          <w:tcPr>
            <w:tcW w:w="1640"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eastAsia="Times New Roman" w:cs="Arial"/>
                <w:b/>
                <w:b/>
                <w:bCs/>
                <w:sz w:val="16"/>
                <w:szCs w:val="16"/>
              </w:rPr>
            </w:pPr>
            <w:r>
              <w:rPr>
                <w:rFonts w:eastAsia="Times New Roman" w:cs="Arial" w:ascii="Arial" w:hAnsi="Arial"/>
                <w:b/>
                <w:bCs/>
                <w:sz w:val="16"/>
                <w:szCs w:val="16"/>
              </w:rPr>
              <w:t>Global indicator can be disaggregated for national use (Y/N)</w:t>
            </w:r>
          </w:p>
        </w:tc>
        <w:tc>
          <w:tcPr>
            <w:tcW w:w="1341"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National data aggregated to form global indicator (Y/N)</w:t>
            </w:r>
          </w:p>
        </w:tc>
        <w:tc>
          <w:tcPr>
            <w:tcW w:w="11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Used in GBO-4 (Y/N)</w:t>
            </w:r>
          </w:p>
        </w:tc>
        <w:tc>
          <w:tcPr>
            <w:tcW w:w="966" w:type="dxa"/>
            <w:tcBorders>
              <w:top w:val="single" w:sz="6" w:space="0" w:color="00000A"/>
              <w:left w:val="single" w:sz="6" w:space="0" w:color="00000A"/>
              <w:bottom w:val="single" w:sz="6" w:space="0" w:color="00000A"/>
              <w:right w:val="single" w:sz="6" w:space="0" w:color="00000A"/>
              <w:insideH w:val="single" w:sz="6" w:space="0" w:color="00000A"/>
              <w:insideV w:val="single" w:sz="6" w:space="0" w:color="00000A"/>
            </w:tcBorders>
            <w:shd w:color="auto" w:fill="BFBFBF" w:themeFill="background1" w:themeFillShade="bf" w:val="clear"/>
            <w:tcMar>
              <w:left w:w="105" w:type="dxa"/>
            </w:tcMar>
            <w:vAlign w:val="center"/>
          </w:tcPr>
          <w:p>
            <w:pPr>
              <w:pStyle w:val="Normal"/>
              <w:spacing w:lineRule="auto" w:line="240" w:before="0" w:after="0"/>
              <w:jc w:val="center"/>
              <w:rPr>
                <w:rFonts w:ascii="Arial" w:hAnsi="Arial" w:cs="Arial"/>
                <w:b/>
                <w:b/>
                <w:sz w:val="16"/>
                <w:szCs w:val="16"/>
              </w:rPr>
            </w:pPr>
            <w:r>
              <w:rPr>
                <w:rFonts w:eastAsia="Times New Roman" w:cs="Arial" w:ascii="Arial" w:hAnsi="Arial"/>
                <w:b/>
                <w:bCs/>
                <w:sz w:val="16"/>
                <w:szCs w:val="16"/>
              </w:rPr>
              <w:t>SDG indicator (Y/N)</w:t>
            </w:r>
          </w:p>
        </w:tc>
        <w:tc>
          <w:tcPr>
            <w:tcW w:w="1794"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Indicator used to measure other MEAs or processes (e.g. Ramsar</w:t>
            </w:r>
            <w:r>
              <w:rPr>
                <w:rFonts w:cs="Arial" w:ascii="Arial" w:hAnsi="Arial"/>
                <w:b/>
                <w:bCs/>
                <w:sz w:val="16"/>
                <w:szCs w:val="16"/>
              </w:rPr>
              <w:t xml:space="preserve"> Convention</w:t>
            </w:r>
            <w:r>
              <w:rPr>
                <w:rFonts w:cs="Arial" w:ascii="Arial" w:hAnsi="Arial"/>
                <w:b/>
                <w:sz w:val="16"/>
                <w:szCs w:val="16"/>
              </w:rPr>
              <w:t>, IPBES, CMS)</w:t>
            </w:r>
          </w:p>
        </w:tc>
        <w:tc>
          <w:tcPr>
            <w:tcW w:w="1791" w:type="dxa"/>
            <w:tcBorders/>
            <w:shd w:color="auto" w:fill="BFBFBF" w:themeFill="background1" w:themeFillShade="bf" w:val="clear"/>
            <w:tcMar>
              <w:left w:w="108" w:type="dxa"/>
            </w:tcMar>
            <w:vAlign w:val="center"/>
          </w:tcPr>
          <w:p>
            <w:pPr>
              <w:pStyle w:val="Normal"/>
              <w:spacing w:lineRule="auto" w:line="240" w:before="0" w:after="0"/>
              <w:jc w:val="center"/>
              <w:rPr>
                <w:rFonts w:ascii="Arial" w:hAnsi="Arial" w:cs="Arial"/>
                <w:b/>
                <w:b/>
                <w:sz w:val="16"/>
                <w:szCs w:val="16"/>
              </w:rPr>
            </w:pPr>
            <w:r>
              <w:rPr>
                <w:rFonts w:cs="Arial" w:ascii="Arial" w:hAnsi="Arial"/>
                <w:b/>
                <w:sz w:val="16"/>
                <w:szCs w:val="16"/>
              </w:rPr>
              <w:t>Comments</w:t>
            </w:r>
          </w:p>
        </w:tc>
      </w:tr>
      <w:tr>
        <w:trPr>
          <w:trHeight w:val="296" w:hRule="atLeast"/>
        </w:trPr>
        <w:tc>
          <w:tcPr>
            <w:tcW w:w="1781" w:type="dxa"/>
            <w:tcBorders/>
            <w:shd w:color="auto" w:fill="FFE599" w:themeFill="accent4" w:themeFillTint="66" w:val="clear"/>
            <w:tcMar>
              <w:left w:w="108" w:type="dxa"/>
            </w:tcMar>
          </w:tcPr>
          <w:p>
            <w:pPr>
              <w:pStyle w:val="Normal"/>
              <w:spacing w:lineRule="auto" w:line="240" w:before="0" w:after="0"/>
              <w:rPr>
                <w:rFonts w:ascii="Arial" w:hAnsi="Arial" w:eastAsia="Arial" w:cs="Arial"/>
                <w:i/>
                <w:i/>
                <w:iCs/>
                <w:sz w:val="18"/>
                <w:szCs w:val="18"/>
              </w:rPr>
            </w:pPr>
            <w:r>
              <w:rPr/>
            </w:r>
          </w:p>
        </w:tc>
        <w:tc>
          <w:tcPr>
            <w:tcW w:w="1936" w:type="dxa"/>
            <w:tcBorders/>
            <w:shd w:color="auto" w:fill="FFE599" w:themeFill="accent4" w:themeFillTint="66" w:val="clear"/>
            <w:tcMar>
              <w:left w:w="108" w:type="dxa"/>
            </w:tcMar>
          </w:tcPr>
          <w:p>
            <w:pPr>
              <w:pStyle w:val="Normal"/>
              <w:spacing w:lineRule="auto" w:line="240" w:before="0" w:after="0"/>
              <w:rPr>
                <w:rFonts w:ascii="Arial" w:hAnsi="Arial" w:eastAsia="Arial" w:cs="Arial"/>
                <w:i/>
                <w:i/>
                <w:iCs/>
                <w:sz w:val="18"/>
                <w:szCs w:val="18"/>
              </w:rPr>
            </w:pPr>
            <w:r>
              <w:rPr/>
            </w:r>
          </w:p>
        </w:tc>
        <w:tc>
          <w:tcPr>
            <w:tcW w:w="1788" w:type="dxa"/>
            <w:tcBorders/>
            <w:shd w:color="auto" w:fill="auto" w:val="clear"/>
            <w:tcMar>
              <w:left w:w="108" w:type="dxa"/>
            </w:tcMar>
          </w:tcPr>
          <w:p>
            <w:pPr>
              <w:pStyle w:val="Normal"/>
              <w:spacing w:lineRule="auto" w:line="240" w:before="0" w:after="0"/>
              <w:rPr>
                <w:rFonts w:ascii="Arial" w:hAnsi="Arial" w:eastAsia="Arial" w:cs="Arial"/>
                <w:i/>
                <w:i/>
                <w:iCs/>
                <w:color w:val="000000"/>
                <w:sz w:val="18"/>
                <w:szCs w:val="18"/>
              </w:rPr>
            </w:pPr>
            <w:r>
              <w:rPr>
                <w:rFonts w:cs="Arial" w:ascii="Arial" w:hAnsi="Arial"/>
                <w:i/>
                <w:iCs/>
                <w:sz w:val="18"/>
                <w:szCs w:val="18"/>
              </w:rPr>
            </w:r>
          </w:p>
        </w:tc>
        <w:tc>
          <w:tcPr>
            <w:tcW w:w="1489" w:type="dxa"/>
            <w:tcBorders/>
            <w:shd w:color="auto" w:fill="auto" w:val="clear"/>
            <w:tcMar>
              <w:left w:w="108" w:type="dxa"/>
            </w:tcMar>
          </w:tcPr>
          <w:p>
            <w:pPr>
              <w:pStyle w:val="Normal"/>
              <w:spacing w:lineRule="auto" w:line="240" w:before="0" w:after="0"/>
              <w:rPr>
                <w:rFonts w:ascii="Arial" w:hAnsi="Arial" w:eastAsia="Arial" w:cs="Arial"/>
                <w:i/>
                <w:i/>
                <w:iCs/>
                <w:color w:val="000000"/>
                <w:sz w:val="18"/>
                <w:szCs w:val="18"/>
              </w:rPr>
            </w:pPr>
            <w:r>
              <w:rPr>
                <w:rFonts w:cs="Arial" w:ascii="Arial" w:hAnsi="Arial"/>
                <w:i/>
                <w:iCs/>
                <w:sz w:val="18"/>
                <w:szCs w:val="18"/>
              </w:rPr>
            </w:r>
          </w:p>
        </w:tc>
        <w:tc>
          <w:tcPr>
            <w:tcW w:w="1195"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341"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042"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
          </w:p>
        </w:tc>
        <w:tc>
          <w:tcPr>
            <w:tcW w:w="1192"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341"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640"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
          </w:p>
        </w:tc>
        <w:tc>
          <w:tcPr>
            <w:tcW w:w="1166"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966"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Fonts w:cs="Arial" w:ascii="Arial" w:hAnsi="Arial"/>
                <w:i/>
                <w:iCs/>
                <w:sz w:val="18"/>
                <w:szCs w:val="18"/>
              </w:rPr>
            </w:r>
          </w:p>
        </w:tc>
        <w:tc>
          <w:tcPr>
            <w:tcW w:w="1794"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791" w:type="dxa"/>
            <w:tcBorders/>
            <w:shd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r>
      <w:tr>
        <w:trPr>
          <w:trHeight w:val="236" w:hRule="atLeast"/>
        </w:trPr>
        <w:tc>
          <w:tcPr>
            <w:tcW w:w="1781" w:type="dxa"/>
            <w:tcBorders/>
            <w:shd w:color="auto" w:fill="FFE599" w:themeFill="accent4" w:themeFillTint="66" w:val="clear"/>
            <w:tcMar>
              <w:left w:w="108" w:type="dxa"/>
            </w:tcMar>
          </w:tcPr>
          <w:p>
            <w:pPr>
              <w:pStyle w:val="Normal"/>
              <w:spacing w:lineRule="auto" w:line="240" w:before="0" w:after="0"/>
              <w:rPr>
                <w:rFonts w:ascii="Arial" w:hAnsi="Arial" w:cs="Arial"/>
                <w:i/>
                <w:i/>
                <w:iCs/>
                <w:sz w:val="18"/>
                <w:szCs w:val="18"/>
              </w:rPr>
            </w:pPr>
            <w:r>
              <w:rPr/>
            </w:r>
          </w:p>
        </w:tc>
        <w:tc>
          <w:tcPr>
            <w:tcW w:w="1936" w:type="dxa"/>
            <w:tcBorders/>
            <w:shd w:color="auto" w:fill="FFE599" w:themeFill="accent4" w:themeFillTint="66" w:val="clear"/>
            <w:tcMar>
              <w:left w:w="108" w:type="dxa"/>
            </w:tcMar>
          </w:tcPr>
          <w:p>
            <w:pPr>
              <w:pStyle w:val="Normal"/>
              <w:spacing w:lineRule="auto" w:line="240" w:before="0" w:after="0"/>
              <w:rPr>
                <w:rFonts w:ascii="Arial" w:hAnsi="Arial" w:cs="Arial"/>
                <w:i/>
                <w:i/>
                <w:iCs/>
                <w:sz w:val="18"/>
                <w:szCs w:val="18"/>
              </w:rPr>
            </w:pPr>
            <w:r>
              <w:rPr/>
            </w:r>
          </w:p>
        </w:tc>
        <w:tc>
          <w:tcPr>
            <w:tcW w:w="1788" w:type="dxa"/>
            <w:tcBorders/>
            <w:shd w:color="auto" w:fill="auto" w:val="clear"/>
            <w:tcMar>
              <w:left w:w="108" w:type="dxa"/>
            </w:tcMar>
          </w:tcPr>
          <w:p>
            <w:pPr>
              <w:pStyle w:val="Normal"/>
              <w:spacing w:lineRule="auto" w:line="240" w:before="0" w:after="0"/>
              <w:rPr>
                <w:rFonts w:ascii="Arial" w:hAnsi="Arial" w:cs="Arial"/>
                <w:i/>
                <w:i/>
                <w:iCs/>
                <w:sz w:val="18"/>
                <w:szCs w:val="18"/>
              </w:rPr>
            </w:pPr>
            <w:r>
              <w:rPr/>
            </w:r>
          </w:p>
        </w:tc>
        <w:tc>
          <w:tcPr>
            <w:tcW w:w="1489" w:type="dxa"/>
            <w:tcBorders/>
            <w:shd w:color="auto" w:fill="auto" w:val="clear"/>
            <w:tcMar>
              <w:left w:w="108" w:type="dxa"/>
            </w:tcMar>
          </w:tcPr>
          <w:p>
            <w:pPr>
              <w:pStyle w:val="Normal"/>
              <w:spacing w:lineRule="auto" w:line="240" w:before="0" w:after="0"/>
              <w:rPr>
                <w:rFonts w:ascii="Arial" w:hAnsi="Arial" w:cs="Arial"/>
                <w:i/>
                <w:i/>
                <w:iCs/>
                <w:sz w:val="18"/>
                <w:szCs w:val="18"/>
              </w:rPr>
            </w:pPr>
            <w:r>
              <w:rPr/>
            </w:r>
          </w:p>
        </w:tc>
        <w:tc>
          <w:tcPr>
            <w:tcW w:w="1195"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
          </w:p>
        </w:tc>
        <w:tc>
          <w:tcPr>
            <w:tcW w:w="1341"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042"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192"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
          </w:p>
        </w:tc>
        <w:tc>
          <w:tcPr>
            <w:tcW w:w="1341"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640"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166"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966" w:type="dxa"/>
            <w:tcBorders/>
            <w:shd w:color="auto" w:fill="auto" w:val="clear"/>
            <w:tcMar>
              <w:left w:w="108" w:type="dxa"/>
            </w:tcMar>
          </w:tcPr>
          <w:p>
            <w:pPr>
              <w:pStyle w:val="Normal"/>
              <w:spacing w:lineRule="auto" w:line="240" w:before="0" w:after="0"/>
              <w:jc w:val="center"/>
              <w:rPr>
                <w:rFonts w:ascii="Arial" w:hAnsi="Arial" w:eastAsia="Arial" w:cs="Arial"/>
                <w:i/>
                <w:i/>
                <w:iCs/>
                <w:sz w:val="18"/>
                <w:szCs w:val="18"/>
              </w:rPr>
            </w:pPr>
            <w:r>
              <w:rPr/>
            </w:r>
          </w:p>
        </w:tc>
        <w:tc>
          <w:tcPr>
            <w:tcW w:w="1794" w:type="dxa"/>
            <w:tcBorders/>
            <w:shd w:color="auto"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c>
          <w:tcPr>
            <w:tcW w:w="1791" w:type="dxa"/>
            <w:tcBorders/>
            <w:shd w:fill="auto" w:val="clear"/>
            <w:tcMar>
              <w:left w:w="108" w:type="dxa"/>
            </w:tcMar>
          </w:tcPr>
          <w:p>
            <w:pPr>
              <w:pStyle w:val="Normal"/>
              <w:spacing w:lineRule="auto" w:line="240" w:before="0" w:after="0"/>
              <w:jc w:val="center"/>
              <w:rPr>
                <w:rFonts w:ascii="Arial" w:hAnsi="Arial" w:cs="Arial"/>
                <w:i/>
                <w:i/>
                <w:iCs/>
                <w:sz w:val="18"/>
                <w:szCs w:val="18"/>
              </w:rPr>
            </w:pPr>
            <w:r>
              <w:rPr>
                <w:rFonts w:cs="Arial" w:ascii="Arial" w:hAnsi="Arial"/>
                <w:i/>
                <w:iCs/>
                <w:sz w:val="18"/>
                <w:szCs w:val="18"/>
              </w:rPr>
            </w:r>
          </w:p>
        </w:tc>
      </w:tr>
      <w:tr>
        <w:trPr>
          <w:trHeight w:val="236" w:hRule="atLeast"/>
        </w:trPr>
        <w:tc>
          <w:tcPr>
            <w:tcW w:w="1781"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
          </w:p>
        </w:tc>
        <w:tc>
          <w:tcPr>
            <w:tcW w:w="1936"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Fonts w:eastAsia="Arial" w:cs="Arial" w:ascii="Arial" w:hAnsi="Arial"/>
                <w:sz w:val="18"/>
                <w:szCs w:val="18"/>
              </w:rPr>
            </w:r>
          </w:p>
        </w:tc>
        <w:tc>
          <w:tcPr>
            <w:tcW w:w="1788"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489"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195"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cs="Arial"/>
                <w:sz w:val="18"/>
                <w:szCs w:val="18"/>
              </w:rPr>
            </w:pPr>
            <w:r>
              <w:rPr>
                <w:rFonts w:cs="Arial" w:ascii="Arial" w:hAnsi="Arial"/>
                <w:sz w:val="18"/>
                <w:szCs w:val="18"/>
              </w:rPr>
            </w:r>
          </w:p>
        </w:tc>
        <w:tc>
          <w:tcPr>
            <w:tcW w:w="104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9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640"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9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4"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1" w:type="dxa"/>
            <w:tcBorders/>
            <w:shd w:fill="auto" w:val="clear"/>
            <w:tcMar>
              <w:left w:w="108" w:type="dxa"/>
            </w:tcMar>
          </w:tcPr>
          <w:p>
            <w:pPr>
              <w:pStyle w:val="Normal"/>
              <w:spacing w:lineRule="auto" w:line="240" w:before="0" w:after="0"/>
              <w:jc w:val="center"/>
              <w:rPr>
                <w:rFonts w:ascii="Arial" w:hAnsi="Arial" w:cs="Arial"/>
                <w:sz w:val="18"/>
                <w:szCs w:val="18"/>
              </w:rPr>
            </w:pPr>
            <w:r>
              <w:rPr>
                <w:rFonts w:cs="Arial" w:ascii="Arial" w:hAnsi="Arial"/>
                <w:sz w:val="18"/>
                <w:szCs w:val="18"/>
              </w:rPr>
            </w:r>
          </w:p>
        </w:tc>
      </w:tr>
      <w:tr>
        <w:trPr>
          <w:trHeight w:val="236" w:hRule="atLeast"/>
        </w:trPr>
        <w:tc>
          <w:tcPr>
            <w:tcW w:w="1781"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Fonts w:eastAsia="Arial" w:cs="Arial" w:ascii="Arial" w:hAnsi="Arial"/>
                <w:sz w:val="18"/>
                <w:szCs w:val="18"/>
              </w:rPr>
            </w:r>
          </w:p>
        </w:tc>
        <w:tc>
          <w:tcPr>
            <w:tcW w:w="1936" w:type="dxa"/>
            <w:tcBorders/>
            <w:shd w:color="auto" w:fill="FFE599" w:themeFill="accent4" w:themeFillTint="66" w:val="clear"/>
            <w:tcMar>
              <w:left w:w="108" w:type="dxa"/>
            </w:tcMar>
          </w:tcPr>
          <w:p>
            <w:pPr>
              <w:pStyle w:val="Normal"/>
              <w:spacing w:lineRule="auto" w:line="240" w:before="0" w:after="0"/>
              <w:rPr>
                <w:rFonts w:ascii="Arial" w:hAnsi="Arial" w:eastAsia="Arial" w:cs="Arial"/>
                <w:sz w:val="18"/>
                <w:szCs w:val="18"/>
              </w:rPr>
            </w:pPr>
            <w:r>
              <w:rPr>
                <w:rFonts w:eastAsia="Arial" w:cs="Arial" w:ascii="Arial" w:hAnsi="Arial"/>
                <w:sz w:val="18"/>
                <w:szCs w:val="18"/>
              </w:rPr>
            </w:r>
          </w:p>
        </w:tc>
        <w:tc>
          <w:tcPr>
            <w:tcW w:w="1788"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489" w:type="dxa"/>
            <w:tcBorders/>
            <w:shd w:color="auto" w:fill="auto" w:val="clear"/>
            <w:tcMar>
              <w:left w:w="108" w:type="dxa"/>
            </w:tcMar>
          </w:tcPr>
          <w:p>
            <w:pPr>
              <w:pStyle w:val="Normal"/>
              <w:spacing w:lineRule="auto" w:line="240" w:before="0" w:after="0"/>
              <w:rPr>
                <w:rFonts w:ascii="Arial" w:hAnsi="Arial" w:eastAsia="Arial" w:cs="Arial"/>
                <w:color w:val="000000"/>
                <w:sz w:val="18"/>
                <w:szCs w:val="18"/>
              </w:rPr>
            </w:pPr>
            <w:r>
              <w:rPr>
                <w:rFonts w:eastAsia="Arial" w:cs="Arial" w:ascii="Arial" w:hAnsi="Arial"/>
                <w:color w:val="000000"/>
                <w:sz w:val="18"/>
                <w:szCs w:val="18"/>
              </w:rPr>
            </w:r>
          </w:p>
        </w:tc>
        <w:tc>
          <w:tcPr>
            <w:tcW w:w="1195"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cs="Arial"/>
                <w:sz w:val="18"/>
                <w:szCs w:val="18"/>
              </w:rPr>
            </w:pPr>
            <w:r>
              <w:rPr>
                <w:rFonts w:cs="Arial" w:ascii="Arial" w:hAnsi="Arial"/>
                <w:sz w:val="18"/>
                <w:szCs w:val="18"/>
              </w:rPr>
            </w:r>
          </w:p>
        </w:tc>
        <w:tc>
          <w:tcPr>
            <w:tcW w:w="104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92"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640"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341"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1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966"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4" w:type="dxa"/>
            <w:tcBorders/>
            <w:shd w:color="auto" w:fill="auto" w:val="clear"/>
            <w:tcMar>
              <w:left w:w="108" w:type="dxa"/>
            </w:tcMar>
          </w:tcPr>
          <w:p>
            <w:pPr>
              <w:pStyle w:val="Normal"/>
              <w:spacing w:lineRule="auto" w:line="240" w:before="0" w:after="0"/>
              <w:jc w:val="center"/>
              <w:rPr>
                <w:rFonts w:ascii="Arial" w:hAnsi="Arial" w:eastAsia="Arial" w:cs="Arial"/>
                <w:sz w:val="18"/>
                <w:szCs w:val="18"/>
              </w:rPr>
            </w:pPr>
            <w:r>
              <w:rPr>
                <w:rFonts w:eastAsia="Arial" w:cs="Arial" w:ascii="Arial" w:hAnsi="Arial"/>
                <w:sz w:val="18"/>
                <w:szCs w:val="18"/>
              </w:rPr>
            </w:r>
          </w:p>
        </w:tc>
        <w:tc>
          <w:tcPr>
            <w:tcW w:w="1791" w:type="dxa"/>
            <w:tcBorders/>
            <w:shd w:fill="auto" w:val="clear"/>
            <w:tcMar>
              <w:left w:w="108" w:type="dxa"/>
            </w:tcMar>
          </w:tcPr>
          <w:p>
            <w:pPr>
              <w:pStyle w:val="Normal"/>
              <w:spacing w:lineRule="auto" w:line="240" w:before="0" w:after="0"/>
              <w:jc w:val="center"/>
              <w:rPr>
                <w:rFonts w:ascii="Arial" w:hAnsi="Arial" w:cs="Arial"/>
                <w:sz w:val="18"/>
                <w:szCs w:val="18"/>
              </w:rPr>
            </w:pPr>
            <w:r>
              <w:rPr>
                <w:rFonts w:cs="Arial" w:ascii="Arial" w:hAnsi="Arial"/>
                <w:sz w:val="18"/>
                <w:szCs w:val="18"/>
              </w:rPr>
            </w:r>
          </w:p>
        </w:tc>
      </w:tr>
    </w:tbl>
    <w:p>
      <w:pPr>
        <w:pStyle w:val="Normal"/>
        <w:tabs>
          <w:tab w:val="left" w:pos="2943" w:leader="none"/>
          <w:tab w:val="left" w:pos="6912" w:leader="none"/>
          <w:tab w:val="left" w:pos="10314" w:leader="none"/>
        </w:tabs>
        <w:rPr>
          <w:rFonts w:ascii="Arial" w:hAnsi="Arial" w:eastAsia="Arial" w:cs="Arial"/>
          <w:b/>
          <w:b/>
          <w:bCs/>
          <w:sz w:val="24"/>
          <w:szCs w:val="24"/>
        </w:rPr>
      </w:pPr>
      <w:r>
        <w:rPr>
          <w:rFonts w:eastAsia="Arial" w:cs="Arial" w:ascii="Arial" w:hAnsi="Arial"/>
          <w:b/>
          <w:bCs/>
          <w:sz w:val="24"/>
          <w:szCs w:val="24"/>
        </w:rPr>
      </w:r>
    </w:p>
    <w:tbl>
      <w:tblPr>
        <w:tblW w:w="20123"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firstRow="1" w:noVBand="0" w:lastRow="1" w:firstColumn="1" w:lastColumn="1" w:noHBand="0" w:val="01e0"/>
      </w:tblPr>
      <w:tblGrid>
        <w:gridCol w:w="2642"/>
        <w:gridCol w:w="17480"/>
      </w:tblGrid>
      <w:tr>
        <w:trPr>
          <w:trHeight w:val="134" w:hRule="atLeast"/>
        </w:trPr>
        <w:tc>
          <w:tcPr>
            <w:tcW w:w="20122" w:type="dxa"/>
            <w:gridSpan w:val="2"/>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C0C0C0" w:val="clear"/>
            <w:tcMar>
              <w:left w:w="108" w:type="dxa"/>
            </w:tcMar>
          </w:tcPr>
          <w:p>
            <w:pPr>
              <w:pStyle w:val="Normal"/>
              <w:tabs>
                <w:tab w:val="left" w:pos="2943" w:leader="none"/>
                <w:tab w:val="left" w:pos="6912" w:leader="none"/>
                <w:tab w:val="left" w:pos="10314" w:leader="none"/>
              </w:tabs>
              <w:spacing w:before="0" w:after="160"/>
              <w:rPr>
                <w:b/>
                <w:b/>
                <w:i/>
                <w:i/>
              </w:rPr>
            </w:pPr>
            <w:bookmarkStart w:id="2" w:name="_GoBack"/>
            <w:bookmarkEnd w:id="2"/>
            <w:r>
              <w:rPr>
                <w:rFonts w:eastAsia="Arial" w:cs="Arial" w:ascii="Arial" w:hAnsi="Arial"/>
                <w:b/>
                <w:bCs/>
                <w:sz w:val="24"/>
                <w:szCs w:val="24"/>
              </w:rPr>
              <w:t>General Comments</w:t>
            </w:r>
          </w:p>
        </w:tc>
      </w:tr>
      <w:tr>
        <w:trPr>
          <w:trHeight w:val="134" w:hRule="atLeast"/>
        </w:trPr>
        <w:tc>
          <w:tcPr>
            <w:tcW w:w="2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b/>
                <w:b/>
              </w:rPr>
            </w:pPr>
            <w:r>
              <w:rPr>
                <w:b/>
              </w:rPr>
              <w:t>Page</w:t>
            </w:r>
          </w:p>
        </w:tc>
        <w:tc>
          <w:tcPr>
            <w:tcW w:w="174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b/>
                <w:b/>
              </w:rPr>
            </w:pPr>
            <w:r>
              <w:rPr>
                <w:b/>
              </w:rPr>
              <w:t>Comment</w:t>
            </w:r>
          </w:p>
        </w:tc>
      </w:tr>
      <w:tr>
        <w:trPr>
          <w:trHeight w:val="139" w:hRule="atLeast"/>
        </w:trPr>
        <w:tc>
          <w:tcPr>
            <w:tcW w:w="2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pPr>
            <w:r>
              <w:rPr/>
              <w:t>0</w:t>
            </w:r>
          </w:p>
        </w:tc>
        <w:tc>
          <w:tcPr>
            <w:tcW w:w="174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spacing w:before="0" w:after="160"/>
              <w:rPr/>
            </w:pPr>
            <w:r>
              <w:rPr/>
              <w:t>In general, it is essential that indicators of wild species genetic diversity be included.  Currently there are no indicators of wild species genetic diversity.  The three indicators suggested here will help fill this gap</w:t>
            </w:r>
          </w:p>
        </w:tc>
      </w:tr>
      <w:tr>
        <w:trPr>
          <w:trHeight w:val="134" w:hRule="atLeast"/>
        </w:trPr>
        <w:tc>
          <w:tcPr>
            <w:tcW w:w="2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pPr>
            <w:r>
              <w:rPr/>
            </w:r>
          </w:p>
        </w:tc>
        <w:tc>
          <w:tcPr>
            <w:tcW w:w="174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pPr>
            <w:r>
              <w:rPr/>
            </w:r>
          </w:p>
        </w:tc>
      </w:tr>
      <w:tr>
        <w:trPr>
          <w:trHeight w:val="134" w:hRule="atLeast"/>
        </w:trPr>
        <w:tc>
          <w:tcPr>
            <w:tcW w:w="264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pPr>
            <w:r>
              <w:rPr/>
            </w:r>
          </w:p>
        </w:tc>
        <w:tc>
          <w:tcPr>
            <w:tcW w:w="1748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tcPr>
          <w:p>
            <w:pPr>
              <w:pStyle w:val="Normal"/>
              <w:widowControl/>
              <w:bidi w:val="0"/>
              <w:spacing w:lineRule="auto" w:line="259" w:before="0" w:after="160"/>
              <w:jc w:val="left"/>
              <w:rPr/>
            </w:pPr>
            <w:r>
              <w:rPr/>
              <w:t>Additional rows can be added to this table by selecting “Table” followed by “insert” and “rows below”</w:t>
            </w:r>
          </w:p>
        </w:tc>
      </w:tr>
    </w:tbl>
    <w:p>
      <w:pPr>
        <w:pStyle w:val="Normal"/>
        <w:tabs>
          <w:tab w:val="left" w:pos="2943" w:leader="none"/>
          <w:tab w:val="left" w:pos="6912" w:leader="none"/>
          <w:tab w:val="left" w:pos="10314" w:leader="none"/>
        </w:tabs>
        <w:spacing w:before="0" w:after="160"/>
        <w:rPr/>
      </w:pPr>
      <w:r>
        <w:rPr/>
      </w:r>
    </w:p>
    <w:sectPr>
      <w:headerReference w:type="default" r:id="rId19"/>
      <w:footerReference w:type="default" r:id="rId20"/>
      <w:type w:val="nextPage"/>
      <w:pgSz w:orient="landscape" w:w="23811" w:h="16838"/>
      <w:pgMar w:left="1440" w:right="1440" w:header="709" w:top="1440" w:footer="709"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67434070"/>
    </w:sdtPr>
    <w:sdtContent>
      <w:p>
        <w:pPr>
          <w:pStyle w:val="Footer"/>
          <w:jc w:val="center"/>
          <w:rPr/>
        </w:pPr>
        <w:r>
          <w:rPr/>
          <w:fldChar w:fldCharType="begin"/>
        </w:r>
        <w:r>
          <w:instrText> PAGE </w:instrText>
        </w:r>
        <w:r>
          <w:fldChar w:fldCharType="separate"/>
        </w:r>
        <w:r>
          <w:t>1</w:t>
        </w:r>
        <w:r>
          <w:fldChar w:fldCharType="end"/>
        </w:r>
      </w:p>
    </w:sdtContent>
  </w:sdt>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057809581"/>
    </w:sdtPr>
    <w:sdtContent>
      <w:p>
        <w:pPr>
          <w:pStyle w:val="Footer"/>
          <w:jc w:val="center"/>
          <w:rPr/>
        </w:pPr>
        <w:r>
          <w:rPr/>
          <w:fldChar w:fldCharType="begin"/>
        </w:r>
        <w:r>
          <w:instrText> PAGE </w:instrText>
        </w:r>
        <w:r>
          <w:fldChar w:fldCharType="separate"/>
        </w:r>
        <w:r>
          <w:t>3</w:t>
        </w:r>
        <w: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CA"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CA" w:eastAsia="en-US" w:bidi="ar-SA"/>
      </w:rPr>
    </w:rPrDefault>
    <w:pPrDefault>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f704c9"/>
    <w:pPr>
      <w:widowControl/>
      <w:bidi w:val="0"/>
      <w:spacing w:lineRule="auto" w:line="259" w:before="0" w:after="160"/>
      <w:jc w:val="left"/>
    </w:pPr>
    <w:rPr>
      <w:rFonts w:ascii="Calibri" w:hAnsi="Calibri" w:eastAsia="Calibri" w:cs="Arial" w:asciiTheme="minorHAnsi" w:cstheme="minorBidi" w:eastAsiaTheme="minorHAnsi" w:hAnsiTheme="minorHAnsi"/>
      <w:color w:val="auto"/>
      <w:sz w:val="22"/>
      <w:szCs w:val="22"/>
      <w:lang w:val="en-CA" w:eastAsia="en-US" w:bidi="ar-SA"/>
    </w:rPr>
  </w:style>
  <w:style w:type="paragraph" w:styleId="Heading2">
    <w:name w:val="Heading 2"/>
    <w:basedOn w:val="Normal"/>
    <w:next w:val="Normal"/>
    <w:link w:val="Heading2Char"/>
    <w:uiPriority w:val="9"/>
    <w:qFormat/>
    <w:rsid w:val="00f10e97"/>
    <w:pPr>
      <w:keepNext/>
      <w:tabs>
        <w:tab w:val="left" w:pos="720" w:leader="none"/>
      </w:tabs>
      <w:spacing w:lineRule="auto" w:line="240" w:before="120" w:after="120"/>
      <w:jc w:val="center"/>
      <w:outlineLvl w:val="1"/>
    </w:pPr>
    <w:rPr>
      <w:rFonts w:ascii="Times New Roman" w:hAnsi="Times New Roman" w:eastAsia="Times New Roman" w:cs="Times New Roman"/>
      <w:b/>
      <w:bCs/>
      <w:iCs/>
      <w:szCs w:val="24"/>
      <w:lang w:val="en-GB"/>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f704c9"/>
    <w:rPr>
      <w:sz w:val="16"/>
      <w:szCs w:val="16"/>
    </w:rPr>
  </w:style>
  <w:style w:type="character" w:styleId="CommentTextChar" w:customStyle="1">
    <w:name w:val="Comment Text Char"/>
    <w:basedOn w:val="DefaultParagraphFont"/>
    <w:link w:val="CommentText"/>
    <w:uiPriority w:val="99"/>
    <w:semiHidden/>
    <w:qFormat/>
    <w:rsid w:val="00f704c9"/>
    <w:rPr>
      <w:sz w:val="20"/>
      <w:szCs w:val="20"/>
    </w:rPr>
  </w:style>
  <w:style w:type="character" w:styleId="BalloonTextChar" w:customStyle="1">
    <w:name w:val="Balloon Text Char"/>
    <w:basedOn w:val="DefaultParagraphFont"/>
    <w:link w:val="BalloonText"/>
    <w:uiPriority w:val="99"/>
    <w:semiHidden/>
    <w:qFormat/>
    <w:rsid w:val="00f704c9"/>
    <w:rPr>
      <w:rFonts w:ascii="Segoe UI" w:hAnsi="Segoe UI" w:cs="Segoe UI"/>
      <w:sz w:val="18"/>
      <w:szCs w:val="18"/>
    </w:rPr>
  </w:style>
  <w:style w:type="character" w:styleId="CommentSubjectChar" w:customStyle="1">
    <w:name w:val="Comment Subject Char"/>
    <w:basedOn w:val="CommentTextChar"/>
    <w:link w:val="CommentSubject"/>
    <w:uiPriority w:val="99"/>
    <w:semiHidden/>
    <w:qFormat/>
    <w:rsid w:val="00777c62"/>
    <w:rPr>
      <w:b/>
      <w:bCs/>
      <w:sz w:val="20"/>
      <w:szCs w:val="20"/>
    </w:rPr>
  </w:style>
  <w:style w:type="character" w:styleId="Heading2Char" w:customStyle="1">
    <w:name w:val="Heading 2 Char"/>
    <w:basedOn w:val="DefaultParagraphFont"/>
    <w:link w:val="Heading2"/>
    <w:uiPriority w:val="9"/>
    <w:qFormat/>
    <w:rsid w:val="00f10e97"/>
    <w:rPr>
      <w:rFonts w:ascii="Times New Roman" w:hAnsi="Times New Roman" w:eastAsia="Times New Roman" w:cs="Times New Roman"/>
      <w:b/>
      <w:bCs/>
      <w:iCs/>
      <w:szCs w:val="24"/>
      <w:lang w:val="en-GB"/>
    </w:rPr>
  </w:style>
  <w:style w:type="character" w:styleId="Normaltextrun" w:customStyle="1">
    <w:name w:val="normaltextrun"/>
    <w:basedOn w:val="DefaultParagraphFont"/>
    <w:qFormat/>
    <w:rsid w:val="00bf25dc"/>
    <w:rPr/>
  </w:style>
  <w:style w:type="character" w:styleId="Eop" w:customStyle="1">
    <w:name w:val="eop"/>
    <w:basedOn w:val="DefaultParagraphFont"/>
    <w:qFormat/>
    <w:rsid w:val="00bf25dc"/>
    <w:rPr/>
  </w:style>
  <w:style w:type="character" w:styleId="HeaderChar" w:customStyle="1">
    <w:name w:val="Header Char"/>
    <w:basedOn w:val="DefaultParagraphFont"/>
    <w:link w:val="Header"/>
    <w:uiPriority w:val="99"/>
    <w:qFormat/>
    <w:rsid w:val="00371075"/>
    <w:rPr/>
  </w:style>
  <w:style w:type="character" w:styleId="FooterChar" w:customStyle="1">
    <w:name w:val="Footer Char"/>
    <w:basedOn w:val="DefaultParagraphFont"/>
    <w:link w:val="Footer"/>
    <w:uiPriority w:val="99"/>
    <w:qFormat/>
    <w:rsid w:val="00371075"/>
    <w:rPr/>
  </w:style>
  <w:style w:type="character" w:styleId="InternetLink">
    <w:name w:val="Internet Link"/>
    <w:uiPriority w:val="99"/>
    <w:rsid w:val="006d0214"/>
    <w:rPr>
      <w:rFonts w:cs="Times New Roman"/>
      <w:color w:val="0000FF"/>
      <w:u w:val="single"/>
    </w:rPr>
  </w:style>
  <w:style w:type="character" w:styleId="UnresolvedMention">
    <w:name w:val="Unresolved Mention"/>
    <w:basedOn w:val="DefaultParagraphFont"/>
    <w:uiPriority w:val="99"/>
    <w:semiHidden/>
    <w:unhideWhenUsed/>
    <w:qFormat/>
    <w:rsid w:val="00dd789a"/>
    <w:rPr>
      <w:color w:val="605E5C"/>
      <w:shd w:fill="E1DFDD" w:val="clear"/>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ascii="Times New Roman" w:hAnsi="Times New Roman" w:cs="Courier New"/>
    </w:rPr>
  </w:style>
  <w:style w:type="character" w:styleId="ListLabel17">
    <w:name w:val="ListLabel 17"/>
    <w:qFormat/>
    <w:rPr>
      <w:rFonts w:cs="Courier New"/>
    </w:rPr>
  </w:style>
  <w:style w:type="character" w:styleId="ListLabel18">
    <w:name w:val="ListLabel 18"/>
    <w:qFormat/>
    <w:rPr>
      <w:rFonts w:cs="Courier New"/>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nnotationtext">
    <w:name w:val="annotation text"/>
    <w:basedOn w:val="Normal"/>
    <w:link w:val="CommentTextChar"/>
    <w:uiPriority w:val="99"/>
    <w:semiHidden/>
    <w:unhideWhenUsed/>
    <w:qFormat/>
    <w:rsid w:val="00f704c9"/>
    <w:pPr>
      <w:spacing w:lineRule="auto" w:line="240"/>
    </w:pPr>
    <w:rPr>
      <w:sz w:val="20"/>
      <w:szCs w:val="20"/>
    </w:rPr>
  </w:style>
  <w:style w:type="paragraph" w:styleId="ListParagraph">
    <w:name w:val="List Paragraph"/>
    <w:basedOn w:val="Normal"/>
    <w:uiPriority w:val="34"/>
    <w:qFormat/>
    <w:rsid w:val="00f704c9"/>
    <w:pPr>
      <w:spacing w:before="0" w:after="160"/>
      <w:ind w:left="720" w:hanging="0"/>
      <w:contextualSpacing/>
    </w:pPr>
    <w:rPr/>
  </w:style>
  <w:style w:type="paragraph" w:styleId="BalloonText">
    <w:name w:val="Balloon Text"/>
    <w:basedOn w:val="Normal"/>
    <w:link w:val="BalloonTextChar"/>
    <w:uiPriority w:val="99"/>
    <w:semiHidden/>
    <w:unhideWhenUsed/>
    <w:qFormat/>
    <w:rsid w:val="00f704c9"/>
    <w:pPr>
      <w:spacing w:lineRule="auto" w:line="240" w:before="0" w:after="0"/>
    </w:pPr>
    <w:rPr>
      <w:rFonts w:ascii="Segoe UI" w:hAnsi="Segoe UI" w:cs="Segoe UI"/>
      <w:sz w:val="18"/>
      <w:szCs w:val="18"/>
    </w:rPr>
  </w:style>
  <w:style w:type="paragraph" w:styleId="Annotationsubject">
    <w:name w:val="annotation subject"/>
    <w:basedOn w:val="Annotationtext"/>
    <w:link w:val="CommentSubjectChar"/>
    <w:uiPriority w:val="99"/>
    <w:semiHidden/>
    <w:unhideWhenUsed/>
    <w:qFormat/>
    <w:rsid w:val="00777c62"/>
    <w:pPr/>
    <w:rPr>
      <w:b/>
      <w:bCs/>
    </w:rPr>
  </w:style>
  <w:style w:type="paragraph" w:styleId="Revision">
    <w:name w:val="Revision"/>
    <w:uiPriority w:val="99"/>
    <w:semiHidden/>
    <w:qFormat/>
    <w:rsid w:val="00aa35ff"/>
    <w:pPr>
      <w:widowControl/>
      <w:bidi w:val="0"/>
      <w:spacing w:lineRule="auto" w:line="240" w:before="0" w:after="0"/>
      <w:jc w:val="left"/>
    </w:pPr>
    <w:rPr>
      <w:rFonts w:ascii="Calibri" w:hAnsi="Calibri" w:eastAsia="Calibri" w:cs="Arial" w:asciiTheme="minorHAnsi" w:cstheme="minorBidi" w:eastAsiaTheme="minorHAnsi" w:hAnsiTheme="minorHAnsi"/>
      <w:color w:val="auto"/>
      <w:sz w:val="22"/>
      <w:szCs w:val="22"/>
      <w:lang w:val="en-CA" w:eastAsia="en-US" w:bidi="ar-SA"/>
    </w:rPr>
  </w:style>
  <w:style w:type="paragraph" w:styleId="Header">
    <w:name w:val="Header"/>
    <w:basedOn w:val="Normal"/>
    <w:link w:val="HeaderChar"/>
    <w:uiPriority w:val="99"/>
    <w:unhideWhenUsed/>
    <w:rsid w:val="00371075"/>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371075"/>
    <w:pPr>
      <w:tabs>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39"/>
    <w:rsid w:val="00f704c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bd.int/sbstta/sbstta-24/post2020-monitoring-en.pdf" TargetMode="External"/><Relationship Id="rId3" Type="http://schemas.openxmlformats.org/officeDocument/2006/relationships/hyperlink" Target="https://www.cbd.int/sbstta/sbstta-24/post2020-monitoring-en.pdf" TargetMode="External"/><Relationship Id="rId4" Type="http://schemas.openxmlformats.org/officeDocument/2006/relationships/hyperlink" Target="https://www.cbd.int/sbstta/sbstta-24/post2020-monitoring-en.pdf" TargetMode="External"/><Relationship Id="rId5" Type="http://schemas.openxmlformats.org/officeDocument/2006/relationships/hyperlink" Target="https://www.cbd.int/sbstta/sbstta-24/post2020-monitoring-en.pdf" TargetMode="External"/><Relationship Id="rId6" Type="http://schemas.openxmlformats.org/officeDocument/2006/relationships/hyperlink" Target="mailto:secretariat@cbd.int"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www.cbd.int/sbstta/sbstta-24/post2020-monitoring-en.pdf" TargetMode="External"/><Relationship Id="rId10" Type="http://schemas.openxmlformats.org/officeDocument/2006/relationships/hyperlink" Target="https://www.cbd.int/sbstta/sbstta-24/post2020-monitoring-en.pdf" TargetMode="External"/><Relationship Id="rId11" Type="http://schemas.openxmlformats.org/officeDocument/2006/relationships/hyperlink" Target="https://doi.org/10.1016/j.biocon.2020.108654" TargetMode="External"/><Relationship Id="rId12" Type="http://schemas.openxmlformats.org/officeDocument/2006/relationships/hyperlink" Target="https://doi.org/10.1126/science.abb2748" TargetMode="External"/><Relationship Id="rId13" Type="http://schemas.openxmlformats.org/officeDocument/2006/relationships/hyperlink" Target="https://doi.org/10.1016/j.biocon.2020.108654" TargetMode="External"/><Relationship Id="rId14" Type="http://schemas.openxmlformats.org/officeDocument/2006/relationships/hyperlink" Target="https://doi.org/10.1126/science.abb2748" TargetMode="External"/><Relationship Id="rId15" Type="http://schemas.openxmlformats.org/officeDocument/2006/relationships/hyperlink" Target="https://doi.org/10.1016/j.biocon.2020.108654" TargetMode="External"/><Relationship Id="rId16" Type="http://schemas.openxmlformats.org/officeDocument/2006/relationships/hyperlink" Target="https://doi.org/10.1126/science.abb2748" TargetMode="External"/><Relationship Id="rId17"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Relationship Id="rId25" Type="http://schemas.openxmlformats.org/officeDocument/2006/relationships/customXml" Target="../customXml/item1.xml"/><Relationship Id="rId26" Type="http://schemas.openxmlformats.org/officeDocument/2006/relationships/customXml" Target="../customXml/item2.xml"/><Relationship Id="rId27" Type="http://schemas.openxmlformats.org/officeDocument/2006/relationships/customXml" Target="../customXml/item3.xml"/><Relationship Id="rId28"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4.xml><?xml version="1.0" encoding="utf-8"?>
<ds:datastoreItem xmlns:ds="http://schemas.openxmlformats.org/officeDocument/2006/customXml" ds:itemID="{75AC7B5F-C4F3-498C-91D9-DAFBAABC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LibreOffice/5.2.4.2$Windows_x86 LibreOffice_project/3d5603e1122f0f102b62521720ab13a38a4e0eb0</Application>
  <Pages>3</Pages>
  <Words>1093</Words>
  <Characters>6226</Characters>
  <CharactersWithSpaces>7167</CharactersWithSpaces>
  <Paragraphs>147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2020-07-11T01:30:00Z</dcterms:created>
  <dc:creator>Alexander Shestakov</dc:creator>
  <dc:description/>
  <dc:language>en-US</dc:language>
  <cp:lastModifiedBy/>
  <dcterms:modified xsi:type="dcterms:W3CDTF">2020-07-23T14:20:01Z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0x01010027E648C111180E459E294E963FE1082A</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