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09709" w14:textId="77777777" w:rsidR="00624FAA" w:rsidRPr="0062700E" w:rsidRDefault="00624FAA" w:rsidP="0062700E">
      <w:pPr>
        <w:pStyle w:val="Default"/>
        <w:rPr>
          <w:b/>
          <w:sz w:val="22"/>
          <w:szCs w:val="22"/>
          <w:u w:val="single"/>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62700E" w14:paraId="763C4684" w14:textId="77777777" w:rsidTr="005D2E65">
        <w:trPr>
          <w:trHeight w:val="242"/>
        </w:trPr>
        <w:tc>
          <w:tcPr>
            <w:tcW w:w="9606" w:type="dxa"/>
            <w:gridSpan w:val="6"/>
          </w:tcPr>
          <w:p w14:paraId="18BF195A" w14:textId="77777777" w:rsidR="005D2E65" w:rsidRPr="0062700E" w:rsidRDefault="005D2E65" w:rsidP="00642AC0">
            <w:pPr>
              <w:jc w:val="center"/>
              <w:rPr>
                <w:b/>
                <w:lang w:val="en-GB"/>
              </w:rPr>
            </w:pPr>
            <w:r w:rsidRPr="0062700E">
              <w:rPr>
                <w:b/>
                <w:lang w:val="en-GB"/>
              </w:rPr>
              <w:t>Review comments on the draft monitoring framework for the post-2020 global biodiversity framework</w:t>
            </w:r>
          </w:p>
        </w:tc>
      </w:tr>
      <w:tr w:rsidR="005D2E65" w:rsidRPr="0062700E" w14:paraId="62FFCA73" w14:textId="77777777" w:rsidTr="005D2E65">
        <w:trPr>
          <w:trHeight w:val="233"/>
        </w:trPr>
        <w:tc>
          <w:tcPr>
            <w:tcW w:w="9606" w:type="dxa"/>
            <w:gridSpan w:val="6"/>
            <w:shd w:val="clear" w:color="auto" w:fill="C0C0C0"/>
          </w:tcPr>
          <w:p w14:paraId="016A3855" w14:textId="77777777" w:rsidR="005D2E65" w:rsidRPr="0062700E" w:rsidRDefault="005D2E65" w:rsidP="00690111">
            <w:pPr>
              <w:jc w:val="center"/>
              <w:rPr>
                <w:i/>
                <w:lang w:val="en-GB"/>
              </w:rPr>
            </w:pPr>
            <w:r w:rsidRPr="0062700E">
              <w:rPr>
                <w:i/>
                <w:lang w:val="en-GB"/>
              </w:rPr>
              <w:t>Contact information</w:t>
            </w:r>
          </w:p>
        </w:tc>
      </w:tr>
      <w:tr w:rsidR="005D2E65" w:rsidRPr="0062700E" w14:paraId="5EC4CF44" w14:textId="77777777" w:rsidTr="005D2E65">
        <w:trPr>
          <w:trHeight w:val="270"/>
        </w:trPr>
        <w:tc>
          <w:tcPr>
            <w:tcW w:w="2802" w:type="dxa"/>
            <w:gridSpan w:val="4"/>
          </w:tcPr>
          <w:p w14:paraId="0A06991D" w14:textId="77777777" w:rsidR="005D2E65" w:rsidRPr="0062700E" w:rsidRDefault="005D2E65" w:rsidP="00690111">
            <w:pPr>
              <w:pStyle w:val="Form"/>
              <w:rPr>
                <w:rFonts w:ascii="Times New Roman" w:hAnsi="Times New Roman" w:cs="Times New Roman"/>
                <w:b/>
                <w:sz w:val="22"/>
                <w:lang w:val="en-GB"/>
              </w:rPr>
            </w:pPr>
            <w:r w:rsidRPr="0062700E">
              <w:rPr>
                <w:rFonts w:ascii="Times New Roman" w:hAnsi="Times New Roman" w:cs="Times New Roman"/>
                <w:b/>
                <w:sz w:val="22"/>
                <w:szCs w:val="22"/>
                <w:lang w:val="en-GB"/>
              </w:rPr>
              <w:t>Surname:</w:t>
            </w:r>
          </w:p>
        </w:tc>
        <w:tc>
          <w:tcPr>
            <w:tcW w:w="6804" w:type="dxa"/>
            <w:gridSpan w:val="2"/>
          </w:tcPr>
          <w:p w14:paraId="3A2CABBA" w14:textId="77777777" w:rsidR="005D2E65" w:rsidRPr="0062700E" w:rsidRDefault="00B64F80" w:rsidP="00690111">
            <w:pPr>
              <w:rPr>
                <w:lang w:val="en-GB"/>
              </w:rPr>
            </w:pPr>
            <w:r w:rsidRPr="0062700E">
              <w:rPr>
                <w:lang w:val="en-GB"/>
              </w:rPr>
              <w:t>Ramos</w:t>
            </w:r>
          </w:p>
        </w:tc>
      </w:tr>
      <w:tr w:rsidR="005D2E65" w:rsidRPr="0062700E" w14:paraId="314444EA" w14:textId="77777777" w:rsidTr="005D2E65">
        <w:trPr>
          <w:trHeight w:val="270"/>
        </w:trPr>
        <w:tc>
          <w:tcPr>
            <w:tcW w:w="2802" w:type="dxa"/>
            <w:gridSpan w:val="4"/>
          </w:tcPr>
          <w:p w14:paraId="3F505598" w14:textId="77777777" w:rsidR="005D2E65" w:rsidRPr="0062700E" w:rsidRDefault="005D2E65" w:rsidP="00690111">
            <w:pPr>
              <w:pStyle w:val="Form"/>
              <w:rPr>
                <w:rFonts w:ascii="Times New Roman" w:hAnsi="Times New Roman" w:cs="Times New Roman"/>
                <w:b/>
                <w:sz w:val="22"/>
                <w:lang w:val="en-GB"/>
              </w:rPr>
            </w:pPr>
            <w:r w:rsidRPr="0062700E">
              <w:rPr>
                <w:rFonts w:ascii="Times New Roman" w:hAnsi="Times New Roman" w:cs="Times New Roman"/>
                <w:b/>
                <w:sz w:val="22"/>
                <w:szCs w:val="22"/>
                <w:lang w:val="en-GB"/>
              </w:rPr>
              <w:t>Given Name:</w:t>
            </w:r>
          </w:p>
        </w:tc>
        <w:tc>
          <w:tcPr>
            <w:tcW w:w="6804" w:type="dxa"/>
            <w:gridSpan w:val="2"/>
          </w:tcPr>
          <w:p w14:paraId="07F085A8" w14:textId="77777777" w:rsidR="005D2E65" w:rsidRPr="0062700E" w:rsidRDefault="00B64F80" w:rsidP="00690111">
            <w:pPr>
              <w:rPr>
                <w:lang w:val="en-GB"/>
              </w:rPr>
            </w:pPr>
            <w:r w:rsidRPr="0062700E">
              <w:rPr>
                <w:lang w:val="en-GB"/>
              </w:rPr>
              <w:t>Ameyali</w:t>
            </w:r>
          </w:p>
        </w:tc>
      </w:tr>
      <w:tr w:rsidR="005D2E65" w:rsidRPr="0062700E" w14:paraId="4F8AE7A8" w14:textId="77777777" w:rsidTr="005D2E65">
        <w:trPr>
          <w:trHeight w:val="280"/>
        </w:trPr>
        <w:tc>
          <w:tcPr>
            <w:tcW w:w="2802" w:type="dxa"/>
            <w:gridSpan w:val="4"/>
          </w:tcPr>
          <w:p w14:paraId="23149868" w14:textId="77777777" w:rsidR="005D2E65" w:rsidRPr="0062700E" w:rsidRDefault="005D2E65" w:rsidP="00690111">
            <w:pPr>
              <w:pStyle w:val="Form"/>
              <w:rPr>
                <w:rFonts w:ascii="Times New Roman" w:hAnsi="Times New Roman" w:cs="Times New Roman"/>
                <w:b/>
                <w:sz w:val="22"/>
                <w:lang w:val="en-GB"/>
              </w:rPr>
            </w:pPr>
            <w:r w:rsidRPr="0062700E">
              <w:rPr>
                <w:rFonts w:ascii="Times New Roman" w:hAnsi="Times New Roman" w:cs="Times New Roman"/>
                <w:b/>
                <w:sz w:val="22"/>
                <w:szCs w:val="22"/>
                <w:lang w:val="en-GB"/>
              </w:rPr>
              <w:t xml:space="preserve">Government </w:t>
            </w:r>
            <w:r w:rsidRPr="0062700E">
              <w:rPr>
                <w:rFonts w:ascii="Times New Roman" w:hAnsi="Times New Roman" w:cs="Times New Roman"/>
                <w:sz w:val="22"/>
                <w:szCs w:val="22"/>
                <w:lang w:val="en-GB"/>
              </w:rPr>
              <w:t>(if applicable)</w:t>
            </w:r>
            <w:r w:rsidRPr="0062700E">
              <w:rPr>
                <w:rFonts w:ascii="Times New Roman" w:hAnsi="Times New Roman" w:cs="Times New Roman"/>
                <w:b/>
                <w:sz w:val="22"/>
                <w:szCs w:val="22"/>
                <w:lang w:val="en-GB"/>
              </w:rPr>
              <w:t xml:space="preserve">: </w:t>
            </w:r>
          </w:p>
        </w:tc>
        <w:tc>
          <w:tcPr>
            <w:tcW w:w="6804" w:type="dxa"/>
            <w:gridSpan w:val="2"/>
          </w:tcPr>
          <w:p w14:paraId="682787A0" w14:textId="77777777" w:rsidR="005D2E65" w:rsidRPr="0062700E" w:rsidRDefault="005D2E65" w:rsidP="00690111">
            <w:pPr>
              <w:rPr>
                <w:lang w:val="en-GB"/>
              </w:rPr>
            </w:pPr>
          </w:p>
        </w:tc>
      </w:tr>
      <w:tr w:rsidR="005D2E65" w:rsidRPr="0062700E" w14:paraId="3A3DE5F2" w14:textId="77777777" w:rsidTr="005D2E65">
        <w:trPr>
          <w:trHeight w:val="270"/>
        </w:trPr>
        <w:tc>
          <w:tcPr>
            <w:tcW w:w="2802" w:type="dxa"/>
            <w:gridSpan w:val="4"/>
          </w:tcPr>
          <w:p w14:paraId="1EE5EC67" w14:textId="77777777" w:rsidR="005D2E65" w:rsidRPr="0062700E" w:rsidRDefault="005D2E65" w:rsidP="00690111">
            <w:pPr>
              <w:pStyle w:val="Form"/>
              <w:rPr>
                <w:rFonts w:ascii="Times New Roman" w:hAnsi="Times New Roman" w:cs="Times New Roman"/>
                <w:b/>
                <w:sz w:val="22"/>
                <w:lang w:val="en-GB"/>
              </w:rPr>
            </w:pPr>
            <w:r w:rsidRPr="0062700E">
              <w:rPr>
                <w:rFonts w:ascii="Times New Roman" w:hAnsi="Times New Roman" w:cs="Times New Roman"/>
                <w:b/>
                <w:sz w:val="22"/>
                <w:szCs w:val="22"/>
                <w:lang w:val="en-GB"/>
              </w:rPr>
              <w:t>Organization:</w:t>
            </w:r>
          </w:p>
        </w:tc>
        <w:tc>
          <w:tcPr>
            <w:tcW w:w="6804" w:type="dxa"/>
            <w:gridSpan w:val="2"/>
          </w:tcPr>
          <w:p w14:paraId="75AAF31F" w14:textId="77777777" w:rsidR="005D2E65" w:rsidRPr="0062700E" w:rsidRDefault="00B64F80" w:rsidP="00690111">
            <w:pPr>
              <w:rPr>
                <w:lang w:val="en-GB"/>
              </w:rPr>
            </w:pPr>
            <w:r w:rsidRPr="0062700E">
              <w:rPr>
                <w:lang w:val="en-GB"/>
              </w:rPr>
              <w:t>ICCA Consortium</w:t>
            </w:r>
          </w:p>
        </w:tc>
      </w:tr>
      <w:tr w:rsidR="005D2E65" w:rsidRPr="0062700E" w14:paraId="3545906F" w14:textId="77777777" w:rsidTr="005D2E65">
        <w:trPr>
          <w:trHeight w:val="280"/>
        </w:trPr>
        <w:tc>
          <w:tcPr>
            <w:tcW w:w="2802" w:type="dxa"/>
            <w:gridSpan w:val="4"/>
          </w:tcPr>
          <w:p w14:paraId="73AB4E27" w14:textId="77777777" w:rsidR="005D2E65" w:rsidRPr="0062700E" w:rsidRDefault="005D2E65" w:rsidP="00690111">
            <w:pPr>
              <w:pStyle w:val="Form"/>
              <w:rPr>
                <w:rFonts w:ascii="Times New Roman" w:hAnsi="Times New Roman" w:cs="Times New Roman"/>
                <w:b/>
                <w:sz w:val="22"/>
                <w:lang w:val="en-GB"/>
              </w:rPr>
            </w:pPr>
            <w:r w:rsidRPr="0062700E">
              <w:rPr>
                <w:rFonts w:ascii="Times New Roman" w:hAnsi="Times New Roman" w:cs="Times New Roman"/>
                <w:b/>
                <w:sz w:val="22"/>
                <w:szCs w:val="22"/>
                <w:lang w:val="en-GB"/>
              </w:rPr>
              <w:t xml:space="preserve">Address:  </w:t>
            </w:r>
          </w:p>
        </w:tc>
        <w:tc>
          <w:tcPr>
            <w:tcW w:w="6804" w:type="dxa"/>
            <w:gridSpan w:val="2"/>
          </w:tcPr>
          <w:p w14:paraId="0DE214D3" w14:textId="77777777" w:rsidR="005D2E65" w:rsidRPr="0062700E" w:rsidRDefault="005D2E65" w:rsidP="00690111">
            <w:pPr>
              <w:rPr>
                <w:lang w:val="en-GB"/>
              </w:rPr>
            </w:pPr>
          </w:p>
        </w:tc>
      </w:tr>
      <w:tr w:rsidR="005D2E65" w:rsidRPr="0062700E" w14:paraId="0C5E22D7" w14:textId="77777777" w:rsidTr="005D2E65">
        <w:trPr>
          <w:trHeight w:val="270"/>
        </w:trPr>
        <w:tc>
          <w:tcPr>
            <w:tcW w:w="2802" w:type="dxa"/>
            <w:gridSpan w:val="4"/>
          </w:tcPr>
          <w:p w14:paraId="48C2CB7D" w14:textId="77777777" w:rsidR="005D2E65" w:rsidRPr="0062700E" w:rsidRDefault="005D2E65" w:rsidP="00690111">
            <w:pPr>
              <w:pStyle w:val="Form"/>
              <w:rPr>
                <w:rFonts w:ascii="Times New Roman" w:hAnsi="Times New Roman" w:cs="Times New Roman"/>
                <w:b/>
                <w:sz w:val="22"/>
                <w:lang w:val="en-GB"/>
              </w:rPr>
            </w:pPr>
            <w:r w:rsidRPr="0062700E">
              <w:rPr>
                <w:rFonts w:ascii="Times New Roman" w:hAnsi="Times New Roman" w:cs="Times New Roman"/>
                <w:b/>
                <w:sz w:val="22"/>
                <w:szCs w:val="22"/>
                <w:lang w:val="en-GB"/>
              </w:rPr>
              <w:t>City:</w:t>
            </w:r>
          </w:p>
        </w:tc>
        <w:tc>
          <w:tcPr>
            <w:tcW w:w="6804" w:type="dxa"/>
            <w:gridSpan w:val="2"/>
          </w:tcPr>
          <w:p w14:paraId="74055A17" w14:textId="77777777" w:rsidR="005D2E65" w:rsidRPr="0062700E" w:rsidRDefault="005D2E65" w:rsidP="00690111">
            <w:pPr>
              <w:rPr>
                <w:lang w:val="en-GB"/>
              </w:rPr>
            </w:pPr>
          </w:p>
        </w:tc>
      </w:tr>
      <w:tr w:rsidR="005D2E65" w:rsidRPr="0062700E" w14:paraId="2A9575BB" w14:textId="77777777" w:rsidTr="005D2E65">
        <w:trPr>
          <w:trHeight w:val="280"/>
        </w:trPr>
        <w:tc>
          <w:tcPr>
            <w:tcW w:w="2802" w:type="dxa"/>
            <w:gridSpan w:val="4"/>
          </w:tcPr>
          <w:p w14:paraId="126B3699" w14:textId="77777777" w:rsidR="005D2E65" w:rsidRPr="0062700E" w:rsidRDefault="005D2E65" w:rsidP="00690111">
            <w:pPr>
              <w:pStyle w:val="Form"/>
              <w:rPr>
                <w:rFonts w:ascii="Times New Roman" w:hAnsi="Times New Roman" w:cs="Times New Roman"/>
                <w:b/>
                <w:sz w:val="22"/>
                <w:lang w:val="en-GB"/>
              </w:rPr>
            </w:pPr>
            <w:r w:rsidRPr="0062700E">
              <w:rPr>
                <w:rFonts w:ascii="Times New Roman" w:hAnsi="Times New Roman" w:cs="Times New Roman"/>
                <w:b/>
                <w:sz w:val="22"/>
                <w:szCs w:val="22"/>
                <w:lang w:val="en-GB"/>
              </w:rPr>
              <w:t>Country:</w:t>
            </w:r>
          </w:p>
        </w:tc>
        <w:tc>
          <w:tcPr>
            <w:tcW w:w="6804" w:type="dxa"/>
            <w:gridSpan w:val="2"/>
          </w:tcPr>
          <w:p w14:paraId="361A50AB" w14:textId="77777777" w:rsidR="005D2E65" w:rsidRPr="0062700E" w:rsidRDefault="005D2E65" w:rsidP="00690111">
            <w:pPr>
              <w:rPr>
                <w:lang w:val="en-GB"/>
              </w:rPr>
            </w:pPr>
          </w:p>
        </w:tc>
      </w:tr>
      <w:tr w:rsidR="005D2E65" w:rsidRPr="0062700E" w14:paraId="422686A8" w14:textId="77777777" w:rsidTr="005D2E65">
        <w:trPr>
          <w:trHeight w:val="233"/>
        </w:trPr>
        <w:tc>
          <w:tcPr>
            <w:tcW w:w="2802" w:type="dxa"/>
            <w:gridSpan w:val="4"/>
          </w:tcPr>
          <w:p w14:paraId="42D256F5" w14:textId="77777777" w:rsidR="005D2E65" w:rsidRPr="0062700E" w:rsidRDefault="005D2E65" w:rsidP="00690111">
            <w:pPr>
              <w:pStyle w:val="CommentSubject"/>
              <w:rPr>
                <w:sz w:val="22"/>
                <w:szCs w:val="22"/>
                <w:lang w:val="en-GB"/>
              </w:rPr>
            </w:pPr>
            <w:r w:rsidRPr="0062700E">
              <w:rPr>
                <w:sz w:val="22"/>
                <w:szCs w:val="22"/>
                <w:lang w:val="en-GB"/>
              </w:rPr>
              <w:t>E-mail:</w:t>
            </w:r>
          </w:p>
        </w:tc>
        <w:tc>
          <w:tcPr>
            <w:tcW w:w="6804" w:type="dxa"/>
            <w:gridSpan w:val="2"/>
          </w:tcPr>
          <w:p w14:paraId="1A5ECE8C" w14:textId="77777777" w:rsidR="005D2E65" w:rsidRPr="0062700E" w:rsidRDefault="00B64F80" w:rsidP="00690111">
            <w:pPr>
              <w:rPr>
                <w:lang w:val="en-GB"/>
              </w:rPr>
            </w:pPr>
            <w:r w:rsidRPr="0062700E">
              <w:rPr>
                <w:lang w:val="en-GB"/>
              </w:rPr>
              <w:t>ameyali@iccaconsortium.org</w:t>
            </w:r>
          </w:p>
        </w:tc>
      </w:tr>
      <w:tr w:rsidR="004F0B61" w:rsidRPr="0062700E" w14:paraId="7A76C501" w14:textId="77777777" w:rsidTr="00796A1A">
        <w:trPr>
          <w:trHeight w:val="224"/>
        </w:trPr>
        <w:tc>
          <w:tcPr>
            <w:tcW w:w="9606" w:type="dxa"/>
            <w:gridSpan w:val="6"/>
            <w:shd w:val="clear" w:color="auto" w:fill="C0C0C0"/>
          </w:tcPr>
          <w:p w14:paraId="5B08C4E7" w14:textId="77777777" w:rsidR="004F0B61" w:rsidRPr="0062700E" w:rsidRDefault="004F0B61" w:rsidP="00690111">
            <w:pPr>
              <w:jc w:val="center"/>
              <w:rPr>
                <w:b/>
                <w:i/>
                <w:lang w:val="en-GB"/>
              </w:rPr>
            </w:pPr>
            <w:r w:rsidRPr="0062700E">
              <w:rPr>
                <w:b/>
                <w:i/>
                <w:highlight w:val="lightGray"/>
                <w:lang w:val="en-GB"/>
              </w:rPr>
              <w:t>General Comments</w:t>
            </w:r>
          </w:p>
        </w:tc>
      </w:tr>
      <w:tr w:rsidR="004F0B61" w:rsidRPr="0062700E" w14:paraId="03EE3BD0" w14:textId="77777777" w:rsidTr="00796A1A">
        <w:trPr>
          <w:trHeight w:val="224"/>
        </w:trPr>
        <w:tc>
          <w:tcPr>
            <w:tcW w:w="9606" w:type="dxa"/>
            <w:gridSpan w:val="6"/>
          </w:tcPr>
          <w:p w14:paraId="3970B791" w14:textId="4BCC6054" w:rsidR="004F0B61" w:rsidRPr="0062700E" w:rsidRDefault="006447CB" w:rsidP="00690111">
            <w:pPr>
              <w:rPr>
                <w:bCs/>
                <w:szCs w:val="22"/>
                <w:lang w:val="en-GB"/>
              </w:rPr>
            </w:pPr>
            <w:r w:rsidRPr="0062700E">
              <w:rPr>
                <w:bCs/>
                <w:szCs w:val="22"/>
                <w:lang w:val="en-GB"/>
              </w:rPr>
              <w:t xml:space="preserve">Some reports have estimated that </w:t>
            </w:r>
            <w:r w:rsidR="00686FE8" w:rsidRPr="0062700E">
              <w:rPr>
                <w:bCs/>
                <w:szCs w:val="22"/>
                <w:lang w:val="en-GB"/>
              </w:rPr>
              <w:t>Indigenous peoples’ territories coincide with</w:t>
            </w:r>
            <w:r w:rsidRPr="0062700E">
              <w:rPr>
                <w:bCs/>
                <w:szCs w:val="22"/>
                <w:lang w:val="en-GB"/>
              </w:rPr>
              <w:t xml:space="preserve"> a significant portion </w:t>
            </w:r>
            <w:r w:rsidR="00686FE8" w:rsidRPr="0062700E">
              <w:rPr>
                <w:bCs/>
                <w:szCs w:val="22"/>
                <w:lang w:val="en-GB"/>
              </w:rPr>
              <w:t>of the world’s biodiversity. Indigenous peoples are (conservatively) estimated to manage or have customary and other tenure rights over at least 38 million square kilometres (nearly 9.4 billion acres), or more than a quarter of the world’s land surface</w:t>
            </w:r>
            <w:r w:rsidR="006121F3" w:rsidRPr="0062700E">
              <w:rPr>
                <w:bCs/>
                <w:szCs w:val="22"/>
                <w:lang w:val="en-GB"/>
              </w:rPr>
              <w:t xml:space="preserve">.  However, indigenous peoples and local communities have formal legal ownership over only 10% of the world’s land.  Significant efforts are needed to secure these collective lands (and waters) – both for the custodian communities and for the biodiversity and nature within them.  Supporting Indigenous peoples and communities to secure and self-strengthen their collective systems of tenure, self-governance and sustainable ways of life is fundamental to achieving the goals of the </w:t>
            </w:r>
            <w:r w:rsidR="0060158B" w:rsidRPr="0062700E">
              <w:rPr>
                <w:bCs/>
                <w:szCs w:val="22"/>
                <w:lang w:val="en-GB"/>
              </w:rPr>
              <w:t>post-</w:t>
            </w:r>
            <w:r w:rsidR="006121F3" w:rsidRPr="0062700E">
              <w:rPr>
                <w:bCs/>
                <w:szCs w:val="22"/>
                <w:lang w:val="en-GB"/>
              </w:rPr>
              <w:t xml:space="preserve">2020 </w:t>
            </w:r>
            <w:r w:rsidR="00D03F00" w:rsidRPr="0062700E">
              <w:rPr>
                <w:bCs/>
                <w:szCs w:val="22"/>
                <w:lang w:val="en-GB"/>
              </w:rPr>
              <w:t>g</w:t>
            </w:r>
            <w:r w:rsidR="006121F3" w:rsidRPr="0062700E">
              <w:rPr>
                <w:bCs/>
                <w:szCs w:val="22"/>
                <w:lang w:val="en-GB"/>
              </w:rPr>
              <w:t xml:space="preserve">lobal </w:t>
            </w:r>
            <w:r w:rsidR="00D03F00" w:rsidRPr="0062700E">
              <w:rPr>
                <w:bCs/>
                <w:szCs w:val="22"/>
                <w:lang w:val="en-GB"/>
              </w:rPr>
              <w:t>b</w:t>
            </w:r>
            <w:r w:rsidR="006121F3" w:rsidRPr="0062700E">
              <w:rPr>
                <w:bCs/>
                <w:szCs w:val="22"/>
                <w:lang w:val="en-GB"/>
              </w:rPr>
              <w:t xml:space="preserve">iodiversity </w:t>
            </w:r>
            <w:r w:rsidR="00D03F00" w:rsidRPr="0062700E">
              <w:rPr>
                <w:bCs/>
                <w:szCs w:val="22"/>
                <w:lang w:val="en-GB"/>
              </w:rPr>
              <w:t>f</w:t>
            </w:r>
            <w:r w:rsidR="006121F3" w:rsidRPr="0062700E">
              <w:rPr>
                <w:bCs/>
                <w:szCs w:val="22"/>
                <w:lang w:val="en-GB"/>
              </w:rPr>
              <w:t xml:space="preserve">ramework. </w:t>
            </w:r>
          </w:p>
          <w:p w14:paraId="343F076C" w14:textId="77777777" w:rsidR="006121F3" w:rsidRPr="0062700E" w:rsidRDefault="006121F3" w:rsidP="00690111">
            <w:pPr>
              <w:rPr>
                <w:bCs/>
                <w:szCs w:val="22"/>
                <w:lang w:val="en-GB"/>
              </w:rPr>
            </w:pPr>
          </w:p>
          <w:p w14:paraId="710C9A97" w14:textId="77777777" w:rsidR="007F3EF6" w:rsidRPr="0062700E" w:rsidRDefault="006121F3" w:rsidP="00690111">
            <w:pPr>
              <w:rPr>
                <w:bCs/>
                <w:szCs w:val="22"/>
                <w:lang w:val="en-GB"/>
              </w:rPr>
            </w:pPr>
            <w:r w:rsidRPr="0062700E">
              <w:rPr>
                <w:bCs/>
                <w:szCs w:val="22"/>
                <w:lang w:val="en-GB"/>
              </w:rPr>
              <w:t xml:space="preserve">While the current draft includes some references to tenure rights and inclusive decision-making, it would benefit from stronger linkages specifically related to inclusive </w:t>
            </w:r>
            <w:r w:rsidR="0060158B" w:rsidRPr="0062700E">
              <w:rPr>
                <w:bCs/>
                <w:szCs w:val="22"/>
                <w:lang w:val="en-GB"/>
              </w:rPr>
              <w:t xml:space="preserve">and collective </w:t>
            </w:r>
            <w:r w:rsidRPr="0062700E">
              <w:rPr>
                <w:bCs/>
                <w:szCs w:val="22"/>
                <w:lang w:val="en-GB"/>
              </w:rPr>
              <w:t xml:space="preserve">tenure rights and governance.  We strongly encourage acknowledging the role of </w:t>
            </w:r>
            <w:r w:rsidR="0060158B" w:rsidRPr="0062700E">
              <w:rPr>
                <w:bCs/>
                <w:szCs w:val="22"/>
                <w:lang w:val="en-GB"/>
              </w:rPr>
              <w:t xml:space="preserve">collective </w:t>
            </w:r>
            <w:r w:rsidRPr="0062700E">
              <w:rPr>
                <w:bCs/>
                <w:szCs w:val="22"/>
                <w:lang w:val="en-GB"/>
              </w:rPr>
              <w:t>land tenure in biodiversity conservation by including additional indicators that hold countries accountable to ensuring land rights for biodiversity conservation.</w:t>
            </w:r>
          </w:p>
          <w:p w14:paraId="0B938354" w14:textId="77777777" w:rsidR="007F3EF6" w:rsidRPr="0062700E" w:rsidRDefault="007F3EF6" w:rsidP="00690111">
            <w:pPr>
              <w:rPr>
                <w:bCs/>
                <w:szCs w:val="22"/>
                <w:lang w:val="en-GB"/>
              </w:rPr>
            </w:pPr>
          </w:p>
          <w:p w14:paraId="3521D35B" w14:textId="5FDD88A3" w:rsidR="007F3EF6" w:rsidRPr="0062700E" w:rsidRDefault="007F3EF6" w:rsidP="00690111">
            <w:pPr>
              <w:rPr>
                <w:bCs/>
                <w:szCs w:val="22"/>
                <w:lang w:val="en-GB"/>
              </w:rPr>
            </w:pPr>
            <w:r w:rsidRPr="0062700E">
              <w:rPr>
                <w:bCs/>
                <w:szCs w:val="22"/>
                <w:lang w:val="en-GB"/>
              </w:rPr>
              <w:t xml:space="preserve">It is increasingly recognized that protected areas on their own are insufficient to address our current biodiversity and climate crisis, </w:t>
            </w:r>
            <w:r w:rsidR="00BD0376" w:rsidRPr="0062700E">
              <w:rPr>
                <w:bCs/>
                <w:szCs w:val="22"/>
                <w:lang w:val="en-GB"/>
              </w:rPr>
              <w:t xml:space="preserve">and </w:t>
            </w:r>
            <w:r w:rsidRPr="0062700E">
              <w:rPr>
                <w:bCs/>
                <w:szCs w:val="22"/>
                <w:lang w:val="en-GB"/>
              </w:rPr>
              <w:t>when they are not equitably governed and effectively managed</w:t>
            </w:r>
            <w:r w:rsidR="00BD0376" w:rsidRPr="0062700E">
              <w:rPr>
                <w:bCs/>
                <w:szCs w:val="22"/>
                <w:lang w:val="en-GB"/>
              </w:rPr>
              <w:t>, they can actually contribute directly and indirectly to further injustices and inequalities, particularly affecting Indigenous peoples and local communities whose territories and areas are often overlapped by state-recognized protected areas</w:t>
            </w:r>
            <w:r w:rsidRPr="0062700E">
              <w:rPr>
                <w:bCs/>
                <w:szCs w:val="22"/>
                <w:lang w:val="en-GB"/>
              </w:rPr>
              <w:t>.</w:t>
            </w:r>
            <w:r w:rsidR="00B9059F" w:rsidRPr="0062700E">
              <w:rPr>
                <w:bCs/>
                <w:szCs w:val="22"/>
                <w:lang w:val="en-GB"/>
              </w:rPr>
              <w:t xml:space="preserve"> Targets on protected and conserved areas must address governance, equity and effectiveness; an overemphasis on spatial targets will likely lead to a rush to recognize areas just to meet these targets but without any meaningful support or </w:t>
            </w:r>
            <w:r w:rsidR="00137210" w:rsidRPr="0062700E">
              <w:rPr>
                <w:bCs/>
                <w:szCs w:val="22"/>
                <w:lang w:val="en-GB"/>
              </w:rPr>
              <w:t xml:space="preserve">even </w:t>
            </w:r>
            <w:r w:rsidR="00B9059F" w:rsidRPr="0062700E">
              <w:rPr>
                <w:bCs/>
                <w:szCs w:val="22"/>
                <w:lang w:val="en-GB"/>
              </w:rPr>
              <w:t xml:space="preserve">‘value addition’ for </w:t>
            </w:r>
            <w:r w:rsidR="00137210" w:rsidRPr="0062700E">
              <w:rPr>
                <w:bCs/>
                <w:szCs w:val="22"/>
                <w:lang w:val="en-GB"/>
              </w:rPr>
              <w:t xml:space="preserve">actual </w:t>
            </w:r>
            <w:r w:rsidR="00B9059F" w:rsidRPr="0062700E">
              <w:rPr>
                <w:bCs/>
                <w:szCs w:val="22"/>
                <w:lang w:val="en-GB"/>
              </w:rPr>
              <w:t xml:space="preserve">conservation. </w:t>
            </w:r>
            <w:r w:rsidR="00453290" w:rsidRPr="0062700E">
              <w:rPr>
                <w:bCs/>
                <w:szCs w:val="22"/>
                <w:lang w:val="en-GB"/>
              </w:rPr>
              <w:t>Area-based conservation needs to move far beyond conventional state-run p</w:t>
            </w:r>
            <w:r w:rsidRPr="0062700E">
              <w:rPr>
                <w:bCs/>
                <w:szCs w:val="22"/>
                <w:lang w:val="en-GB"/>
              </w:rPr>
              <w:t>rotected area systems</w:t>
            </w:r>
            <w:r w:rsidR="00453290" w:rsidRPr="0062700E">
              <w:rPr>
                <w:bCs/>
                <w:szCs w:val="22"/>
                <w:lang w:val="en-GB"/>
              </w:rPr>
              <w:t>, which still remain the ‘norm’ despite a raft of COP decisions</w:t>
            </w:r>
            <w:r w:rsidR="00C43FFB" w:rsidRPr="0062700E">
              <w:rPr>
                <w:bCs/>
                <w:szCs w:val="22"/>
                <w:lang w:val="en-GB"/>
              </w:rPr>
              <w:t xml:space="preserve"> that</w:t>
            </w:r>
            <w:r w:rsidRPr="0062700E">
              <w:rPr>
                <w:bCs/>
                <w:szCs w:val="22"/>
                <w:lang w:val="en-GB"/>
              </w:rPr>
              <w:t xml:space="preserve"> </w:t>
            </w:r>
            <w:r w:rsidR="00453290" w:rsidRPr="0062700E">
              <w:rPr>
                <w:bCs/>
                <w:szCs w:val="22"/>
                <w:lang w:val="en-GB"/>
              </w:rPr>
              <w:t>recogniz</w:t>
            </w:r>
            <w:r w:rsidR="00C43FFB" w:rsidRPr="0062700E">
              <w:rPr>
                <w:bCs/>
                <w:szCs w:val="22"/>
                <w:lang w:val="en-GB"/>
              </w:rPr>
              <w:t xml:space="preserve">e </w:t>
            </w:r>
            <w:r w:rsidR="00453290" w:rsidRPr="0062700E">
              <w:rPr>
                <w:bCs/>
                <w:szCs w:val="22"/>
                <w:lang w:val="en-GB"/>
              </w:rPr>
              <w:t xml:space="preserve">diverse governance types and the contributions of Indigenous peoples and local communities to conservation, </w:t>
            </w:r>
            <w:r w:rsidR="00C43FFB" w:rsidRPr="0062700E">
              <w:rPr>
                <w:bCs/>
                <w:szCs w:val="22"/>
                <w:lang w:val="en-GB"/>
              </w:rPr>
              <w:t xml:space="preserve">and </w:t>
            </w:r>
            <w:r w:rsidR="00453290" w:rsidRPr="0062700E">
              <w:rPr>
                <w:bCs/>
                <w:szCs w:val="22"/>
                <w:lang w:val="en-GB"/>
              </w:rPr>
              <w:t>underscor</w:t>
            </w:r>
            <w:r w:rsidR="00C43FFB" w:rsidRPr="0062700E">
              <w:rPr>
                <w:bCs/>
                <w:szCs w:val="22"/>
                <w:lang w:val="en-GB"/>
              </w:rPr>
              <w:t>e</w:t>
            </w:r>
            <w:r w:rsidR="00453290" w:rsidRPr="0062700E">
              <w:rPr>
                <w:bCs/>
                <w:szCs w:val="22"/>
                <w:lang w:val="en-GB"/>
              </w:rPr>
              <w:t xml:space="preserve"> the central importance of governance, participation, equity and benefit-sharing to protected areas (</w:t>
            </w:r>
            <w:r w:rsidR="00C43FFB" w:rsidRPr="0062700E">
              <w:rPr>
                <w:bCs/>
                <w:szCs w:val="22"/>
                <w:lang w:val="en-GB"/>
              </w:rPr>
              <w:t xml:space="preserve">e.g., </w:t>
            </w:r>
            <w:r w:rsidR="00453290" w:rsidRPr="0062700E">
              <w:rPr>
                <w:bCs/>
                <w:szCs w:val="22"/>
                <w:lang w:val="en-GB"/>
              </w:rPr>
              <w:t xml:space="preserve">Programme of Work on Protected Areas, Element 2). Area-based conservation needs to include diverse notions and practices of conservation and sustainable use, and appropriately recognize and support the self-determined </w:t>
            </w:r>
            <w:r w:rsidR="00251D9C" w:rsidRPr="0062700E">
              <w:rPr>
                <w:bCs/>
                <w:szCs w:val="22"/>
                <w:lang w:val="en-GB"/>
              </w:rPr>
              <w:t xml:space="preserve">governance and knowledge systems </w:t>
            </w:r>
            <w:r w:rsidR="00453290" w:rsidRPr="0062700E">
              <w:rPr>
                <w:bCs/>
                <w:szCs w:val="22"/>
                <w:lang w:val="en-GB"/>
              </w:rPr>
              <w:t>of Indigenous peoples and communities who are caring for so much of the planet’s biodiversity</w:t>
            </w:r>
            <w:r w:rsidRPr="0062700E">
              <w:rPr>
                <w:bCs/>
                <w:szCs w:val="22"/>
                <w:lang w:val="en-GB"/>
              </w:rPr>
              <w:t>.</w:t>
            </w:r>
            <w:r w:rsidR="00B9059F" w:rsidRPr="0062700E">
              <w:rPr>
                <w:bCs/>
                <w:szCs w:val="22"/>
                <w:lang w:val="en-GB"/>
              </w:rPr>
              <w:t xml:space="preserve"> It is not acceptable to ‘count’ their territories </w:t>
            </w:r>
            <w:r w:rsidR="00B9059F" w:rsidRPr="0062700E">
              <w:rPr>
                <w:bCs/>
                <w:szCs w:val="22"/>
                <w:lang w:val="en-GB"/>
              </w:rPr>
              <w:lastRenderedPageBreak/>
              <w:t xml:space="preserve">and areas towards national and international targets without counterpart recognition and support, including protection and </w:t>
            </w:r>
            <w:r w:rsidR="0062700E" w:rsidRPr="0062700E">
              <w:rPr>
                <w:bCs/>
                <w:szCs w:val="22"/>
                <w:lang w:val="en-GB"/>
              </w:rPr>
              <w:t>defence</w:t>
            </w:r>
            <w:r w:rsidR="00B9059F" w:rsidRPr="0062700E">
              <w:rPr>
                <w:bCs/>
                <w:szCs w:val="22"/>
                <w:lang w:val="en-GB"/>
              </w:rPr>
              <w:t xml:space="preserve"> against industrial threats. </w:t>
            </w:r>
            <w:r w:rsidR="004E3281" w:rsidRPr="0062700E">
              <w:rPr>
                <w:bCs/>
                <w:szCs w:val="22"/>
                <w:lang w:val="en-GB"/>
              </w:rPr>
              <w:t xml:space="preserve">The monitoring framework would benefit greatly from a better articulation of the links between land tenure, governance, and biodiversity conservation (see proposed monitoring elements and indicators below).  </w:t>
            </w:r>
          </w:p>
          <w:p w14:paraId="6DB6197B" w14:textId="77777777" w:rsidR="007F3EF6" w:rsidRPr="0062700E" w:rsidRDefault="007F3EF6" w:rsidP="00690111">
            <w:pPr>
              <w:rPr>
                <w:bCs/>
                <w:szCs w:val="22"/>
                <w:lang w:val="en-GB"/>
              </w:rPr>
            </w:pPr>
          </w:p>
          <w:p w14:paraId="7DFC7233" w14:textId="439F7E94" w:rsidR="006121F3" w:rsidRPr="0062700E" w:rsidRDefault="007F3EF6" w:rsidP="00690111">
            <w:pPr>
              <w:rPr>
                <w:bCs/>
                <w:szCs w:val="22"/>
                <w:lang w:val="en-GB"/>
              </w:rPr>
            </w:pPr>
            <w:r w:rsidRPr="0062700E">
              <w:rPr>
                <w:bCs/>
                <w:szCs w:val="22"/>
                <w:lang w:val="en-GB"/>
              </w:rPr>
              <w:t xml:space="preserve">More broadly, targets on protected and conserved areas must be </w:t>
            </w:r>
            <w:r w:rsidR="00C43FFB" w:rsidRPr="0062700E">
              <w:rPr>
                <w:bCs/>
                <w:szCs w:val="22"/>
                <w:lang w:val="en-GB"/>
              </w:rPr>
              <w:t xml:space="preserve">backed up by and </w:t>
            </w:r>
            <w:r w:rsidRPr="0062700E">
              <w:rPr>
                <w:bCs/>
                <w:szCs w:val="22"/>
                <w:lang w:val="en-GB"/>
              </w:rPr>
              <w:t>closely linked with targets on halting the drivers of biodiversity los</w:t>
            </w:r>
            <w:r w:rsidR="004E3281" w:rsidRPr="0062700E">
              <w:rPr>
                <w:bCs/>
                <w:szCs w:val="22"/>
                <w:lang w:val="en-GB"/>
              </w:rPr>
              <w:t xml:space="preserve">s.  As long as public funds are spent on </w:t>
            </w:r>
            <w:r w:rsidR="00C43FFB" w:rsidRPr="0062700E">
              <w:rPr>
                <w:bCs/>
                <w:szCs w:val="22"/>
                <w:lang w:val="en-GB"/>
              </w:rPr>
              <w:t xml:space="preserve">perverse </w:t>
            </w:r>
            <w:r w:rsidR="004E3281" w:rsidRPr="0062700E">
              <w:rPr>
                <w:bCs/>
                <w:szCs w:val="22"/>
                <w:lang w:val="en-GB"/>
              </w:rPr>
              <w:t xml:space="preserve">incentives that are harmful for biodiversity (such as monoculture plantations, </w:t>
            </w:r>
            <w:r w:rsidR="00C43FFB" w:rsidRPr="0062700E">
              <w:rPr>
                <w:bCs/>
                <w:szCs w:val="22"/>
                <w:lang w:val="en-GB"/>
              </w:rPr>
              <w:t xml:space="preserve">mining, </w:t>
            </w:r>
            <w:r w:rsidR="004E3281" w:rsidRPr="0062700E">
              <w:rPr>
                <w:bCs/>
                <w:szCs w:val="22"/>
                <w:lang w:val="en-GB"/>
              </w:rPr>
              <w:t>bioenergy, use of chemical inputs for food crops and</w:t>
            </w:r>
            <w:r w:rsidR="00C43FFB" w:rsidRPr="0062700E">
              <w:rPr>
                <w:bCs/>
                <w:szCs w:val="22"/>
                <w:lang w:val="en-GB"/>
              </w:rPr>
              <w:t xml:space="preserve"> physical</w:t>
            </w:r>
            <w:r w:rsidR="004E3281" w:rsidRPr="0062700E">
              <w:rPr>
                <w:bCs/>
                <w:szCs w:val="22"/>
                <w:lang w:val="en-GB"/>
              </w:rPr>
              <w:t xml:space="preserve"> infrastructure projects), we will continue to lose biodiversity and any positive </w:t>
            </w:r>
            <w:r w:rsidR="00C43FFB" w:rsidRPr="0062700E">
              <w:rPr>
                <w:bCs/>
                <w:szCs w:val="22"/>
                <w:lang w:val="en-GB"/>
              </w:rPr>
              <w:t xml:space="preserve">effects of protected and conserved areas </w:t>
            </w:r>
            <w:r w:rsidR="004E3281" w:rsidRPr="0062700E">
              <w:rPr>
                <w:bCs/>
                <w:szCs w:val="22"/>
                <w:lang w:val="en-GB"/>
              </w:rPr>
              <w:t xml:space="preserve">will be significantly undermined </w:t>
            </w:r>
            <w:r w:rsidR="00C43FFB" w:rsidRPr="0062700E">
              <w:rPr>
                <w:bCs/>
                <w:szCs w:val="22"/>
                <w:lang w:val="en-GB"/>
              </w:rPr>
              <w:t xml:space="preserve">if not entirely </w:t>
            </w:r>
            <w:r w:rsidR="004E3281" w:rsidRPr="0062700E">
              <w:rPr>
                <w:bCs/>
                <w:szCs w:val="22"/>
                <w:lang w:val="en-GB"/>
              </w:rPr>
              <w:t>negated.</w:t>
            </w:r>
            <w:r w:rsidR="001E7926" w:rsidRPr="0062700E">
              <w:rPr>
                <w:bCs/>
                <w:szCs w:val="22"/>
                <w:lang w:val="en-GB"/>
              </w:rPr>
              <w:t xml:space="preserve"> </w:t>
            </w:r>
            <w:r w:rsidR="00EA0E47" w:rsidRPr="0062700E">
              <w:rPr>
                <w:bCs/>
                <w:szCs w:val="22"/>
                <w:lang w:val="en-GB"/>
              </w:rPr>
              <w:t>Furthermore, the drivers of biodiversity loss are often the same direct threats to Indigenous peoples and communities and the territories and areas they conserve.</w:t>
            </w:r>
            <w:r w:rsidR="004E3281" w:rsidRPr="0062700E">
              <w:rPr>
                <w:bCs/>
                <w:szCs w:val="22"/>
                <w:lang w:val="en-GB"/>
              </w:rPr>
              <w:t xml:space="preserve"> </w:t>
            </w:r>
            <w:r w:rsidR="00B5072C" w:rsidRPr="0062700E">
              <w:rPr>
                <w:bCs/>
                <w:szCs w:val="22"/>
                <w:lang w:val="en-GB"/>
              </w:rPr>
              <w:t xml:space="preserve">It is well known that communities are under increasing threat from industrial activities, simply for defending their territories of life. The post-2020 framework needs to reject these injustices and stand with the people and communities who are putting their lives on the line to defend the nature on which we all depend. </w:t>
            </w:r>
            <w:r w:rsidR="00871124" w:rsidRPr="0062700E">
              <w:rPr>
                <w:bCs/>
                <w:szCs w:val="22"/>
                <w:lang w:val="en-GB"/>
              </w:rPr>
              <w:t>Scarce p</w:t>
            </w:r>
            <w:r w:rsidR="00852E59" w:rsidRPr="0062700E">
              <w:rPr>
                <w:bCs/>
                <w:szCs w:val="22"/>
                <w:lang w:val="en-GB"/>
              </w:rPr>
              <w:t>ublic funds should be redirected away from perverse incentives</w:t>
            </w:r>
            <w:r w:rsidR="004E3281" w:rsidRPr="0062700E">
              <w:rPr>
                <w:bCs/>
                <w:szCs w:val="22"/>
                <w:lang w:val="en-GB"/>
              </w:rPr>
              <w:t xml:space="preserve"> </w:t>
            </w:r>
            <w:r w:rsidR="00B5072C" w:rsidRPr="0062700E">
              <w:rPr>
                <w:bCs/>
                <w:szCs w:val="22"/>
                <w:lang w:val="en-GB"/>
              </w:rPr>
              <w:t xml:space="preserve">that </w:t>
            </w:r>
            <w:r w:rsidR="00871124" w:rsidRPr="0062700E">
              <w:rPr>
                <w:bCs/>
                <w:szCs w:val="22"/>
                <w:lang w:val="en-GB"/>
              </w:rPr>
              <w:t>harm</w:t>
            </w:r>
            <w:r w:rsidR="00B5072C" w:rsidRPr="0062700E">
              <w:rPr>
                <w:bCs/>
                <w:szCs w:val="22"/>
                <w:lang w:val="en-GB"/>
              </w:rPr>
              <w:t xml:space="preserve"> biodiversity and </w:t>
            </w:r>
            <w:r w:rsidR="00871124" w:rsidRPr="0062700E">
              <w:rPr>
                <w:bCs/>
                <w:szCs w:val="22"/>
                <w:lang w:val="en-GB"/>
              </w:rPr>
              <w:t xml:space="preserve">further entrench </w:t>
            </w:r>
            <w:r w:rsidR="008A70DE" w:rsidRPr="0062700E">
              <w:rPr>
                <w:bCs/>
                <w:szCs w:val="22"/>
                <w:lang w:val="en-GB"/>
              </w:rPr>
              <w:t xml:space="preserve">inequality and </w:t>
            </w:r>
            <w:r w:rsidR="00B5072C" w:rsidRPr="0062700E">
              <w:rPr>
                <w:bCs/>
                <w:szCs w:val="22"/>
                <w:lang w:val="en-GB"/>
              </w:rPr>
              <w:t xml:space="preserve">injustice </w:t>
            </w:r>
            <w:r w:rsidR="00852E59" w:rsidRPr="0062700E">
              <w:rPr>
                <w:bCs/>
                <w:szCs w:val="22"/>
                <w:lang w:val="en-GB"/>
              </w:rPr>
              <w:t>and towards p</w:t>
            </w:r>
            <w:r w:rsidR="004E3281" w:rsidRPr="0062700E">
              <w:rPr>
                <w:bCs/>
                <w:szCs w:val="22"/>
                <w:lang w:val="en-GB"/>
              </w:rPr>
              <w:t xml:space="preserve">ositive incentives </w:t>
            </w:r>
            <w:r w:rsidR="00852E59" w:rsidRPr="0062700E">
              <w:rPr>
                <w:bCs/>
                <w:szCs w:val="22"/>
                <w:lang w:val="en-GB"/>
              </w:rPr>
              <w:t xml:space="preserve">that </w:t>
            </w:r>
            <w:r w:rsidR="004E3281" w:rsidRPr="0062700E">
              <w:rPr>
                <w:bCs/>
                <w:szCs w:val="22"/>
                <w:lang w:val="en-GB"/>
              </w:rPr>
              <w:t xml:space="preserve">support systemic alternatives to the status quo (not </w:t>
            </w:r>
            <w:r w:rsidR="00C43FFB" w:rsidRPr="0062700E">
              <w:rPr>
                <w:bCs/>
                <w:szCs w:val="22"/>
                <w:lang w:val="en-GB"/>
              </w:rPr>
              <w:t xml:space="preserve">financial or </w:t>
            </w:r>
            <w:r w:rsidR="004E3281" w:rsidRPr="0062700E">
              <w:rPr>
                <w:bCs/>
                <w:szCs w:val="22"/>
                <w:lang w:val="en-GB"/>
              </w:rPr>
              <w:t>market</w:t>
            </w:r>
            <w:r w:rsidR="00C43FFB" w:rsidRPr="0062700E">
              <w:rPr>
                <w:bCs/>
                <w:szCs w:val="22"/>
                <w:lang w:val="en-GB"/>
              </w:rPr>
              <w:t>-</w:t>
            </w:r>
            <w:r w:rsidR="004E3281" w:rsidRPr="0062700E">
              <w:rPr>
                <w:bCs/>
                <w:szCs w:val="22"/>
                <w:lang w:val="en-GB"/>
              </w:rPr>
              <w:t>ba</w:t>
            </w:r>
            <w:r w:rsidR="00C43FFB" w:rsidRPr="0062700E">
              <w:rPr>
                <w:bCs/>
                <w:szCs w:val="22"/>
                <w:lang w:val="en-GB"/>
              </w:rPr>
              <w:t>s</w:t>
            </w:r>
            <w:r w:rsidR="004E3281" w:rsidRPr="0062700E">
              <w:rPr>
                <w:bCs/>
                <w:szCs w:val="22"/>
                <w:lang w:val="en-GB"/>
              </w:rPr>
              <w:t xml:space="preserve">ed mechanisms).  A leading example </w:t>
            </w:r>
            <w:r w:rsidR="00B5072C" w:rsidRPr="0062700E">
              <w:rPr>
                <w:bCs/>
                <w:szCs w:val="22"/>
                <w:lang w:val="en-GB"/>
              </w:rPr>
              <w:t xml:space="preserve">of such a positive incentive </w:t>
            </w:r>
            <w:r w:rsidR="004E3281" w:rsidRPr="0062700E">
              <w:rPr>
                <w:bCs/>
                <w:szCs w:val="22"/>
                <w:lang w:val="en-GB"/>
              </w:rPr>
              <w:t xml:space="preserve">is appropriately recognizing and supporting indigenous peoples and local communities </w:t>
            </w:r>
            <w:r w:rsidR="00C43FFB" w:rsidRPr="0062700E">
              <w:rPr>
                <w:bCs/>
                <w:szCs w:val="22"/>
                <w:lang w:val="en-GB"/>
              </w:rPr>
              <w:t xml:space="preserve">who </w:t>
            </w:r>
            <w:r w:rsidR="004E3281" w:rsidRPr="0062700E">
              <w:rPr>
                <w:bCs/>
                <w:szCs w:val="22"/>
                <w:lang w:val="en-GB"/>
              </w:rPr>
              <w:t xml:space="preserve">conserve </w:t>
            </w:r>
            <w:r w:rsidR="00C43FFB" w:rsidRPr="0062700E">
              <w:rPr>
                <w:bCs/>
                <w:szCs w:val="22"/>
                <w:lang w:val="en-GB"/>
              </w:rPr>
              <w:t xml:space="preserve">their collective </w:t>
            </w:r>
            <w:r w:rsidR="004E3281" w:rsidRPr="0062700E">
              <w:rPr>
                <w:bCs/>
                <w:szCs w:val="22"/>
                <w:lang w:val="en-GB"/>
              </w:rPr>
              <w:t>territories and areas (ICCAs</w:t>
            </w:r>
            <w:r w:rsidR="00C43FFB" w:rsidRPr="0062700E">
              <w:rPr>
                <w:bCs/>
                <w:szCs w:val="22"/>
                <w:lang w:val="en-GB"/>
              </w:rPr>
              <w:t>—</w:t>
            </w:r>
            <w:r w:rsidR="007E4018" w:rsidRPr="0062700E">
              <w:rPr>
                <w:bCs/>
                <w:szCs w:val="22"/>
                <w:lang w:val="en-GB"/>
              </w:rPr>
              <w:t>t</w:t>
            </w:r>
            <w:r w:rsidR="004E3281" w:rsidRPr="0062700E">
              <w:rPr>
                <w:bCs/>
                <w:szCs w:val="22"/>
                <w:lang w:val="en-GB"/>
              </w:rPr>
              <w:t xml:space="preserve">erritories of </w:t>
            </w:r>
            <w:r w:rsidR="007E4018" w:rsidRPr="0062700E">
              <w:rPr>
                <w:bCs/>
                <w:szCs w:val="22"/>
                <w:lang w:val="en-GB"/>
              </w:rPr>
              <w:t>l</w:t>
            </w:r>
            <w:r w:rsidR="004E3281" w:rsidRPr="0062700E">
              <w:rPr>
                <w:bCs/>
                <w:szCs w:val="22"/>
                <w:lang w:val="en-GB"/>
              </w:rPr>
              <w:t>ife) and other effective community conservation initiatives (Decision XIII/20, para. 23).  These positive incentives are not prevalent in the current framework draft</w:t>
            </w:r>
            <w:r w:rsidR="00327F7B" w:rsidRPr="0062700E">
              <w:rPr>
                <w:bCs/>
                <w:szCs w:val="22"/>
                <w:lang w:val="en-GB"/>
              </w:rPr>
              <w:t xml:space="preserve"> and should be incorporated throughout.  Specific suggestions have been included below. </w:t>
            </w:r>
          </w:p>
          <w:p w14:paraId="46745CC4" w14:textId="7917B214" w:rsidR="00534C09" w:rsidRPr="0062700E" w:rsidRDefault="00534C09" w:rsidP="00690111">
            <w:pPr>
              <w:rPr>
                <w:bCs/>
                <w:szCs w:val="22"/>
                <w:lang w:val="en-GB"/>
              </w:rPr>
            </w:pPr>
          </w:p>
          <w:p w14:paraId="4344A9E3" w14:textId="4E5E1103" w:rsidR="002D769E" w:rsidRPr="0062700E" w:rsidRDefault="00534C09" w:rsidP="002D769E">
            <w:pPr>
              <w:rPr>
                <w:bCs/>
                <w:szCs w:val="22"/>
                <w:lang w:val="en-GB"/>
              </w:rPr>
            </w:pPr>
            <w:r w:rsidRPr="0062700E">
              <w:rPr>
                <w:bCs/>
                <w:szCs w:val="22"/>
                <w:lang w:val="en-GB"/>
              </w:rPr>
              <w:t xml:space="preserve">In addition to integrating human rights throughout the post-2020 framework, we strongly encourage including a specific target on environmental human rights defenders. The increasing attacks (political, legal, economic, physical, mental and emotional) on Indigenous peoples and communities, organisations, movements and everyday citizens who are defending biodiversity and nature against external threats </w:t>
            </w:r>
            <w:r w:rsidR="0018024F" w:rsidRPr="0062700E">
              <w:rPr>
                <w:bCs/>
                <w:szCs w:val="22"/>
                <w:lang w:val="en-GB"/>
              </w:rPr>
              <w:t xml:space="preserve">are unacceptable and it should be the </w:t>
            </w:r>
            <w:r w:rsidR="0062700E" w:rsidRPr="0062700E">
              <w:rPr>
                <w:bCs/>
                <w:szCs w:val="22"/>
                <w:lang w:val="en-GB"/>
              </w:rPr>
              <w:t>utmost</w:t>
            </w:r>
            <w:r w:rsidR="0018024F" w:rsidRPr="0062700E">
              <w:rPr>
                <w:bCs/>
                <w:szCs w:val="22"/>
                <w:lang w:val="en-GB"/>
              </w:rPr>
              <w:t xml:space="preserve"> priority to ensure they are protected and can continue their work safely.  A key need is to focus more on collective protections (in addition to individual protections) as people primarily work collectively to defend biodiversity and associated human rights. </w:t>
            </w:r>
            <w:r w:rsidR="002D769E" w:rsidRPr="0062700E">
              <w:rPr>
                <w:bCs/>
                <w:szCs w:val="22"/>
                <w:lang w:val="en-GB"/>
              </w:rPr>
              <w:t xml:space="preserve">This proposed target is closely related to SDG 16 on environmental democracy, good governance and human rights. </w:t>
            </w:r>
          </w:p>
          <w:p w14:paraId="58B60BBB" w14:textId="16F335F6" w:rsidR="002C4727" w:rsidRPr="0062700E" w:rsidRDefault="0018024F" w:rsidP="002D769E">
            <w:pPr>
              <w:rPr>
                <w:bCs/>
                <w:szCs w:val="22"/>
                <w:lang w:val="en-GB"/>
              </w:rPr>
            </w:pPr>
            <w:r w:rsidRPr="0062700E">
              <w:rPr>
                <w:bCs/>
                <w:szCs w:val="22"/>
                <w:lang w:val="en-GB"/>
              </w:rPr>
              <w:t xml:space="preserve"> </w:t>
            </w:r>
          </w:p>
          <w:p w14:paraId="5AECF2DA" w14:textId="0B69D2E5" w:rsidR="002C4727" w:rsidRPr="0062700E" w:rsidRDefault="002C4727" w:rsidP="00690111">
            <w:pPr>
              <w:rPr>
                <w:bCs/>
                <w:szCs w:val="22"/>
                <w:lang w:val="en-GB"/>
              </w:rPr>
            </w:pPr>
            <w:r w:rsidRPr="0062700E">
              <w:rPr>
                <w:bCs/>
                <w:szCs w:val="22"/>
                <w:lang w:val="en-GB"/>
              </w:rPr>
              <w:t xml:space="preserve">In terms of </w:t>
            </w:r>
            <w:r w:rsidR="0046240C" w:rsidRPr="0062700E">
              <w:rPr>
                <w:bCs/>
                <w:szCs w:val="22"/>
                <w:lang w:val="en-GB"/>
              </w:rPr>
              <w:t>monitoring elements and indicators</w:t>
            </w:r>
            <w:r w:rsidRPr="0062700E">
              <w:rPr>
                <w:bCs/>
                <w:szCs w:val="22"/>
                <w:lang w:val="en-GB"/>
              </w:rPr>
              <w:t xml:space="preserve">, we </w:t>
            </w:r>
            <w:r w:rsidR="0046240C" w:rsidRPr="0062700E">
              <w:rPr>
                <w:bCs/>
                <w:szCs w:val="22"/>
                <w:lang w:val="en-GB"/>
              </w:rPr>
              <w:t xml:space="preserve">firmly believe that these should be based on multiple types of knowledge and evidence, including indigenous and local knowledge systems as well as social science. The framework should promote and further develop culturally-relevant and community-based monitoring and reporting indicators which can provide strong evidence, lead to better tracking and enable meaningful action on the ground to address local issues and key threats. </w:t>
            </w:r>
            <w:r w:rsidR="000C5A9A" w:rsidRPr="0062700E">
              <w:rPr>
                <w:bCs/>
                <w:szCs w:val="22"/>
                <w:lang w:val="en-GB"/>
              </w:rPr>
              <w:t xml:space="preserve"> Possible specific indicators have been noted below. </w:t>
            </w:r>
            <w:r w:rsidR="00C41AD6" w:rsidRPr="0062700E">
              <w:rPr>
                <w:bCs/>
                <w:szCs w:val="22"/>
                <w:lang w:val="en-GB"/>
              </w:rPr>
              <w:t xml:space="preserve">  </w:t>
            </w:r>
          </w:p>
          <w:p w14:paraId="1FB87F09" w14:textId="77777777" w:rsidR="007F3EF6" w:rsidRPr="0062700E" w:rsidRDefault="007F3EF6" w:rsidP="00690111">
            <w:pPr>
              <w:rPr>
                <w:bCs/>
                <w:sz w:val="22"/>
                <w:szCs w:val="22"/>
                <w:lang w:val="en-GB"/>
              </w:rPr>
            </w:pPr>
          </w:p>
        </w:tc>
      </w:tr>
      <w:tr w:rsidR="004F0B61" w:rsidRPr="0062700E" w14:paraId="79E1A53B" w14:textId="77777777" w:rsidTr="00796A1A">
        <w:trPr>
          <w:trHeight w:val="224"/>
        </w:trPr>
        <w:tc>
          <w:tcPr>
            <w:tcW w:w="9606" w:type="dxa"/>
            <w:gridSpan w:val="6"/>
          </w:tcPr>
          <w:p w14:paraId="65794F3C" w14:textId="77777777" w:rsidR="004F0B61" w:rsidRPr="0062700E" w:rsidRDefault="004F0B61" w:rsidP="00690111">
            <w:pPr>
              <w:rPr>
                <w:b/>
                <w:sz w:val="22"/>
                <w:szCs w:val="22"/>
                <w:lang w:val="en-GB"/>
              </w:rPr>
            </w:pPr>
          </w:p>
        </w:tc>
      </w:tr>
      <w:tr w:rsidR="004F0B61" w:rsidRPr="0062700E" w14:paraId="1586951E" w14:textId="77777777" w:rsidTr="00796A1A">
        <w:trPr>
          <w:trHeight w:val="224"/>
        </w:trPr>
        <w:tc>
          <w:tcPr>
            <w:tcW w:w="9606" w:type="dxa"/>
            <w:gridSpan w:val="6"/>
            <w:shd w:val="clear" w:color="auto" w:fill="C0C0C0"/>
          </w:tcPr>
          <w:p w14:paraId="608CD2F9" w14:textId="77777777" w:rsidR="004F0B61" w:rsidRPr="0062700E" w:rsidRDefault="004F0B61" w:rsidP="00796A1A">
            <w:pPr>
              <w:jc w:val="center"/>
              <w:rPr>
                <w:b/>
                <w:i/>
                <w:lang w:val="en-GB"/>
              </w:rPr>
            </w:pPr>
            <w:r w:rsidRPr="0062700E">
              <w:rPr>
                <w:b/>
                <w:i/>
                <w:highlight w:val="lightGray"/>
                <w:lang w:val="en-GB"/>
              </w:rPr>
              <w:t>Specific Comments</w:t>
            </w:r>
          </w:p>
        </w:tc>
      </w:tr>
      <w:tr w:rsidR="005D2E65" w:rsidRPr="0062700E" w14:paraId="71FBBB40" w14:textId="77777777" w:rsidTr="005D2E65">
        <w:trPr>
          <w:trHeight w:val="224"/>
        </w:trPr>
        <w:tc>
          <w:tcPr>
            <w:tcW w:w="817" w:type="dxa"/>
          </w:tcPr>
          <w:p w14:paraId="671360A2" w14:textId="77777777" w:rsidR="005D2E65" w:rsidRPr="0062700E" w:rsidRDefault="005D2E65" w:rsidP="00690111">
            <w:pPr>
              <w:rPr>
                <w:b/>
                <w:sz w:val="22"/>
                <w:szCs w:val="22"/>
                <w:lang w:val="en-GB"/>
              </w:rPr>
            </w:pPr>
            <w:r w:rsidRPr="0062700E">
              <w:rPr>
                <w:b/>
                <w:sz w:val="22"/>
                <w:szCs w:val="22"/>
                <w:lang w:val="en-GB"/>
              </w:rPr>
              <w:t>Table</w:t>
            </w:r>
          </w:p>
        </w:tc>
        <w:tc>
          <w:tcPr>
            <w:tcW w:w="815" w:type="dxa"/>
          </w:tcPr>
          <w:p w14:paraId="6D6F24A7" w14:textId="77777777" w:rsidR="005D2E65" w:rsidRPr="0062700E" w:rsidRDefault="005D2E65" w:rsidP="00690111">
            <w:pPr>
              <w:rPr>
                <w:b/>
                <w:sz w:val="22"/>
                <w:szCs w:val="22"/>
                <w:lang w:val="en-GB"/>
              </w:rPr>
            </w:pPr>
            <w:r w:rsidRPr="0062700E">
              <w:rPr>
                <w:b/>
                <w:sz w:val="22"/>
                <w:szCs w:val="22"/>
                <w:lang w:val="en-GB"/>
              </w:rPr>
              <w:t>Page</w:t>
            </w:r>
          </w:p>
        </w:tc>
        <w:tc>
          <w:tcPr>
            <w:tcW w:w="974" w:type="dxa"/>
          </w:tcPr>
          <w:p w14:paraId="5BDE19E5" w14:textId="77777777" w:rsidR="005D2E65" w:rsidRPr="0062700E" w:rsidRDefault="005D2E65" w:rsidP="00690111">
            <w:pPr>
              <w:rPr>
                <w:b/>
                <w:lang w:val="en-GB"/>
              </w:rPr>
            </w:pPr>
            <w:r w:rsidRPr="0062700E">
              <w:rPr>
                <w:b/>
                <w:sz w:val="22"/>
                <w:szCs w:val="22"/>
                <w:lang w:val="en-GB"/>
              </w:rPr>
              <w:t>Column letter</w:t>
            </w:r>
          </w:p>
        </w:tc>
        <w:tc>
          <w:tcPr>
            <w:tcW w:w="1215" w:type="dxa"/>
            <w:gridSpan w:val="2"/>
          </w:tcPr>
          <w:p w14:paraId="72945083" w14:textId="77777777" w:rsidR="005D2E65" w:rsidRPr="0062700E" w:rsidRDefault="005D2E65" w:rsidP="00211568">
            <w:pPr>
              <w:rPr>
                <w:b/>
                <w:lang w:val="en-GB"/>
              </w:rPr>
            </w:pPr>
            <w:r w:rsidRPr="0062700E">
              <w:rPr>
                <w:b/>
                <w:lang w:val="en-GB"/>
              </w:rPr>
              <w:t>Row number</w:t>
            </w:r>
          </w:p>
        </w:tc>
        <w:tc>
          <w:tcPr>
            <w:tcW w:w="5785" w:type="dxa"/>
          </w:tcPr>
          <w:p w14:paraId="3EE1A820" w14:textId="77777777" w:rsidR="005D2E65" w:rsidRPr="0062700E" w:rsidRDefault="005D2E65" w:rsidP="00690111">
            <w:pPr>
              <w:rPr>
                <w:b/>
                <w:lang w:val="en-GB"/>
              </w:rPr>
            </w:pPr>
            <w:r w:rsidRPr="0062700E">
              <w:rPr>
                <w:b/>
                <w:sz w:val="22"/>
                <w:szCs w:val="22"/>
                <w:lang w:val="en-GB"/>
              </w:rPr>
              <w:t>Comment</w:t>
            </w:r>
          </w:p>
        </w:tc>
      </w:tr>
      <w:tr w:rsidR="005D2E65" w:rsidRPr="0062700E" w14:paraId="41567406" w14:textId="77777777" w:rsidTr="005D2E65">
        <w:trPr>
          <w:trHeight w:val="224"/>
        </w:trPr>
        <w:tc>
          <w:tcPr>
            <w:tcW w:w="817" w:type="dxa"/>
          </w:tcPr>
          <w:p w14:paraId="614B681B" w14:textId="77777777" w:rsidR="005D2E65" w:rsidRPr="0062700E" w:rsidRDefault="00B64F80" w:rsidP="00690111">
            <w:pPr>
              <w:rPr>
                <w:sz w:val="22"/>
                <w:szCs w:val="22"/>
                <w:lang w:val="en-GB"/>
              </w:rPr>
            </w:pPr>
            <w:r w:rsidRPr="0062700E">
              <w:rPr>
                <w:sz w:val="22"/>
                <w:szCs w:val="22"/>
                <w:lang w:val="en-GB"/>
              </w:rPr>
              <w:t>0</w:t>
            </w:r>
          </w:p>
        </w:tc>
        <w:tc>
          <w:tcPr>
            <w:tcW w:w="815" w:type="dxa"/>
          </w:tcPr>
          <w:p w14:paraId="24E5B657" w14:textId="77777777" w:rsidR="005D2E65" w:rsidRPr="0062700E" w:rsidRDefault="00B64F80" w:rsidP="00690111">
            <w:pPr>
              <w:rPr>
                <w:sz w:val="22"/>
                <w:szCs w:val="22"/>
                <w:lang w:val="en-GB"/>
              </w:rPr>
            </w:pPr>
            <w:r w:rsidRPr="0062700E">
              <w:rPr>
                <w:sz w:val="22"/>
                <w:szCs w:val="22"/>
                <w:lang w:val="en-GB"/>
              </w:rPr>
              <w:t>0</w:t>
            </w:r>
          </w:p>
        </w:tc>
        <w:tc>
          <w:tcPr>
            <w:tcW w:w="974" w:type="dxa"/>
          </w:tcPr>
          <w:p w14:paraId="1B90FBFA" w14:textId="77777777" w:rsidR="005D2E65" w:rsidRPr="0062700E" w:rsidRDefault="00B64F80" w:rsidP="00690111">
            <w:pPr>
              <w:rPr>
                <w:lang w:val="en-GB"/>
              </w:rPr>
            </w:pPr>
            <w:r w:rsidRPr="0062700E">
              <w:rPr>
                <w:lang w:val="en-GB"/>
              </w:rPr>
              <w:t>0</w:t>
            </w:r>
          </w:p>
        </w:tc>
        <w:tc>
          <w:tcPr>
            <w:tcW w:w="1215" w:type="dxa"/>
            <w:gridSpan w:val="2"/>
          </w:tcPr>
          <w:p w14:paraId="241F6D87" w14:textId="77777777" w:rsidR="005D2E65" w:rsidRPr="0062700E" w:rsidRDefault="00B64F80" w:rsidP="00690111">
            <w:pPr>
              <w:rPr>
                <w:lang w:val="en-GB"/>
              </w:rPr>
            </w:pPr>
            <w:r w:rsidRPr="0062700E">
              <w:rPr>
                <w:lang w:val="en-GB"/>
              </w:rPr>
              <w:t>0</w:t>
            </w:r>
          </w:p>
        </w:tc>
        <w:tc>
          <w:tcPr>
            <w:tcW w:w="5785" w:type="dxa"/>
          </w:tcPr>
          <w:p w14:paraId="64B9A75C" w14:textId="75CC5B54" w:rsidR="005D2E65" w:rsidRPr="0062700E" w:rsidRDefault="002C35EE" w:rsidP="00AA4010">
            <w:pPr>
              <w:rPr>
                <w:lang w:val="en-GB"/>
              </w:rPr>
            </w:pPr>
            <w:r w:rsidRPr="0062700E">
              <w:rPr>
                <w:lang w:val="en-GB"/>
              </w:rPr>
              <w:t xml:space="preserve">Recommend recognizing the importance of local actions and solutions and the effective involvement and participation of indigenous peoples and local </w:t>
            </w:r>
            <w:r w:rsidRPr="0062700E">
              <w:rPr>
                <w:lang w:val="en-GB"/>
              </w:rPr>
              <w:lastRenderedPageBreak/>
              <w:t xml:space="preserve">communities throughout the framework.  Although </w:t>
            </w:r>
            <w:r w:rsidR="00AA4010" w:rsidRPr="0062700E">
              <w:rPr>
                <w:lang w:val="en-GB"/>
              </w:rPr>
              <w:t xml:space="preserve">the </w:t>
            </w:r>
            <w:r w:rsidRPr="0062700E">
              <w:rPr>
                <w:lang w:val="en-GB"/>
              </w:rPr>
              <w:t xml:space="preserve">CBD is a multilateral agreement with state governments as the only Parties, </w:t>
            </w:r>
            <w:r w:rsidR="00AA4010" w:rsidRPr="0062700E">
              <w:rPr>
                <w:lang w:val="en-GB"/>
              </w:rPr>
              <w:t>they</w:t>
            </w:r>
            <w:r w:rsidRPr="0062700E">
              <w:rPr>
                <w:lang w:val="en-GB"/>
              </w:rPr>
              <w:t xml:space="preserve"> are not the only actors who contribute to the implementation of the CBD.  </w:t>
            </w:r>
            <w:r w:rsidR="00CE354F" w:rsidRPr="0062700E">
              <w:rPr>
                <w:lang w:val="en-GB"/>
              </w:rPr>
              <w:t>Monitoring elements and indicators that recognize r</w:t>
            </w:r>
            <w:r w:rsidRPr="0062700E">
              <w:rPr>
                <w:lang w:val="en-GB"/>
              </w:rPr>
              <w:t xml:space="preserve">ights-holders, including Indigenous peoples and local communities, </w:t>
            </w:r>
            <w:r w:rsidR="00CE354F" w:rsidRPr="0062700E">
              <w:rPr>
                <w:lang w:val="en-GB"/>
              </w:rPr>
              <w:t xml:space="preserve">must be present throughout the framework for its effective delivery. </w:t>
            </w:r>
            <w:r w:rsidRPr="0062700E">
              <w:rPr>
                <w:lang w:val="en-GB"/>
              </w:rPr>
              <w:t xml:space="preserve">  </w:t>
            </w:r>
          </w:p>
        </w:tc>
      </w:tr>
      <w:tr w:rsidR="005D2E65" w:rsidRPr="0062700E" w14:paraId="0A806ACA" w14:textId="77777777" w:rsidTr="005D2E65">
        <w:trPr>
          <w:trHeight w:val="233"/>
        </w:trPr>
        <w:tc>
          <w:tcPr>
            <w:tcW w:w="817" w:type="dxa"/>
          </w:tcPr>
          <w:p w14:paraId="2CADF0D5" w14:textId="77777777" w:rsidR="005D2E65" w:rsidRPr="0062700E" w:rsidRDefault="00B64F80" w:rsidP="005D2E65">
            <w:pPr>
              <w:rPr>
                <w:lang w:val="en-GB"/>
              </w:rPr>
            </w:pPr>
            <w:r w:rsidRPr="0062700E">
              <w:rPr>
                <w:lang w:val="en-GB"/>
              </w:rPr>
              <w:lastRenderedPageBreak/>
              <w:t>1</w:t>
            </w:r>
          </w:p>
        </w:tc>
        <w:tc>
          <w:tcPr>
            <w:tcW w:w="815" w:type="dxa"/>
          </w:tcPr>
          <w:p w14:paraId="27FCEF60" w14:textId="77777777" w:rsidR="005D2E65" w:rsidRPr="0062700E" w:rsidRDefault="00B64F80" w:rsidP="005D2E65">
            <w:pPr>
              <w:rPr>
                <w:lang w:val="en-GB"/>
              </w:rPr>
            </w:pPr>
            <w:r w:rsidRPr="0062700E">
              <w:rPr>
                <w:lang w:val="en-GB"/>
              </w:rPr>
              <w:t>2</w:t>
            </w:r>
          </w:p>
        </w:tc>
        <w:tc>
          <w:tcPr>
            <w:tcW w:w="974" w:type="dxa"/>
          </w:tcPr>
          <w:p w14:paraId="2D78011B" w14:textId="77777777" w:rsidR="005D2E65" w:rsidRPr="0062700E" w:rsidRDefault="00B64F80" w:rsidP="005D2E65">
            <w:pPr>
              <w:rPr>
                <w:lang w:val="en-GB"/>
              </w:rPr>
            </w:pPr>
            <w:r w:rsidRPr="0062700E">
              <w:rPr>
                <w:lang w:val="en-GB"/>
              </w:rPr>
              <w:t>B</w:t>
            </w:r>
          </w:p>
        </w:tc>
        <w:tc>
          <w:tcPr>
            <w:tcW w:w="1215" w:type="dxa"/>
            <w:gridSpan w:val="2"/>
          </w:tcPr>
          <w:p w14:paraId="6FCF2A5E" w14:textId="77777777" w:rsidR="005D2E65" w:rsidRPr="0062700E" w:rsidRDefault="00B64F80" w:rsidP="005D2E65">
            <w:pPr>
              <w:rPr>
                <w:lang w:val="en-GB"/>
              </w:rPr>
            </w:pPr>
            <w:r w:rsidRPr="0062700E">
              <w:rPr>
                <w:lang w:val="en-GB"/>
              </w:rPr>
              <w:t>1-</w:t>
            </w:r>
            <w:r w:rsidR="001D7237" w:rsidRPr="0062700E">
              <w:rPr>
                <w:lang w:val="en-GB"/>
              </w:rPr>
              <w:t>2</w:t>
            </w:r>
          </w:p>
        </w:tc>
        <w:tc>
          <w:tcPr>
            <w:tcW w:w="5785" w:type="dxa"/>
          </w:tcPr>
          <w:p w14:paraId="799955E0" w14:textId="73E37782" w:rsidR="005D2E65" w:rsidRPr="0062700E" w:rsidRDefault="00B64F80" w:rsidP="007161BE">
            <w:pPr>
              <w:rPr>
                <w:lang w:val="en-GB"/>
              </w:rPr>
            </w:pPr>
            <w:r w:rsidRPr="0062700E">
              <w:rPr>
                <w:lang w:val="en-GB"/>
              </w:rPr>
              <w:t>Any increase in extent of natural ecosystem</w:t>
            </w:r>
            <w:r w:rsidR="002C35EE" w:rsidRPr="0062700E">
              <w:rPr>
                <w:lang w:val="en-GB"/>
              </w:rPr>
              <w:t>s</w:t>
            </w:r>
            <w:r w:rsidRPr="0062700E">
              <w:rPr>
                <w:lang w:val="en-GB"/>
              </w:rPr>
              <w:t xml:space="preserve"> must have monitoring elements and indicators that </w:t>
            </w:r>
            <w:r w:rsidR="002C35EE" w:rsidRPr="0062700E">
              <w:rPr>
                <w:lang w:val="en-GB"/>
              </w:rPr>
              <w:t xml:space="preserve">recognize the importance of </w:t>
            </w:r>
            <w:r w:rsidR="001D7237" w:rsidRPr="0062700E">
              <w:rPr>
                <w:lang w:val="en-GB"/>
              </w:rPr>
              <w:t xml:space="preserve">Indigenous territories.  </w:t>
            </w:r>
            <w:r w:rsidR="007C153C" w:rsidRPr="0062700E">
              <w:rPr>
                <w:lang w:val="en-GB"/>
              </w:rPr>
              <w:t>A</w:t>
            </w:r>
            <w:r w:rsidR="002C35EE" w:rsidRPr="0062700E">
              <w:rPr>
                <w:lang w:val="en-GB"/>
              </w:rPr>
              <w:t xml:space="preserve"> high proportion of remaining biodiversity</w:t>
            </w:r>
            <w:r w:rsidR="002E19F8" w:rsidRPr="0062700E">
              <w:rPr>
                <w:lang w:val="en-GB"/>
              </w:rPr>
              <w:t xml:space="preserve"> </w:t>
            </w:r>
            <w:r w:rsidR="002C35EE" w:rsidRPr="0062700E">
              <w:rPr>
                <w:lang w:val="en-GB"/>
              </w:rPr>
              <w:t xml:space="preserve">and intact ecosystems are on lands which indigenous peoples govern and/or have rights over.  </w:t>
            </w:r>
            <w:r w:rsidR="0019226A" w:rsidRPr="0062700E">
              <w:rPr>
                <w:lang w:val="en-GB"/>
              </w:rPr>
              <w:t xml:space="preserve">Appropriately recognizing collective lands, waters and territories of life of Indigenous peoples and local communities </w:t>
            </w:r>
            <w:r w:rsidR="002E19F8" w:rsidRPr="0062700E">
              <w:rPr>
                <w:lang w:val="en-GB"/>
              </w:rPr>
              <w:t xml:space="preserve">is fundamental </w:t>
            </w:r>
            <w:r w:rsidR="007933BF" w:rsidRPr="0062700E">
              <w:rPr>
                <w:lang w:val="en-GB"/>
              </w:rPr>
              <w:t xml:space="preserve">to </w:t>
            </w:r>
            <w:r w:rsidR="002E19F8" w:rsidRPr="0062700E">
              <w:rPr>
                <w:lang w:val="en-GB"/>
              </w:rPr>
              <w:t>achieving this goal.</w:t>
            </w:r>
            <w:r w:rsidR="0019226A" w:rsidRPr="0062700E">
              <w:rPr>
                <w:lang w:val="en-GB"/>
              </w:rPr>
              <w:t xml:space="preserve"> </w:t>
            </w:r>
            <w:r w:rsidR="001D7237" w:rsidRPr="0062700E">
              <w:rPr>
                <w:lang w:val="en-GB"/>
              </w:rPr>
              <w:t xml:space="preserve">  </w:t>
            </w:r>
            <w:r w:rsidR="002C35EE" w:rsidRPr="0062700E">
              <w:rPr>
                <w:lang w:val="en-GB"/>
              </w:rPr>
              <w:t xml:space="preserve">We suggest the following as </w:t>
            </w:r>
            <w:r w:rsidR="001D7237" w:rsidRPr="0062700E">
              <w:rPr>
                <w:lang w:val="en-GB"/>
              </w:rPr>
              <w:t xml:space="preserve">a </w:t>
            </w:r>
            <w:r w:rsidR="002C35EE" w:rsidRPr="0062700E">
              <w:rPr>
                <w:lang w:val="en-GB"/>
              </w:rPr>
              <w:t xml:space="preserve">possible </w:t>
            </w:r>
            <w:r w:rsidR="00F02E9D" w:rsidRPr="0062700E">
              <w:rPr>
                <w:lang w:val="en-GB"/>
              </w:rPr>
              <w:t>monitoring elements</w:t>
            </w:r>
            <w:r w:rsidR="001D7237" w:rsidRPr="0062700E">
              <w:rPr>
                <w:lang w:val="en-GB"/>
              </w:rPr>
              <w:t>:</w:t>
            </w:r>
            <w:r w:rsidR="0019226A" w:rsidRPr="0062700E">
              <w:rPr>
                <w:lang w:val="en-GB"/>
              </w:rPr>
              <w:t xml:space="preserve"> </w:t>
            </w:r>
            <w:r w:rsidR="00F02E9D" w:rsidRPr="0062700E">
              <w:rPr>
                <w:lang w:val="en-GB"/>
              </w:rPr>
              <w:t>number of initiatives supporting IPLCs</w:t>
            </w:r>
            <w:r w:rsidR="00A74EBD" w:rsidRPr="0062700E">
              <w:rPr>
                <w:lang w:val="en-GB"/>
              </w:rPr>
              <w:t>’ collective lands, waters and territories</w:t>
            </w:r>
            <w:r w:rsidR="00160857" w:rsidRPr="0062700E">
              <w:rPr>
                <w:lang w:val="en-GB"/>
              </w:rPr>
              <w:t>;</w:t>
            </w:r>
            <w:r w:rsidR="007161BE" w:rsidRPr="0062700E">
              <w:rPr>
                <w:lang w:val="en-GB"/>
              </w:rPr>
              <w:t xml:space="preserve"> number and extent of</w:t>
            </w:r>
            <w:r w:rsidR="00A74EBD" w:rsidRPr="0062700E">
              <w:rPr>
                <w:lang w:val="en-GB"/>
              </w:rPr>
              <w:t xml:space="preserve"> community-determined and community-governed protected and </w:t>
            </w:r>
            <w:r w:rsidR="00F02E9D" w:rsidRPr="0062700E">
              <w:rPr>
                <w:lang w:val="en-GB"/>
              </w:rPr>
              <w:t>conserved area</w:t>
            </w:r>
            <w:r w:rsidR="00A74EBD" w:rsidRPr="0062700E">
              <w:rPr>
                <w:lang w:val="en-GB"/>
              </w:rPr>
              <w:t>s</w:t>
            </w:r>
            <w:r w:rsidR="00160857" w:rsidRPr="0062700E">
              <w:rPr>
                <w:lang w:val="en-GB"/>
              </w:rPr>
              <w:t>;</w:t>
            </w:r>
            <w:r w:rsidR="00F02E9D" w:rsidRPr="0062700E">
              <w:rPr>
                <w:lang w:val="en-GB"/>
              </w:rPr>
              <w:t xml:space="preserve"> increased protection and legal recognition of collective land and water rights of IPLCs</w:t>
            </w:r>
            <w:r w:rsidR="007C153C" w:rsidRPr="0062700E">
              <w:rPr>
                <w:lang w:val="en-GB"/>
              </w:rPr>
              <w:t>, trends in the extent and security of customary and collective land tenure of IPLCs</w:t>
            </w:r>
            <w:r w:rsidR="00F02E9D" w:rsidRPr="0062700E">
              <w:rPr>
                <w:lang w:val="en-GB"/>
              </w:rPr>
              <w:t xml:space="preserve">.  As possible indicators: ICCA </w:t>
            </w:r>
            <w:r w:rsidR="00587814" w:rsidRPr="0062700E">
              <w:rPr>
                <w:lang w:val="en-GB"/>
              </w:rPr>
              <w:t>R</w:t>
            </w:r>
            <w:r w:rsidR="00F02E9D" w:rsidRPr="0062700E">
              <w:rPr>
                <w:lang w:val="en-GB"/>
              </w:rPr>
              <w:t xml:space="preserve">egistry, </w:t>
            </w:r>
            <w:r w:rsidR="0019226A" w:rsidRPr="0062700E">
              <w:rPr>
                <w:lang w:val="en-GB"/>
              </w:rPr>
              <w:t xml:space="preserve">increased </w:t>
            </w:r>
            <w:r w:rsidR="001D7237" w:rsidRPr="0062700E">
              <w:rPr>
                <w:lang w:val="en-GB"/>
              </w:rPr>
              <w:t>p</w:t>
            </w:r>
            <w:r w:rsidR="000E2CC9" w:rsidRPr="0062700E">
              <w:rPr>
                <w:lang w:val="en-GB"/>
              </w:rPr>
              <w:t xml:space="preserve">ercentage of </w:t>
            </w:r>
            <w:r w:rsidR="001D7237" w:rsidRPr="0062700E">
              <w:rPr>
                <w:lang w:val="en-GB"/>
              </w:rPr>
              <w:t>forest</w:t>
            </w:r>
            <w:r w:rsidR="000E2CC9" w:rsidRPr="0062700E">
              <w:rPr>
                <w:lang w:val="en-GB"/>
              </w:rPr>
              <w:t xml:space="preserve"> ecosystems under the collective </w:t>
            </w:r>
            <w:r w:rsidR="00607EBA" w:rsidRPr="0062700E">
              <w:rPr>
                <w:lang w:val="en-GB"/>
              </w:rPr>
              <w:t xml:space="preserve">governance and active stewardship </w:t>
            </w:r>
            <w:r w:rsidR="000E2CC9" w:rsidRPr="0062700E">
              <w:rPr>
                <w:lang w:val="en-GB"/>
              </w:rPr>
              <w:t>of Indigenous peoples and local communities against 2020 baselines</w:t>
            </w:r>
            <w:r w:rsidR="002C35EE" w:rsidRPr="0062700E">
              <w:rPr>
                <w:lang w:val="en-GB"/>
              </w:rPr>
              <w:t xml:space="preserve"> </w:t>
            </w:r>
          </w:p>
        </w:tc>
      </w:tr>
      <w:tr w:rsidR="005D2E65" w:rsidRPr="0062700E" w14:paraId="4331B5D7" w14:textId="77777777" w:rsidTr="005D2E65">
        <w:trPr>
          <w:trHeight w:val="224"/>
        </w:trPr>
        <w:tc>
          <w:tcPr>
            <w:tcW w:w="817" w:type="dxa"/>
          </w:tcPr>
          <w:p w14:paraId="7B8D76F5" w14:textId="77777777" w:rsidR="005D2E65" w:rsidRPr="0062700E" w:rsidRDefault="0019226A" w:rsidP="005D2E65">
            <w:pPr>
              <w:rPr>
                <w:lang w:val="en-GB"/>
              </w:rPr>
            </w:pPr>
            <w:r w:rsidRPr="0062700E">
              <w:rPr>
                <w:lang w:val="en-GB"/>
              </w:rPr>
              <w:t>1</w:t>
            </w:r>
          </w:p>
        </w:tc>
        <w:tc>
          <w:tcPr>
            <w:tcW w:w="815" w:type="dxa"/>
          </w:tcPr>
          <w:p w14:paraId="7D19A251" w14:textId="77777777" w:rsidR="005D2E65" w:rsidRPr="0062700E" w:rsidRDefault="0019226A" w:rsidP="005D2E65">
            <w:pPr>
              <w:rPr>
                <w:lang w:val="en-GB"/>
              </w:rPr>
            </w:pPr>
            <w:r w:rsidRPr="0062700E">
              <w:rPr>
                <w:lang w:val="en-GB"/>
              </w:rPr>
              <w:t>2</w:t>
            </w:r>
          </w:p>
        </w:tc>
        <w:tc>
          <w:tcPr>
            <w:tcW w:w="974" w:type="dxa"/>
          </w:tcPr>
          <w:p w14:paraId="5B74ED71" w14:textId="77777777" w:rsidR="005D2E65" w:rsidRPr="0062700E" w:rsidRDefault="0019226A" w:rsidP="005D2E65">
            <w:pPr>
              <w:rPr>
                <w:lang w:val="en-GB"/>
              </w:rPr>
            </w:pPr>
            <w:r w:rsidRPr="0062700E">
              <w:rPr>
                <w:lang w:val="en-GB"/>
              </w:rPr>
              <w:t>B</w:t>
            </w:r>
          </w:p>
        </w:tc>
        <w:tc>
          <w:tcPr>
            <w:tcW w:w="1215" w:type="dxa"/>
            <w:gridSpan w:val="2"/>
          </w:tcPr>
          <w:p w14:paraId="2FC5F72C" w14:textId="77777777" w:rsidR="005D2E65" w:rsidRPr="0062700E" w:rsidRDefault="0019226A" w:rsidP="005D2E65">
            <w:pPr>
              <w:rPr>
                <w:lang w:val="en-GB"/>
              </w:rPr>
            </w:pPr>
            <w:r w:rsidRPr="0062700E">
              <w:rPr>
                <w:lang w:val="en-GB"/>
              </w:rPr>
              <w:t>3-4</w:t>
            </w:r>
          </w:p>
        </w:tc>
        <w:tc>
          <w:tcPr>
            <w:tcW w:w="5785" w:type="dxa"/>
          </w:tcPr>
          <w:p w14:paraId="58A814C5" w14:textId="09BF730A" w:rsidR="005D2E65" w:rsidRPr="0062700E" w:rsidRDefault="0019226A" w:rsidP="005D2E65">
            <w:pPr>
              <w:rPr>
                <w:lang w:val="en-GB"/>
              </w:rPr>
            </w:pPr>
            <w:r w:rsidRPr="0062700E">
              <w:rPr>
                <w:lang w:val="en-GB"/>
              </w:rPr>
              <w:t xml:space="preserve">Suggested indicator: increased percentage of other terrestrial ecosystems under the collective </w:t>
            </w:r>
            <w:r w:rsidR="00607EBA" w:rsidRPr="0062700E">
              <w:rPr>
                <w:lang w:val="en-GB"/>
              </w:rPr>
              <w:t>governance and active stewardship of</w:t>
            </w:r>
            <w:r w:rsidRPr="0062700E">
              <w:rPr>
                <w:lang w:val="en-GB"/>
              </w:rPr>
              <w:t xml:space="preserve"> Indigenous peoples and local communities against 2020 baselines. </w:t>
            </w:r>
          </w:p>
        </w:tc>
      </w:tr>
      <w:tr w:rsidR="005D2E65" w:rsidRPr="0062700E" w14:paraId="1B692367" w14:textId="77777777" w:rsidTr="005D2E65">
        <w:trPr>
          <w:trHeight w:val="224"/>
        </w:trPr>
        <w:tc>
          <w:tcPr>
            <w:tcW w:w="817" w:type="dxa"/>
          </w:tcPr>
          <w:p w14:paraId="6519BEA3" w14:textId="77777777" w:rsidR="005D2E65" w:rsidRPr="0062700E" w:rsidRDefault="0019226A" w:rsidP="005D2E65">
            <w:pPr>
              <w:rPr>
                <w:lang w:val="en-GB"/>
              </w:rPr>
            </w:pPr>
            <w:r w:rsidRPr="0062700E">
              <w:rPr>
                <w:lang w:val="en-GB"/>
              </w:rPr>
              <w:t>1</w:t>
            </w:r>
          </w:p>
        </w:tc>
        <w:tc>
          <w:tcPr>
            <w:tcW w:w="815" w:type="dxa"/>
          </w:tcPr>
          <w:p w14:paraId="27B362A3" w14:textId="77777777" w:rsidR="005D2E65" w:rsidRPr="0062700E" w:rsidRDefault="0019226A" w:rsidP="005D2E65">
            <w:pPr>
              <w:rPr>
                <w:lang w:val="en-GB"/>
              </w:rPr>
            </w:pPr>
            <w:r w:rsidRPr="0062700E">
              <w:rPr>
                <w:lang w:val="en-GB"/>
              </w:rPr>
              <w:t>2</w:t>
            </w:r>
          </w:p>
        </w:tc>
        <w:tc>
          <w:tcPr>
            <w:tcW w:w="974" w:type="dxa"/>
          </w:tcPr>
          <w:p w14:paraId="27DBBE84" w14:textId="77777777" w:rsidR="005D2E65" w:rsidRPr="0062700E" w:rsidRDefault="0019226A" w:rsidP="005D2E65">
            <w:pPr>
              <w:rPr>
                <w:lang w:val="en-GB"/>
              </w:rPr>
            </w:pPr>
            <w:r w:rsidRPr="0062700E">
              <w:rPr>
                <w:lang w:val="en-GB"/>
              </w:rPr>
              <w:t>B</w:t>
            </w:r>
          </w:p>
        </w:tc>
        <w:tc>
          <w:tcPr>
            <w:tcW w:w="1215" w:type="dxa"/>
            <w:gridSpan w:val="2"/>
          </w:tcPr>
          <w:p w14:paraId="34288361" w14:textId="77777777" w:rsidR="005D2E65" w:rsidRPr="0062700E" w:rsidRDefault="0019226A" w:rsidP="005D2E65">
            <w:pPr>
              <w:rPr>
                <w:lang w:val="en-GB"/>
              </w:rPr>
            </w:pPr>
            <w:r w:rsidRPr="0062700E">
              <w:rPr>
                <w:lang w:val="en-GB"/>
              </w:rPr>
              <w:t>13-14</w:t>
            </w:r>
          </w:p>
        </w:tc>
        <w:tc>
          <w:tcPr>
            <w:tcW w:w="5785" w:type="dxa"/>
          </w:tcPr>
          <w:p w14:paraId="1144E746" w14:textId="58BCBEAD" w:rsidR="005D2E65" w:rsidRPr="0062700E" w:rsidRDefault="0019226A" w:rsidP="005D2E65">
            <w:pPr>
              <w:rPr>
                <w:lang w:val="en-GB"/>
              </w:rPr>
            </w:pPr>
            <w:r w:rsidRPr="0062700E">
              <w:rPr>
                <w:lang w:val="en-GB"/>
              </w:rPr>
              <w:t xml:space="preserve">Suggested indicator: increased percentage of wetlands under collective </w:t>
            </w:r>
            <w:r w:rsidR="00607EBA" w:rsidRPr="0062700E">
              <w:rPr>
                <w:lang w:val="en-GB"/>
              </w:rPr>
              <w:t>governance and active stewardship</w:t>
            </w:r>
            <w:r w:rsidRPr="0062700E">
              <w:rPr>
                <w:lang w:val="en-GB"/>
              </w:rPr>
              <w:t xml:space="preserve"> of Indigenous peoples and local communities against 2020 baselines. </w:t>
            </w:r>
          </w:p>
        </w:tc>
      </w:tr>
      <w:tr w:rsidR="00607EBA" w:rsidRPr="0062700E" w14:paraId="33665159" w14:textId="77777777" w:rsidTr="005D2E65">
        <w:trPr>
          <w:trHeight w:val="224"/>
        </w:trPr>
        <w:tc>
          <w:tcPr>
            <w:tcW w:w="817" w:type="dxa"/>
          </w:tcPr>
          <w:p w14:paraId="2B7FD806" w14:textId="77777777" w:rsidR="00607EBA" w:rsidRPr="0062700E" w:rsidRDefault="00607EBA" w:rsidP="005D2E65">
            <w:pPr>
              <w:rPr>
                <w:lang w:val="en-GB"/>
              </w:rPr>
            </w:pPr>
            <w:r w:rsidRPr="0062700E">
              <w:rPr>
                <w:lang w:val="en-GB"/>
              </w:rPr>
              <w:t>1</w:t>
            </w:r>
          </w:p>
        </w:tc>
        <w:tc>
          <w:tcPr>
            <w:tcW w:w="815" w:type="dxa"/>
          </w:tcPr>
          <w:p w14:paraId="628F1B18" w14:textId="77777777" w:rsidR="00607EBA" w:rsidRPr="0062700E" w:rsidRDefault="00607EBA" w:rsidP="005D2E65">
            <w:pPr>
              <w:rPr>
                <w:lang w:val="en-GB"/>
              </w:rPr>
            </w:pPr>
            <w:r w:rsidRPr="0062700E">
              <w:rPr>
                <w:lang w:val="en-GB"/>
              </w:rPr>
              <w:t>2</w:t>
            </w:r>
          </w:p>
        </w:tc>
        <w:tc>
          <w:tcPr>
            <w:tcW w:w="974" w:type="dxa"/>
          </w:tcPr>
          <w:p w14:paraId="270F5B69" w14:textId="77777777" w:rsidR="00607EBA" w:rsidRPr="0062700E" w:rsidRDefault="00607EBA" w:rsidP="005D2E65">
            <w:pPr>
              <w:rPr>
                <w:lang w:val="en-GB"/>
              </w:rPr>
            </w:pPr>
            <w:r w:rsidRPr="0062700E">
              <w:rPr>
                <w:lang w:val="en-GB"/>
              </w:rPr>
              <w:t>B</w:t>
            </w:r>
          </w:p>
        </w:tc>
        <w:tc>
          <w:tcPr>
            <w:tcW w:w="1215" w:type="dxa"/>
            <w:gridSpan w:val="2"/>
          </w:tcPr>
          <w:p w14:paraId="13329002" w14:textId="77777777" w:rsidR="00607EBA" w:rsidRPr="0062700E" w:rsidRDefault="00607EBA" w:rsidP="005D2E65">
            <w:pPr>
              <w:rPr>
                <w:lang w:val="en-GB"/>
              </w:rPr>
            </w:pPr>
            <w:r w:rsidRPr="0062700E">
              <w:rPr>
                <w:lang w:val="en-GB"/>
              </w:rPr>
              <w:t>14</w:t>
            </w:r>
          </w:p>
        </w:tc>
        <w:tc>
          <w:tcPr>
            <w:tcW w:w="5785" w:type="dxa"/>
          </w:tcPr>
          <w:p w14:paraId="15CB4D6F" w14:textId="77777777" w:rsidR="00607EBA" w:rsidRPr="0062700E" w:rsidRDefault="00607EBA" w:rsidP="005D2E65">
            <w:pPr>
              <w:rPr>
                <w:lang w:val="en-GB"/>
              </w:rPr>
            </w:pPr>
            <w:r w:rsidRPr="0062700E">
              <w:rPr>
                <w:lang w:val="en-GB"/>
              </w:rPr>
              <w:t xml:space="preserve">Trends in the extent and quality of seemingly “natural” critical ecosystems with low-human impact including IPLC territories, lands and waters as a distinct land use category </w:t>
            </w:r>
          </w:p>
        </w:tc>
      </w:tr>
      <w:tr w:rsidR="005D2E65" w:rsidRPr="0062700E" w14:paraId="79661FB7" w14:textId="77777777" w:rsidTr="005D2E65">
        <w:trPr>
          <w:trHeight w:val="224"/>
        </w:trPr>
        <w:tc>
          <w:tcPr>
            <w:tcW w:w="817" w:type="dxa"/>
          </w:tcPr>
          <w:p w14:paraId="774B9BBF" w14:textId="77777777" w:rsidR="005D2E65" w:rsidRPr="0062700E" w:rsidRDefault="0019226A" w:rsidP="005D2E65">
            <w:pPr>
              <w:rPr>
                <w:lang w:val="en-GB"/>
              </w:rPr>
            </w:pPr>
            <w:r w:rsidRPr="0062700E">
              <w:rPr>
                <w:lang w:val="en-GB"/>
              </w:rPr>
              <w:t>1</w:t>
            </w:r>
          </w:p>
        </w:tc>
        <w:tc>
          <w:tcPr>
            <w:tcW w:w="815" w:type="dxa"/>
          </w:tcPr>
          <w:p w14:paraId="2AA2D51D" w14:textId="77777777" w:rsidR="005D2E65" w:rsidRPr="0062700E" w:rsidRDefault="0019226A" w:rsidP="005D2E65">
            <w:pPr>
              <w:rPr>
                <w:lang w:val="en-GB"/>
              </w:rPr>
            </w:pPr>
            <w:r w:rsidRPr="0062700E">
              <w:rPr>
                <w:lang w:val="en-GB"/>
              </w:rPr>
              <w:t>2</w:t>
            </w:r>
          </w:p>
        </w:tc>
        <w:tc>
          <w:tcPr>
            <w:tcW w:w="974" w:type="dxa"/>
          </w:tcPr>
          <w:p w14:paraId="43D69493" w14:textId="77777777" w:rsidR="005D2E65" w:rsidRPr="0062700E" w:rsidRDefault="0019226A" w:rsidP="005D2E65">
            <w:pPr>
              <w:rPr>
                <w:lang w:val="en-GB"/>
              </w:rPr>
            </w:pPr>
            <w:r w:rsidRPr="0062700E">
              <w:rPr>
                <w:lang w:val="en-GB"/>
              </w:rPr>
              <w:t>B</w:t>
            </w:r>
          </w:p>
        </w:tc>
        <w:tc>
          <w:tcPr>
            <w:tcW w:w="1215" w:type="dxa"/>
            <w:gridSpan w:val="2"/>
          </w:tcPr>
          <w:p w14:paraId="1A0E997B" w14:textId="77777777" w:rsidR="005D2E65" w:rsidRPr="0062700E" w:rsidRDefault="002E19F8" w:rsidP="005D2E65">
            <w:pPr>
              <w:rPr>
                <w:lang w:val="en-GB"/>
              </w:rPr>
            </w:pPr>
            <w:r w:rsidRPr="0062700E">
              <w:rPr>
                <w:lang w:val="en-GB"/>
              </w:rPr>
              <w:t>15</w:t>
            </w:r>
            <w:r w:rsidR="005C0A6D" w:rsidRPr="0062700E">
              <w:rPr>
                <w:lang w:val="en-GB"/>
              </w:rPr>
              <w:t>-28</w:t>
            </w:r>
          </w:p>
        </w:tc>
        <w:tc>
          <w:tcPr>
            <w:tcW w:w="5785" w:type="dxa"/>
          </w:tcPr>
          <w:p w14:paraId="3D22C180" w14:textId="77777777" w:rsidR="005D2E65" w:rsidRPr="0062700E" w:rsidRDefault="005F33E2" w:rsidP="005D2E65">
            <w:pPr>
              <w:rPr>
                <w:lang w:val="en-GB"/>
              </w:rPr>
            </w:pPr>
            <w:r w:rsidRPr="0062700E">
              <w:rPr>
                <w:lang w:val="en-GB"/>
              </w:rPr>
              <w:t xml:space="preserve">Indigenous peoples and local communities have helped to maintain the ecological integrity and connectivity of natural ecosystems.  Any increase in % of area with ecosystem integrity and connectivity must recognize the </w:t>
            </w:r>
            <w:r w:rsidR="00327174" w:rsidRPr="0062700E">
              <w:rPr>
                <w:lang w:val="en-GB"/>
              </w:rPr>
              <w:t xml:space="preserve">rights and </w:t>
            </w:r>
            <w:r w:rsidRPr="0062700E">
              <w:rPr>
                <w:lang w:val="en-GB"/>
              </w:rPr>
              <w:t xml:space="preserve">important role that Indigenous peoples and local communities play in ecological integrity and connectivity.  The </w:t>
            </w:r>
            <w:r w:rsidR="001C6155" w:rsidRPr="0062700E">
              <w:rPr>
                <w:lang w:val="en-GB"/>
              </w:rPr>
              <w:t xml:space="preserve">appropriate </w:t>
            </w:r>
            <w:r w:rsidRPr="0062700E">
              <w:rPr>
                <w:lang w:val="en-GB"/>
              </w:rPr>
              <w:t xml:space="preserve">legal recognition of </w:t>
            </w:r>
            <w:r w:rsidR="001C6155" w:rsidRPr="0062700E">
              <w:rPr>
                <w:lang w:val="en-GB"/>
              </w:rPr>
              <w:t xml:space="preserve">collective </w:t>
            </w:r>
            <w:r w:rsidRPr="0062700E">
              <w:rPr>
                <w:lang w:val="en-GB"/>
              </w:rPr>
              <w:t xml:space="preserve">rights </w:t>
            </w:r>
            <w:r w:rsidR="001C6155" w:rsidRPr="0062700E">
              <w:rPr>
                <w:lang w:val="en-GB"/>
              </w:rPr>
              <w:t xml:space="preserve">and responsibilities </w:t>
            </w:r>
            <w:r w:rsidRPr="0062700E">
              <w:rPr>
                <w:lang w:val="en-GB"/>
              </w:rPr>
              <w:t xml:space="preserve">to land and resources </w:t>
            </w:r>
            <w:r w:rsidRPr="0062700E">
              <w:rPr>
                <w:lang w:val="en-GB"/>
              </w:rPr>
              <w:lastRenderedPageBreak/>
              <w:t xml:space="preserve">plays a key role in Indigenous peoples and local communities’ efforts to continue to ensure the effective ecological integrity and connectivity of natural ecosystems.  Suggested indicators here could be: increased percentage of access to, security for, and integrity of forest areas used for </w:t>
            </w:r>
            <w:r w:rsidR="0095630C" w:rsidRPr="0062700E">
              <w:rPr>
                <w:lang w:val="en-GB"/>
              </w:rPr>
              <w:t>traditional</w:t>
            </w:r>
            <w:r w:rsidRPr="0062700E">
              <w:rPr>
                <w:lang w:val="en-GB"/>
              </w:rPr>
              <w:t xml:space="preserve"> food production, harvesting and/or gathering and related cultural/ceremonial purposes (row 15); </w:t>
            </w:r>
            <w:r w:rsidR="0095630C" w:rsidRPr="0062700E">
              <w:rPr>
                <w:lang w:val="en-GB"/>
              </w:rPr>
              <w:t>increased</w:t>
            </w:r>
            <w:r w:rsidR="00D1790E" w:rsidRPr="0062700E">
              <w:rPr>
                <w:lang w:val="en-GB"/>
              </w:rPr>
              <w:t xml:space="preserve"> percentage</w:t>
            </w:r>
            <w:r w:rsidR="0095630C" w:rsidRPr="0062700E">
              <w:rPr>
                <w:lang w:val="en-GB"/>
              </w:rPr>
              <w:t xml:space="preserve"> of land area under indigenous tenure for food production (row 16)</w:t>
            </w:r>
            <w:r w:rsidR="00D1790E" w:rsidRPr="0062700E">
              <w:rPr>
                <w:lang w:val="en-GB"/>
              </w:rPr>
              <w:t xml:space="preserve">. </w:t>
            </w:r>
          </w:p>
        </w:tc>
      </w:tr>
      <w:tr w:rsidR="00607EBA" w:rsidRPr="0062700E" w14:paraId="36E2E987" w14:textId="77777777" w:rsidTr="005D2E65">
        <w:trPr>
          <w:trHeight w:val="224"/>
        </w:trPr>
        <w:tc>
          <w:tcPr>
            <w:tcW w:w="817" w:type="dxa"/>
          </w:tcPr>
          <w:p w14:paraId="5DDBB5FA" w14:textId="77777777" w:rsidR="00607EBA" w:rsidRPr="0062700E" w:rsidRDefault="005A559E" w:rsidP="005D2E65">
            <w:pPr>
              <w:rPr>
                <w:lang w:val="en-GB"/>
              </w:rPr>
            </w:pPr>
            <w:r w:rsidRPr="0062700E">
              <w:rPr>
                <w:lang w:val="en-GB"/>
              </w:rPr>
              <w:lastRenderedPageBreak/>
              <w:t>1</w:t>
            </w:r>
          </w:p>
        </w:tc>
        <w:tc>
          <w:tcPr>
            <w:tcW w:w="815" w:type="dxa"/>
          </w:tcPr>
          <w:p w14:paraId="50E11375" w14:textId="77777777" w:rsidR="00607EBA" w:rsidRPr="0062700E" w:rsidRDefault="005A559E" w:rsidP="005D2E65">
            <w:pPr>
              <w:rPr>
                <w:lang w:val="en-GB"/>
              </w:rPr>
            </w:pPr>
            <w:r w:rsidRPr="0062700E">
              <w:rPr>
                <w:lang w:val="en-GB"/>
              </w:rPr>
              <w:t>2-3</w:t>
            </w:r>
          </w:p>
        </w:tc>
        <w:tc>
          <w:tcPr>
            <w:tcW w:w="974" w:type="dxa"/>
          </w:tcPr>
          <w:p w14:paraId="65B44EF6" w14:textId="77777777" w:rsidR="00607EBA" w:rsidRPr="0062700E" w:rsidRDefault="005A559E" w:rsidP="005D2E65">
            <w:pPr>
              <w:rPr>
                <w:lang w:val="en-GB"/>
              </w:rPr>
            </w:pPr>
            <w:r w:rsidRPr="0062700E">
              <w:rPr>
                <w:lang w:val="en-GB"/>
              </w:rPr>
              <w:t>A</w:t>
            </w:r>
          </w:p>
        </w:tc>
        <w:tc>
          <w:tcPr>
            <w:tcW w:w="1215" w:type="dxa"/>
            <w:gridSpan w:val="2"/>
          </w:tcPr>
          <w:p w14:paraId="51461CF1" w14:textId="77777777" w:rsidR="00607EBA" w:rsidRPr="0062700E" w:rsidRDefault="005A559E" w:rsidP="005D2E65">
            <w:pPr>
              <w:rPr>
                <w:lang w:val="en-GB"/>
              </w:rPr>
            </w:pPr>
            <w:r w:rsidRPr="0062700E">
              <w:rPr>
                <w:lang w:val="en-GB"/>
              </w:rPr>
              <w:t>After row 28</w:t>
            </w:r>
          </w:p>
        </w:tc>
        <w:tc>
          <w:tcPr>
            <w:tcW w:w="5785" w:type="dxa"/>
          </w:tcPr>
          <w:p w14:paraId="09D120C5" w14:textId="77777777" w:rsidR="00607EBA" w:rsidRPr="0062700E" w:rsidRDefault="005A559E" w:rsidP="005D2E65">
            <w:pPr>
              <w:rPr>
                <w:lang w:val="en-GB"/>
              </w:rPr>
            </w:pPr>
            <w:r w:rsidRPr="0062700E">
              <w:rPr>
                <w:lang w:val="en-GB"/>
              </w:rPr>
              <w:t xml:space="preserve">Integrity and Intactness of IPLC territories, land, waters and resources </w:t>
            </w:r>
          </w:p>
        </w:tc>
      </w:tr>
      <w:tr w:rsidR="00B678C8" w:rsidRPr="0062700E" w14:paraId="24DF4C4D" w14:textId="77777777" w:rsidTr="005D2E65">
        <w:trPr>
          <w:trHeight w:val="224"/>
        </w:trPr>
        <w:tc>
          <w:tcPr>
            <w:tcW w:w="817" w:type="dxa"/>
          </w:tcPr>
          <w:p w14:paraId="3A25B038" w14:textId="77777777" w:rsidR="00B678C8" w:rsidRPr="0062700E" w:rsidRDefault="00B678C8" w:rsidP="005D2E65">
            <w:pPr>
              <w:rPr>
                <w:lang w:val="en-GB"/>
              </w:rPr>
            </w:pPr>
            <w:r w:rsidRPr="0062700E">
              <w:rPr>
                <w:lang w:val="en-GB"/>
              </w:rPr>
              <w:t>1</w:t>
            </w:r>
          </w:p>
        </w:tc>
        <w:tc>
          <w:tcPr>
            <w:tcW w:w="815" w:type="dxa"/>
          </w:tcPr>
          <w:p w14:paraId="52E61575" w14:textId="77777777" w:rsidR="00B678C8" w:rsidRPr="0062700E" w:rsidRDefault="00B678C8" w:rsidP="005D2E65">
            <w:pPr>
              <w:rPr>
                <w:lang w:val="en-GB"/>
              </w:rPr>
            </w:pPr>
            <w:r w:rsidRPr="0062700E">
              <w:rPr>
                <w:lang w:val="en-GB"/>
              </w:rPr>
              <w:t>4</w:t>
            </w:r>
          </w:p>
        </w:tc>
        <w:tc>
          <w:tcPr>
            <w:tcW w:w="974" w:type="dxa"/>
          </w:tcPr>
          <w:p w14:paraId="5FD1FD6C" w14:textId="77777777" w:rsidR="00B678C8" w:rsidRPr="0062700E" w:rsidRDefault="00B678C8" w:rsidP="005D2E65">
            <w:pPr>
              <w:rPr>
                <w:lang w:val="en-GB"/>
              </w:rPr>
            </w:pPr>
            <w:r w:rsidRPr="0062700E">
              <w:rPr>
                <w:lang w:val="en-GB"/>
              </w:rPr>
              <w:t>C</w:t>
            </w:r>
          </w:p>
        </w:tc>
        <w:tc>
          <w:tcPr>
            <w:tcW w:w="1215" w:type="dxa"/>
            <w:gridSpan w:val="2"/>
          </w:tcPr>
          <w:p w14:paraId="15F402DC" w14:textId="77777777" w:rsidR="00B678C8" w:rsidRPr="0062700E" w:rsidRDefault="00B678C8" w:rsidP="005D2E65">
            <w:pPr>
              <w:rPr>
                <w:lang w:val="en-GB"/>
              </w:rPr>
            </w:pPr>
            <w:r w:rsidRPr="0062700E">
              <w:rPr>
                <w:lang w:val="en-GB"/>
              </w:rPr>
              <w:t>16</w:t>
            </w:r>
          </w:p>
        </w:tc>
        <w:tc>
          <w:tcPr>
            <w:tcW w:w="5785" w:type="dxa"/>
          </w:tcPr>
          <w:p w14:paraId="4D1E779B" w14:textId="77777777" w:rsidR="00B678C8" w:rsidRPr="0062700E" w:rsidRDefault="00B678C8" w:rsidP="005D2E65">
            <w:pPr>
              <w:rPr>
                <w:lang w:val="en-GB"/>
              </w:rPr>
            </w:pPr>
            <w:r w:rsidRPr="0062700E">
              <w:rPr>
                <w:lang w:val="en-GB"/>
              </w:rPr>
              <w:t xml:space="preserve">Monitoring elements </w:t>
            </w:r>
            <w:r w:rsidR="006F78B8" w:rsidRPr="0062700E">
              <w:rPr>
                <w:lang w:val="en-GB"/>
              </w:rPr>
              <w:t xml:space="preserve">should also include trends in traditional food systems.  Indicators could include: access to, security for and integrity of lands, territories, natural resources, sacred sites and ceremonial areas used for traditional food production, harvesting and/or gathering; abundance, scarcity and/or threats to traditional seeds, plant foods and medicines, food animals as well as cultural practices associated with their protection and survival.  </w:t>
            </w:r>
          </w:p>
        </w:tc>
      </w:tr>
      <w:tr w:rsidR="00607EBA" w:rsidRPr="0062700E" w14:paraId="579A1D16" w14:textId="77777777" w:rsidTr="005D2E65">
        <w:trPr>
          <w:trHeight w:val="224"/>
        </w:trPr>
        <w:tc>
          <w:tcPr>
            <w:tcW w:w="817" w:type="dxa"/>
          </w:tcPr>
          <w:p w14:paraId="257EFB65" w14:textId="77777777" w:rsidR="00607EBA" w:rsidRPr="0062700E" w:rsidRDefault="00607EBA" w:rsidP="005D2E65">
            <w:pPr>
              <w:rPr>
                <w:lang w:val="en-GB"/>
              </w:rPr>
            </w:pPr>
            <w:r w:rsidRPr="0062700E">
              <w:rPr>
                <w:lang w:val="en-GB"/>
              </w:rPr>
              <w:t>1</w:t>
            </w:r>
          </w:p>
        </w:tc>
        <w:tc>
          <w:tcPr>
            <w:tcW w:w="815" w:type="dxa"/>
          </w:tcPr>
          <w:p w14:paraId="137F07DE" w14:textId="77777777" w:rsidR="00607EBA" w:rsidRPr="0062700E" w:rsidRDefault="005A559E" w:rsidP="005D2E65">
            <w:pPr>
              <w:rPr>
                <w:lang w:val="en-GB"/>
              </w:rPr>
            </w:pPr>
            <w:r w:rsidRPr="0062700E">
              <w:rPr>
                <w:lang w:val="en-GB"/>
              </w:rPr>
              <w:t>3</w:t>
            </w:r>
          </w:p>
        </w:tc>
        <w:tc>
          <w:tcPr>
            <w:tcW w:w="974" w:type="dxa"/>
          </w:tcPr>
          <w:p w14:paraId="0B5D8FA4" w14:textId="77777777" w:rsidR="00607EBA" w:rsidRPr="0062700E" w:rsidRDefault="005A559E" w:rsidP="005D2E65">
            <w:pPr>
              <w:rPr>
                <w:lang w:val="en-GB"/>
              </w:rPr>
            </w:pPr>
            <w:r w:rsidRPr="0062700E">
              <w:rPr>
                <w:lang w:val="en-GB"/>
              </w:rPr>
              <w:t>B</w:t>
            </w:r>
          </w:p>
        </w:tc>
        <w:tc>
          <w:tcPr>
            <w:tcW w:w="1215" w:type="dxa"/>
            <w:gridSpan w:val="2"/>
          </w:tcPr>
          <w:p w14:paraId="1F5C3EB4" w14:textId="77777777" w:rsidR="00607EBA" w:rsidRPr="0062700E" w:rsidRDefault="005A559E" w:rsidP="005D2E65">
            <w:pPr>
              <w:rPr>
                <w:lang w:val="en-GB"/>
              </w:rPr>
            </w:pPr>
            <w:r w:rsidRPr="0062700E">
              <w:rPr>
                <w:lang w:val="en-GB"/>
              </w:rPr>
              <w:t>29-33</w:t>
            </w:r>
          </w:p>
        </w:tc>
        <w:tc>
          <w:tcPr>
            <w:tcW w:w="5785" w:type="dxa"/>
          </w:tcPr>
          <w:p w14:paraId="30DE34BE" w14:textId="77777777" w:rsidR="00607EBA" w:rsidRPr="0062700E" w:rsidRDefault="005A559E" w:rsidP="005D2E65">
            <w:pPr>
              <w:rPr>
                <w:lang w:val="en-GB"/>
              </w:rPr>
            </w:pPr>
            <w:r w:rsidRPr="0062700E">
              <w:rPr>
                <w:lang w:val="en-GB"/>
              </w:rPr>
              <w:t>Proposed to add (in relation to A3 and A4): Trends in conservation status of culturally significant species for IPLCs</w:t>
            </w:r>
          </w:p>
        </w:tc>
      </w:tr>
      <w:tr w:rsidR="005D2E65" w:rsidRPr="0062700E" w14:paraId="3F64BEB2" w14:textId="77777777" w:rsidTr="005D2E65">
        <w:trPr>
          <w:trHeight w:val="224"/>
        </w:trPr>
        <w:tc>
          <w:tcPr>
            <w:tcW w:w="817" w:type="dxa"/>
          </w:tcPr>
          <w:p w14:paraId="4E5ABA72" w14:textId="77777777" w:rsidR="005D2E65" w:rsidRPr="0062700E" w:rsidRDefault="00D1790E" w:rsidP="005D2E65">
            <w:pPr>
              <w:rPr>
                <w:lang w:val="en-GB"/>
              </w:rPr>
            </w:pPr>
            <w:r w:rsidRPr="0062700E">
              <w:rPr>
                <w:lang w:val="en-GB"/>
              </w:rPr>
              <w:t>1</w:t>
            </w:r>
          </w:p>
        </w:tc>
        <w:tc>
          <w:tcPr>
            <w:tcW w:w="815" w:type="dxa"/>
          </w:tcPr>
          <w:p w14:paraId="09AF7F02" w14:textId="77777777" w:rsidR="005D2E65" w:rsidRPr="0062700E" w:rsidRDefault="00AD3959" w:rsidP="005D2E65">
            <w:pPr>
              <w:rPr>
                <w:lang w:val="en-GB"/>
              </w:rPr>
            </w:pPr>
            <w:r w:rsidRPr="0062700E">
              <w:rPr>
                <w:lang w:val="en-GB"/>
              </w:rPr>
              <w:t>4</w:t>
            </w:r>
          </w:p>
        </w:tc>
        <w:tc>
          <w:tcPr>
            <w:tcW w:w="974" w:type="dxa"/>
          </w:tcPr>
          <w:p w14:paraId="2CA8302B" w14:textId="77777777" w:rsidR="005D2E65" w:rsidRPr="0062700E" w:rsidRDefault="00AD3959" w:rsidP="005D2E65">
            <w:pPr>
              <w:rPr>
                <w:lang w:val="en-GB"/>
              </w:rPr>
            </w:pPr>
            <w:r w:rsidRPr="0062700E">
              <w:rPr>
                <w:lang w:val="en-GB"/>
              </w:rPr>
              <w:t>C</w:t>
            </w:r>
          </w:p>
        </w:tc>
        <w:tc>
          <w:tcPr>
            <w:tcW w:w="1215" w:type="dxa"/>
            <w:gridSpan w:val="2"/>
          </w:tcPr>
          <w:p w14:paraId="4B4C9D30" w14:textId="77777777" w:rsidR="005D2E65" w:rsidRPr="0062700E" w:rsidRDefault="00D1790E" w:rsidP="005D2E65">
            <w:pPr>
              <w:rPr>
                <w:lang w:val="en-GB"/>
              </w:rPr>
            </w:pPr>
            <w:r w:rsidRPr="0062700E">
              <w:rPr>
                <w:lang w:val="en-GB"/>
              </w:rPr>
              <w:t>37</w:t>
            </w:r>
            <w:r w:rsidR="00AD3959" w:rsidRPr="0062700E">
              <w:rPr>
                <w:lang w:val="en-GB"/>
              </w:rPr>
              <w:t>-39</w:t>
            </w:r>
          </w:p>
        </w:tc>
        <w:tc>
          <w:tcPr>
            <w:tcW w:w="5785" w:type="dxa"/>
          </w:tcPr>
          <w:p w14:paraId="553723C9" w14:textId="4CEAD4BB" w:rsidR="005D2E65" w:rsidRPr="0062700E" w:rsidRDefault="00AD3959" w:rsidP="005D2E65">
            <w:pPr>
              <w:rPr>
                <w:lang w:val="en-GB"/>
              </w:rPr>
            </w:pPr>
            <w:r w:rsidRPr="0062700E">
              <w:rPr>
                <w:lang w:val="en-GB"/>
              </w:rPr>
              <w:t>Should also include small scale marine/freshwater species in fisheries and aquaculture as it links with sustainable livelihoods in some countries</w:t>
            </w:r>
            <w:r w:rsidR="007C153C" w:rsidRPr="0062700E">
              <w:rPr>
                <w:lang w:val="en-GB"/>
              </w:rPr>
              <w:t>.  Monitoring elements should also include trends in halting industrial fisheries and aquaculture that</w:t>
            </w:r>
            <w:r w:rsidR="00E62F3D" w:rsidRPr="0062700E">
              <w:rPr>
                <w:lang w:val="en-GB"/>
              </w:rPr>
              <w:t xml:space="preserve"> is</w:t>
            </w:r>
            <w:r w:rsidR="007C153C" w:rsidRPr="0062700E">
              <w:rPr>
                <w:lang w:val="en-GB"/>
              </w:rPr>
              <w:t xml:space="preserve"> harmful for biodiversity.  </w:t>
            </w:r>
          </w:p>
        </w:tc>
      </w:tr>
      <w:tr w:rsidR="005D2E65" w:rsidRPr="0062700E" w14:paraId="0AE39351" w14:textId="77777777" w:rsidTr="005D2E65">
        <w:trPr>
          <w:trHeight w:val="224"/>
        </w:trPr>
        <w:tc>
          <w:tcPr>
            <w:tcW w:w="817" w:type="dxa"/>
          </w:tcPr>
          <w:p w14:paraId="16F482FD" w14:textId="77777777" w:rsidR="005D2E65" w:rsidRPr="0062700E" w:rsidRDefault="00AD3959" w:rsidP="005D2E65">
            <w:pPr>
              <w:rPr>
                <w:lang w:val="en-GB"/>
              </w:rPr>
            </w:pPr>
            <w:r w:rsidRPr="0062700E">
              <w:rPr>
                <w:lang w:val="en-GB"/>
              </w:rPr>
              <w:t>1</w:t>
            </w:r>
          </w:p>
        </w:tc>
        <w:tc>
          <w:tcPr>
            <w:tcW w:w="815" w:type="dxa"/>
          </w:tcPr>
          <w:p w14:paraId="3D51F2F6" w14:textId="77777777" w:rsidR="005D2E65" w:rsidRPr="0062700E" w:rsidRDefault="00AD3959" w:rsidP="005D2E65">
            <w:pPr>
              <w:rPr>
                <w:lang w:val="en-GB"/>
              </w:rPr>
            </w:pPr>
            <w:r w:rsidRPr="0062700E">
              <w:rPr>
                <w:lang w:val="en-GB"/>
              </w:rPr>
              <w:t>4</w:t>
            </w:r>
          </w:p>
        </w:tc>
        <w:tc>
          <w:tcPr>
            <w:tcW w:w="974" w:type="dxa"/>
          </w:tcPr>
          <w:p w14:paraId="0BE2930C" w14:textId="77777777" w:rsidR="005D2E65" w:rsidRPr="0062700E" w:rsidRDefault="00AD3959" w:rsidP="005D2E65">
            <w:pPr>
              <w:rPr>
                <w:lang w:val="en-GB"/>
              </w:rPr>
            </w:pPr>
            <w:r w:rsidRPr="0062700E">
              <w:rPr>
                <w:lang w:val="en-GB"/>
              </w:rPr>
              <w:t>C</w:t>
            </w:r>
          </w:p>
        </w:tc>
        <w:tc>
          <w:tcPr>
            <w:tcW w:w="1215" w:type="dxa"/>
            <w:gridSpan w:val="2"/>
          </w:tcPr>
          <w:p w14:paraId="0E2FF85F" w14:textId="77777777" w:rsidR="005D2E65" w:rsidRPr="0062700E" w:rsidRDefault="00AD3959" w:rsidP="005D2E65">
            <w:pPr>
              <w:rPr>
                <w:lang w:val="en-GB"/>
              </w:rPr>
            </w:pPr>
            <w:r w:rsidRPr="0062700E">
              <w:rPr>
                <w:lang w:val="en-GB"/>
              </w:rPr>
              <w:t>43, 45</w:t>
            </w:r>
          </w:p>
        </w:tc>
        <w:tc>
          <w:tcPr>
            <w:tcW w:w="5785" w:type="dxa"/>
          </w:tcPr>
          <w:p w14:paraId="61581326" w14:textId="7FDED031" w:rsidR="005D2E65" w:rsidRPr="0062700E" w:rsidRDefault="00AD3959" w:rsidP="00E62F3D">
            <w:pPr>
              <w:rPr>
                <w:lang w:val="en-GB"/>
              </w:rPr>
            </w:pPr>
            <w:r w:rsidRPr="0062700E">
              <w:rPr>
                <w:lang w:val="en-GB"/>
              </w:rPr>
              <w:t xml:space="preserve">For the sake of communication and clarity suggest </w:t>
            </w:r>
            <w:r w:rsidR="00EC41EB" w:rsidRPr="0062700E">
              <w:rPr>
                <w:lang w:val="en-GB"/>
              </w:rPr>
              <w:t>“</w:t>
            </w:r>
            <w:r w:rsidRPr="0062700E">
              <w:rPr>
                <w:lang w:val="en-GB"/>
              </w:rPr>
              <w:t>conserved areas</w:t>
            </w:r>
            <w:r w:rsidR="00EC41EB" w:rsidRPr="0062700E">
              <w:rPr>
                <w:lang w:val="en-GB"/>
              </w:rPr>
              <w:t>”</w:t>
            </w:r>
            <w:r w:rsidRPr="0062700E">
              <w:rPr>
                <w:lang w:val="en-GB"/>
              </w:rPr>
              <w:t xml:space="preserve"> in place of “other effective area-based conservation measures.” </w:t>
            </w:r>
            <w:r w:rsidR="00EC422B" w:rsidRPr="0062700E">
              <w:rPr>
                <w:lang w:val="en-GB"/>
              </w:rPr>
              <w:t>See: Jonas, H.D., and H.C. Jonas, 13 December 2018. “Global agreement on ‘conserved areas’ marks new era of conservation (commentary).” Mongabay</w:t>
            </w:r>
            <w:r w:rsidR="00D23095" w:rsidRPr="0062700E">
              <w:rPr>
                <w:lang w:val="en-GB"/>
              </w:rPr>
              <w:t xml:space="preserve"> (</w:t>
            </w:r>
            <w:hyperlink r:id="rId8" w:history="1">
              <w:r w:rsidR="00D23095" w:rsidRPr="0062700E">
                <w:rPr>
                  <w:rStyle w:val="Hyperlink"/>
                  <w:lang w:val="en-GB"/>
                </w:rPr>
                <w:t>https://news.mongabay.com/2018/12/global- agreement-on-conserved-areas-marks-new-era-of-conservation-commentary/</w:t>
              </w:r>
            </w:hyperlink>
            <w:r w:rsidR="00D23095" w:rsidRPr="0062700E">
              <w:rPr>
                <w:color w:val="0000FF"/>
                <w:lang w:val="en-GB"/>
              </w:rPr>
              <w:t xml:space="preserve">) and </w:t>
            </w:r>
            <w:r w:rsidR="00D23095" w:rsidRPr="0062700E">
              <w:rPr>
                <w:rFonts w:ascii="Times" w:hAnsi="Times" w:cs="Times"/>
                <w:color w:val="000000"/>
                <w:lang w:val="en-GB"/>
              </w:rPr>
              <w:t>“Are ‘conserved areas’ conservation’s most compelling story?” PARKS</w:t>
            </w:r>
            <w:r w:rsidR="001561B8" w:rsidRPr="0062700E">
              <w:rPr>
                <w:rFonts w:ascii="Times" w:hAnsi="Times" w:cs="Times"/>
                <w:color w:val="000000"/>
                <w:lang w:val="en-GB"/>
              </w:rPr>
              <w:t xml:space="preserve"> 25.2</w:t>
            </w:r>
            <w:r w:rsidR="00D23095" w:rsidRPr="0062700E">
              <w:rPr>
                <w:lang w:val="en-GB"/>
              </w:rPr>
              <w:t xml:space="preserve"> (</w:t>
            </w:r>
            <w:hyperlink r:id="rId9" w:history="1">
              <w:r w:rsidR="00D23095" w:rsidRPr="0062700E">
                <w:rPr>
                  <w:rStyle w:val="Hyperlink"/>
                  <w:lang w:val="en-GB"/>
                </w:rPr>
                <w:t>https://parksjournal.com/wp-content/uploads/2019/12/PARKS-25.2-Jonas-and-Jonas-10.2305-IUCN.CH_.2019.PARKS-25-2HJ.en_.pdf</w:t>
              </w:r>
            </w:hyperlink>
            <w:r w:rsidR="00D23095" w:rsidRPr="0062700E">
              <w:rPr>
                <w:lang w:val="en-GB"/>
              </w:rPr>
              <w:t xml:space="preserve">). </w:t>
            </w:r>
          </w:p>
        </w:tc>
      </w:tr>
      <w:tr w:rsidR="005D2E65" w:rsidRPr="0062700E" w14:paraId="343F8DDA" w14:textId="77777777" w:rsidTr="005D2E65">
        <w:trPr>
          <w:trHeight w:val="224"/>
        </w:trPr>
        <w:tc>
          <w:tcPr>
            <w:tcW w:w="817" w:type="dxa"/>
          </w:tcPr>
          <w:p w14:paraId="57973D3A" w14:textId="77777777" w:rsidR="005D2E65" w:rsidRPr="0062700E" w:rsidRDefault="00AD3959" w:rsidP="005D2E65">
            <w:pPr>
              <w:rPr>
                <w:lang w:val="en-GB"/>
              </w:rPr>
            </w:pPr>
            <w:r w:rsidRPr="0062700E">
              <w:rPr>
                <w:lang w:val="en-GB"/>
              </w:rPr>
              <w:t>1</w:t>
            </w:r>
          </w:p>
        </w:tc>
        <w:tc>
          <w:tcPr>
            <w:tcW w:w="815" w:type="dxa"/>
          </w:tcPr>
          <w:p w14:paraId="6014B9C1" w14:textId="77777777" w:rsidR="005D2E65" w:rsidRPr="0062700E" w:rsidRDefault="00AD3959" w:rsidP="005D2E65">
            <w:pPr>
              <w:rPr>
                <w:lang w:val="en-GB"/>
              </w:rPr>
            </w:pPr>
            <w:r w:rsidRPr="0062700E">
              <w:rPr>
                <w:lang w:val="en-GB"/>
              </w:rPr>
              <w:t>4</w:t>
            </w:r>
          </w:p>
        </w:tc>
        <w:tc>
          <w:tcPr>
            <w:tcW w:w="974" w:type="dxa"/>
          </w:tcPr>
          <w:p w14:paraId="1626F93B" w14:textId="77777777" w:rsidR="005D2E65" w:rsidRPr="0062700E" w:rsidRDefault="00AD3959" w:rsidP="005D2E65">
            <w:pPr>
              <w:rPr>
                <w:lang w:val="en-GB"/>
              </w:rPr>
            </w:pPr>
            <w:r w:rsidRPr="0062700E">
              <w:rPr>
                <w:lang w:val="en-GB"/>
              </w:rPr>
              <w:t>C</w:t>
            </w:r>
          </w:p>
        </w:tc>
        <w:tc>
          <w:tcPr>
            <w:tcW w:w="1215" w:type="dxa"/>
            <w:gridSpan w:val="2"/>
          </w:tcPr>
          <w:p w14:paraId="70341749" w14:textId="77777777" w:rsidR="005D2E65" w:rsidRPr="0062700E" w:rsidRDefault="00AD3959" w:rsidP="005D2E65">
            <w:pPr>
              <w:rPr>
                <w:lang w:val="en-GB"/>
              </w:rPr>
            </w:pPr>
            <w:r w:rsidRPr="0062700E">
              <w:rPr>
                <w:lang w:val="en-GB"/>
              </w:rPr>
              <w:t>48</w:t>
            </w:r>
          </w:p>
        </w:tc>
        <w:tc>
          <w:tcPr>
            <w:tcW w:w="5785" w:type="dxa"/>
          </w:tcPr>
          <w:p w14:paraId="196E36F8" w14:textId="21E5ED40" w:rsidR="005D2E65" w:rsidRPr="0062700E" w:rsidRDefault="00AD3959" w:rsidP="00F0575E">
            <w:pPr>
              <w:rPr>
                <w:lang w:val="en-GB"/>
              </w:rPr>
            </w:pPr>
            <w:r w:rsidRPr="0062700E">
              <w:rPr>
                <w:lang w:val="en-GB"/>
              </w:rPr>
              <w:t>Suggest conserved areas in place of “other effective area-based conservation measures.”  Including an element of equity as a fundamental aspect of protected and conserved areas is essential</w:t>
            </w:r>
            <w:r w:rsidR="00407E8A" w:rsidRPr="0062700E">
              <w:rPr>
                <w:lang w:val="en-GB"/>
              </w:rPr>
              <w:t xml:space="preserve"> and has been in CBD </w:t>
            </w:r>
            <w:r w:rsidR="00F0575E" w:rsidRPr="0062700E">
              <w:rPr>
                <w:lang w:val="en-GB"/>
              </w:rPr>
              <w:t xml:space="preserve">law </w:t>
            </w:r>
            <w:r w:rsidR="00407E8A" w:rsidRPr="0062700E">
              <w:rPr>
                <w:lang w:val="en-GB"/>
              </w:rPr>
              <w:t>since PoWPA was adopted in 2004</w:t>
            </w:r>
            <w:r w:rsidRPr="0062700E">
              <w:rPr>
                <w:lang w:val="en-GB"/>
              </w:rPr>
              <w:t xml:space="preserve">.  Suggest indicator should be: Coverage of equitably </w:t>
            </w:r>
            <w:r w:rsidR="00AF6B7F" w:rsidRPr="0062700E">
              <w:rPr>
                <w:lang w:val="en-GB"/>
              </w:rPr>
              <w:t>governed</w:t>
            </w:r>
            <w:r w:rsidRPr="0062700E">
              <w:rPr>
                <w:lang w:val="en-GB"/>
              </w:rPr>
              <w:t xml:space="preserve"> and </w:t>
            </w:r>
            <w:r w:rsidRPr="0062700E">
              <w:rPr>
                <w:lang w:val="en-GB"/>
              </w:rPr>
              <w:lastRenderedPageBreak/>
              <w:t xml:space="preserve">effectively managed </w:t>
            </w:r>
            <w:r w:rsidR="00E12686" w:rsidRPr="0062700E">
              <w:rPr>
                <w:lang w:val="en-GB"/>
              </w:rPr>
              <w:t xml:space="preserve">protected </w:t>
            </w:r>
            <w:r w:rsidRPr="0062700E">
              <w:rPr>
                <w:lang w:val="en-GB"/>
              </w:rPr>
              <w:t xml:space="preserve">and conserved </w:t>
            </w:r>
            <w:r w:rsidR="00AF6B7F" w:rsidRPr="0062700E">
              <w:rPr>
                <w:lang w:val="en-GB"/>
              </w:rPr>
              <w:t xml:space="preserve">areas. </w:t>
            </w:r>
          </w:p>
        </w:tc>
      </w:tr>
      <w:tr w:rsidR="005D2E65" w:rsidRPr="0062700E" w14:paraId="350DDF31" w14:textId="77777777" w:rsidTr="005D2E65">
        <w:trPr>
          <w:trHeight w:val="224"/>
        </w:trPr>
        <w:tc>
          <w:tcPr>
            <w:tcW w:w="817" w:type="dxa"/>
          </w:tcPr>
          <w:p w14:paraId="0531C229" w14:textId="77777777" w:rsidR="005D2E65" w:rsidRPr="0062700E" w:rsidRDefault="00864BB7" w:rsidP="005D2E65">
            <w:pPr>
              <w:rPr>
                <w:lang w:val="en-GB"/>
              </w:rPr>
            </w:pPr>
            <w:r w:rsidRPr="0062700E">
              <w:rPr>
                <w:lang w:val="en-GB"/>
              </w:rPr>
              <w:lastRenderedPageBreak/>
              <w:t>1</w:t>
            </w:r>
          </w:p>
        </w:tc>
        <w:tc>
          <w:tcPr>
            <w:tcW w:w="815" w:type="dxa"/>
          </w:tcPr>
          <w:p w14:paraId="60F249D4" w14:textId="77777777" w:rsidR="005D2E65" w:rsidRPr="0062700E" w:rsidRDefault="00864BB7" w:rsidP="005D2E65">
            <w:pPr>
              <w:rPr>
                <w:lang w:val="en-GB"/>
              </w:rPr>
            </w:pPr>
            <w:r w:rsidRPr="0062700E">
              <w:rPr>
                <w:lang w:val="en-GB"/>
              </w:rPr>
              <w:t>5</w:t>
            </w:r>
          </w:p>
        </w:tc>
        <w:tc>
          <w:tcPr>
            <w:tcW w:w="974" w:type="dxa"/>
          </w:tcPr>
          <w:p w14:paraId="4A0726ED" w14:textId="77777777" w:rsidR="005D2E65" w:rsidRPr="0062700E" w:rsidRDefault="005127D9" w:rsidP="005D2E65">
            <w:pPr>
              <w:rPr>
                <w:lang w:val="en-GB"/>
              </w:rPr>
            </w:pPr>
            <w:r w:rsidRPr="0062700E">
              <w:rPr>
                <w:lang w:val="en-GB"/>
              </w:rPr>
              <w:t>A,</w:t>
            </w:r>
            <w:r w:rsidR="000B578E" w:rsidRPr="0062700E">
              <w:rPr>
                <w:lang w:val="en-GB"/>
              </w:rPr>
              <w:t xml:space="preserve"> </w:t>
            </w:r>
            <w:r w:rsidRPr="0062700E">
              <w:rPr>
                <w:lang w:val="en-GB"/>
              </w:rPr>
              <w:t>B,</w:t>
            </w:r>
            <w:r w:rsidR="000B578E" w:rsidRPr="0062700E">
              <w:rPr>
                <w:lang w:val="en-GB"/>
              </w:rPr>
              <w:t xml:space="preserve"> </w:t>
            </w:r>
            <w:r w:rsidRPr="0062700E">
              <w:rPr>
                <w:lang w:val="en-GB"/>
              </w:rPr>
              <w:t>C</w:t>
            </w:r>
          </w:p>
        </w:tc>
        <w:tc>
          <w:tcPr>
            <w:tcW w:w="1215" w:type="dxa"/>
            <w:gridSpan w:val="2"/>
          </w:tcPr>
          <w:p w14:paraId="0F6D34EE" w14:textId="77777777" w:rsidR="005D2E65" w:rsidRPr="0062700E" w:rsidRDefault="005127D9" w:rsidP="005D2E65">
            <w:pPr>
              <w:rPr>
                <w:lang w:val="en-GB"/>
              </w:rPr>
            </w:pPr>
            <w:r w:rsidRPr="0062700E">
              <w:rPr>
                <w:lang w:val="en-GB"/>
              </w:rPr>
              <w:t>51-71</w:t>
            </w:r>
          </w:p>
        </w:tc>
        <w:tc>
          <w:tcPr>
            <w:tcW w:w="5785" w:type="dxa"/>
          </w:tcPr>
          <w:p w14:paraId="6B945857" w14:textId="7DD2DF31" w:rsidR="005D2E65" w:rsidRPr="0062700E" w:rsidRDefault="00552447" w:rsidP="00774B6B">
            <w:pPr>
              <w:rPr>
                <w:lang w:val="en-GB"/>
              </w:rPr>
            </w:pPr>
            <w:r w:rsidRPr="0062700E">
              <w:rPr>
                <w:lang w:val="en-GB"/>
              </w:rPr>
              <w:t>Collective lands, waters and territories of Indigenous peoples and local communities</w:t>
            </w:r>
            <w:r w:rsidR="005127D9" w:rsidRPr="0062700E">
              <w:rPr>
                <w:lang w:val="en-GB"/>
              </w:rPr>
              <w:t xml:space="preserve"> could be an additional monitoring element. As indicators, trends in biodiversity and ecosystem functions in </w:t>
            </w:r>
            <w:r w:rsidRPr="0062700E">
              <w:rPr>
                <w:lang w:val="en-GB"/>
              </w:rPr>
              <w:t>such collective lands, waters and territories</w:t>
            </w:r>
            <w:r w:rsidR="00220949" w:rsidRPr="0062700E">
              <w:rPr>
                <w:lang w:val="en-GB"/>
              </w:rPr>
              <w:t>,</w:t>
            </w:r>
            <w:r w:rsidR="005127D9" w:rsidRPr="0062700E">
              <w:rPr>
                <w:lang w:val="en-GB"/>
              </w:rPr>
              <w:t xml:space="preserve"> including for marine, co</w:t>
            </w:r>
            <w:r w:rsidR="00774B6B" w:rsidRPr="0062700E">
              <w:rPr>
                <w:lang w:val="en-GB"/>
              </w:rPr>
              <w:t>a</w:t>
            </w:r>
            <w:r w:rsidR="005127D9" w:rsidRPr="0062700E">
              <w:rPr>
                <w:lang w:val="en-GB"/>
              </w:rPr>
              <w:t xml:space="preserve">stal and other water and food sources.  However, any mapping, recognition or designation of </w:t>
            </w:r>
            <w:r w:rsidR="00774B6B" w:rsidRPr="0062700E">
              <w:rPr>
                <w:lang w:val="en-GB"/>
              </w:rPr>
              <w:t>collective lands, waters and territories</w:t>
            </w:r>
            <w:r w:rsidR="005127D9" w:rsidRPr="0062700E">
              <w:rPr>
                <w:lang w:val="en-GB"/>
              </w:rPr>
              <w:t xml:space="preserve">, whether as protected areas, conserved areas or otherwise, must be subject to the self-identification, self-governance, and free prior and informed consent of the relevant </w:t>
            </w:r>
            <w:r w:rsidR="00774B6B" w:rsidRPr="0062700E">
              <w:rPr>
                <w:lang w:val="en-GB"/>
              </w:rPr>
              <w:t>Indigenous peoples and communities</w:t>
            </w:r>
            <w:r w:rsidR="005127D9" w:rsidRPr="0062700E">
              <w:rPr>
                <w:lang w:val="en-GB"/>
              </w:rPr>
              <w:t xml:space="preserve">. </w:t>
            </w:r>
          </w:p>
        </w:tc>
      </w:tr>
      <w:tr w:rsidR="005172E3" w:rsidRPr="0062700E" w14:paraId="7435EF1A" w14:textId="77777777" w:rsidTr="005D2E65">
        <w:trPr>
          <w:trHeight w:val="224"/>
        </w:trPr>
        <w:tc>
          <w:tcPr>
            <w:tcW w:w="817" w:type="dxa"/>
          </w:tcPr>
          <w:p w14:paraId="5058CFC9" w14:textId="5422A684" w:rsidR="005172E3" w:rsidRPr="0062700E" w:rsidRDefault="005172E3" w:rsidP="005D2E65">
            <w:pPr>
              <w:rPr>
                <w:lang w:val="en-GB"/>
              </w:rPr>
            </w:pPr>
            <w:r w:rsidRPr="0062700E">
              <w:rPr>
                <w:lang w:val="en-GB"/>
              </w:rPr>
              <w:t>1</w:t>
            </w:r>
          </w:p>
        </w:tc>
        <w:tc>
          <w:tcPr>
            <w:tcW w:w="815" w:type="dxa"/>
          </w:tcPr>
          <w:p w14:paraId="7A282FE7" w14:textId="505AE959" w:rsidR="005172E3" w:rsidRPr="0062700E" w:rsidRDefault="005172E3" w:rsidP="005D2E65">
            <w:pPr>
              <w:rPr>
                <w:lang w:val="en-GB"/>
              </w:rPr>
            </w:pPr>
            <w:r w:rsidRPr="0062700E">
              <w:rPr>
                <w:lang w:val="en-GB"/>
              </w:rPr>
              <w:t>6</w:t>
            </w:r>
          </w:p>
        </w:tc>
        <w:tc>
          <w:tcPr>
            <w:tcW w:w="974" w:type="dxa"/>
          </w:tcPr>
          <w:p w14:paraId="72C2A19B" w14:textId="77777777" w:rsidR="005172E3" w:rsidRPr="0062700E" w:rsidRDefault="005172E3" w:rsidP="005D2E65">
            <w:pPr>
              <w:rPr>
                <w:lang w:val="en-GB"/>
              </w:rPr>
            </w:pPr>
          </w:p>
        </w:tc>
        <w:tc>
          <w:tcPr>
            <w:tcW w:w="1215" w:type="dxa"/>
            <w:gridSpan w:val="2"/>
          </w:tcPr>
          <w:p w14:paraId="2FBEBEB5" w14:textId="77777777" w:rsidR="005172E3" w:rsidRPr="0062700E" w:rsidRDefault="005172E3" w:rsidP="005D2E65">
            <w:pPr>
              <w:rPr>
                <w:lang w:val="en-GB"/>
              </w:rPr>
            </w:pPr>
          </w:p>
        </w:tc>
        <w:tc>
          <w:tcPr>
            <w:tcW w:w="5785" w:type="dxa"/>
          </w:tcPr>
          <w:p w14:paraId="43A6E1EC" w14:textId="57D33BA1" w:rsidR="005172E3" w:rsidRPr="0062700E" w:rsidDel="00552447" w:rsidRDefault="005172E3" w:rsidP="00774B6B">
            <w:pPr>
              <w:rPr>
                <w:lang w:val="en-GB"/>
              </w:rPr>
            </w:pPr>
            <w:r w:rsidRPr="0062700E">
              <w:rPr>
                <w:lang w:val="en-GB"/>
              </w:rPr>
              <w:t>General comment on Goal C: It needs to expand benefit-sharing from use of genetic resources and associated traditional knowledge to use of biological resources and to include broader other forms of benefit-sharing linked to conservation and sustainable use</w:t>
            </w:r>
            <w:r w:rsidR="007A1649" w:rsidRPr="0062700E">
              <w:rPr>
                <w:lang w:val="en-GB"/>
              </w:rPr>
              <w:t>.</w:t>
            </w:r>
          </w:p>
        </w:tc>
      </w:tr>
      <w:tr w:rsidR="005D2E65" w:rsidRPr="0062700E" w14:paraId="295EE615" w14:textId="77777777" w:rsidTr="005D2E65">
        <w:trPr>
          <w:trHeight w:val="224"/>
        </w:trPr>
        <w:tc>
          <w:tcPr>
            <w:tcW w:w="817" w:type="dxa"/>
          </w:tcPr>
          <w:p w14:paraId="70382FB1" w14:textId="77777777" w:rsidR="005D2E65" w:rsidRPr="0062700E" w:rsidRDefault="00564DA2" w:rsidP="005D2E65">
            <w:pPr>
              <w:rPr>
                <w:lang w:val="en-GB"/>
              </w:rPr>
            </w:pPr>
            <w:r w:rsidRPr="0062700E">
              <w:rPr>
                <w:lang w:val="en-GB"/>
              </w:rPr>
              <w:t>1</w:t>
            </w:r>
          </w:p>
        </w:tc>
        <w:tc>
          <w:tcPr>
            <w:tcW w:w="815" w:type="dxa"/>
          </w:tcPr>
          <w:p w14:paraId="368A91C9" w14:textId="77777777" w:rsidR="005D2E65" w:rsidRPr="0062700E" w:rsidRDefault="00564DA2" w:rsidP="005D2E65">
            <w:pPr>
              <w:rPr>
                <w:lang w:val="en-GB"/>
              </w:rPr>
            </w:pPr>
            <w:r w:rsidRPr="0062700E">
              <w:rPr>
                <w:lang w:val="en-GB"/>
              </w:rPr>
              <w:t xml:space="preserve">6 </w:t>
            </w:r>
          </w:p>
        </w:tc>
        <w:tc>
          <w:tcPr>
            <w:tcW w:w="974" w:type="dxa"/>
          </w:tcPr>
          <w:p w14:paraId="7D07A8DA" w14:textId="77777777" w:rsidR="005D2E65" w:rsidRPr="0062700E" w:rsidRDefault="00564DA2" w:rsidP="005D2E65">
            <w:pPr>
              <w:rPr>
                <w:lang w:val="en-GB"/>
              </w:rPr>
            </w:pPr>
            <w:r w:rsidRPr="0062700E">
              <w:rPr>
                <w:lang w:val="en-GB"/>
              </w:rPr>
              <w:t>B</w:t>
            </w:r>
          </w:p>
        </w:tc>
        <w:tc>
          <w:tcPr>
            <w:tcW w:w="1215" w:type="dxa"/>
            <w:gridSpan w:val="2"/>
          </w:tcPr>
          <w:p w14:paraId="29E5B56C" w14:textId="77777777" w:rsidR="005D2E65" w:rsidRPr="0062700E" w:rsidRDefault="00564DA2" w:rsidP="005D2E65">
            <w:pPr>
              <w:rPr>
                <w:lang w:val="en-GB"/>
              </w:rPr>
            </w:pPr>
            <w:r w:rsidRPr="0062700E">
              <w:rPr>
                <w:lang w:val="en-GB"/>
              </w:rPr>
              <w:t>64-71</w:t>
            </w:r>
          </w:p>
        </w:tc>
        <w:tc>
          <w:tcPr>
            <w:tcW w:w="5785" w:type="dxa"/>
          </w:tcPr>
          <w:p w14:paraId="6C6DBE62" w14:textId="77777777" w:rsidR="00564DA2" w:rsidRPr="0062700E" w:rsidRDefault="00564DA2" w:rsidP="00564DA2">
            <w:pPr>
              <w:rPr>
                <w:lang w:val="en-GB"/>
              </w:rPr>
            </w:pPr>
            <w:r w:rsidRPr="0062700E">
              <w:rPr>
                <w:lang w:val="en-GB"/>
              </w:rPr>
              <w:t>Monitoring elements described should include language</w:t>
            </w:r>
          </w:p>
          <w:p w14:paraId="492DA0C0" w14:textId="78A038FF" w:rsidR="00564DA2" w:rsidRPr="0062700E" w:rsidRDefault="00564DA2" w:rsidP="00564DA2">
            <w:pPr>
              <w:rPr>
                <w:lang w:val="en-GB"/>
              </w:rPr>
            </w:pPr>
            <w:r w:rsidRPr="0062700E">
              <w:rPr>
                <w:lang w:val="en-GB"/>
              </w:rPr>
              <w:t>around equitable and just distribution of benefits,</w:t>
            </w:r>
          </w:p>
          <w:p w14:paraId="767CB5FF" w14:textId="4DBB4975" w:rsidR="005D2E65" w:rsidRPr="0062700E" w:rsidRDefault="00564DA2" w:rsidP="00F221BB">
            <w:pPr>
              <w:rPr>
                <w:lang w:val="en-GB"/>
              </w:rPr>
            </w:pPr>
            <w:r w:rsidRPr="0062700E">
              <w:rPr>
                <w:lang w:val="en-GB"/>
              </w:rPr>
              <w:t xml:space="preserve">including to women and indigenous peoples </w:t>
            </w:r>
            <w:r w:rsidR="00587A62" w:rsidRPr="0062700E">
              <w:rPr>
                <w:lang w:val="en-GB"/>
              </w:rPr>
              <w:t xml:space="preserve">and local communities </w:t>
            </w:r>
            <w:r w:rsidRPr="0062700E">
              <w:rPr>
                <w:lang w:val="en-GB"/>
              </w:rPr>
              <w:t xml:space="preserve">as populations </w:t>
            </w:r>
            <w:r w:rsidR="00F313AE" w:rsidRPr="0062700E">
              <w:rPr>
                <w:lang w:val="en-GB"/>
              </w:rPr>
              <w:t xml:space="preserve">requiring </w:t>
            </w:r>
            <w:r w:rsidRPr="0062700E">
              <w:rPr>
                <w:lang w:val="en-GB"/>
              </w:rPr>
              <w:t xml:space="preserve">additional attention; call for diverse perspectives of rural land users, including women, youth, and indigenous </w:t>
            </w:r>
            <w:r w:rsidR="00F221BB" w:rsidRPr="0062700E">
              <w:rPr>
                <w:lang w:val="en-GB"/>
              </w:rPr>
              <w:t>peoples and communities</w:t>
            </w:r>
            <w:r w:rsidRPr="0062700E">
              <w:rPr>
                <w:lang w:val="en-GB"/>
              </w:rPr>
              <w:t>, in assessing these trends; and distinguish between small-scale provision from biodiversity and large-scale or commercial provision.</w:t>
            </w:r>
          </w:p>
        </w:tc>
      </w:tr>
      <w:tr w:rsidR="00A74858" w:rsidRPr="0062700E" w14:paraId="58ACCDF9" w14:textId="77777777" w:rsidTr="005D2E65">
        <w:trPr>
          <w:trHeight w:val="224"/>
        </w:trPr>
        <w:tc>
          <w:tcPr>
            <w:tcW w:w="817" w:type="dxa"/>
          </w:tcPr>
          <w:p w14:paraId="38AD8394" w14:textId="77777777" w:rsidR="00A74858" w:rsidRPr="0062700E" w:rsidRDefault="00A74858" w:rsidP="00A74858">
            <w:pPr>
              <w:rPr>
                <w:lang w:val="en-GB"/>
              </w:rPr>
            </w:pPr>
            <w:r w:rsidRPr="0062700E">
              <w:rPr>
                <w:lang w:val="en-GB"/>
              </w:rPr>
              <w:t>1</w:t>
            </w:r>
          </w:p>
        </w:tc>
        <w:tc>
          <w:tcPr>
            <w:tcW w:w="815" w:type="dxa"/>
          </w:tcPr>
          <w:p w14:paraId="739D9755" w14:textId="77777777" w:rsidR="00A74858" w:rsidRPr="0062700E" w:rsidRDefault="00A74858" w:rsidP="00A74858">
            <w:pPr>
              <w:rPr>
                <w:lang w:val="en-GB"/>
              </w:rPr>
            </w:pPr>
            <w:r w:rsidRPr="0062700E">
              <w:rPr>
                <w:lang w:val="en-GB"/>
              </w:rPr>
              <w:t>6</w:t>
            </w:r>
          </w:p>
        </w:tc>
        <w:tc>
          <w:tcPr>
            <w:tcW w:w="974" w:type="dxa"/>
          </w:tcPr>
          <w:p w14:paraId="7FC39E85" w14:textId="77777777" w:rsidR="00A74858" w:rsidRPr="0062700E" w:rsidRDefault="00A74858" w:rsidP="00A74858">
            <w:pPr>
              <w:rPr>
                <w:lang w:val="en-GB"/>
              </w:rPr>
            </w:pPr>
            <w:r w:rsidRPr="0062700E">
              <w:rPr>
                <w:lang w:val="en-GB"/>
              </w:rPr>
              <w:t>C</w:t>
            </w:r>
          </w:p>
        </w:tc>
        <w:tc>
          <w:tcPr>
            <w:tcW w:w="1215" w:type="dxa"/>
            <w:gridSpan w:val="2"/>
          </w:tcPr>
          <w:p w14:paraId="0EA56442" w14:textId="77777777" w:rsidR="00A74858" w:rsidRPr="0062700E" w:rsidRDefault="00A74858" w:rsidP="00A74858">
            <w:pPr>
              <w:rPr>
                <w:lang w:val="en-GB"/>
              </w:rPr>
            </w:pPr>
            <w:r w:rsidRPr="0062700E">
              <w:rPr>
                <w:lang w:val="en-GB"/>
              </w:rPr>
              <w:t>68-71</w:t>
            </w:r>
          </w:p>
        </w:tc>
        <w:tc>
          <w:tcPr>
            <w:tcW w:w="5785" w:type="dxa"/>
          </w:tcPr>
          <w:p w14:paraId="7A03E8E7" w14:textId="77777777" w:rsidR="00A74858" w:rsidRPr="0062700E" w:rsidRDefault="00A74858" w:rsidP="00A74858">
            <w:pPr>
              <w:autoSpaceDE w:val="0"/>
              <w:autoSpaceDN w:val="0"/>
              <w:adjustRightInd w:val="0"/>
              <w:rPr>
                <w:lang w:val="en-GB" w:eastAsia="zh-CN"/>
              </w:rPr>
            </w:pPr>
            <w:r w:rsidRPr="0062700E">
              <w:rPr>
                <w:lang w:val="en-GB" w:eastAsia="zh-CN"/>
              </w:rPr>
              <w:t>Trends of linguistic diversity and numbers of speakers of</w:t>
            </w:r>
          </w:p>
          <w:p w14:paraId="030AD737" w14:textId="77777777" w:rsidR="00A74858" w:rsidRPr="0062700E" w:rsidRDefault="00A74858" w:rsidP="00A74858">
            <w:pPr>
              <w:autoSpaceDE w:val="0"/>
              <w:autoSpaceDN w:val="0"/>
              <w:adjustRightInd w:val="0"/>
              <w:rPr>
                <w:lang w:val="en-GB" w:eastAsia="zh-CN"/>
              </w:rPr>
            </w:pPr>
            <w:r w:rsidRPr="0062700E">
              <w:rPr>
                <w:lang w:val="en-GB" w:eastAsia="zh-CN"/>
              </w:rPr>
              <w:t>indigenous languages (decision VII/30 and VIII/15) and</w:t>
            </w:r>
          </w:p>
          <w:p w14:paraId="51EEFEAB" w14:textId="06AE5D77" w:rsidR="00A74858" w:rsidRPr="0062700E" w:rsidRDefault="00A74858" w:rsidP="00D65461">
            <w:pPr>
              <w:rPr>
                <w:lang w:val="en-GB"/>
              </w:rPr>
            </w:pPr>
            <w:r w:rsidRPr="0062700E">
              <w:rPr>
                <w:lang w:val="en-GB" w:eastAsia="zh-CN"/>
              </w:rPr>
              <w:t>traditional knowledge</w:t>
            </w:r>
            <w:r w:rsidRPr="0062700E">
              <w:rPr>
                <w:lang w:val="en-GB"/>
              </w:rPr>
              <w:t xml:space="preserve">.  Other possible indicators could be: increased % of sacred sites recognized by governments; increased level of </w:t>
            </w:r>
            <w:r w:rsidR="00E87D60" w:rsidRPr="0062700E">
              <w:rPr>
                <w:lang w:val="en-GB"/>
              </w:rPr>
              <w:t xml:space="preserve">Indigenous peoples’ and communities’ </w:t>
            </w:r>
            <w:r w:rsidRPr="0062700E">
              <w:rPr>
                <w:lang w:val="en-GB"/>
              </w:rPr>
              <w:t>access</w:t>
            </w:r>
            <w:r w:rsidR="00E87D60" w:rsidRPr="0062700E">
              <w:rPr>
                <w:lang w:val="en-GB"/>
              </w:rPr>
              <w:t xml:space="preserve"> to and culturally appropriate </w:t>
            </w:r>
            <w:r w:rsidRPr="0062700E">
              <w:rPr>
                <w:lang w:val="en-GB"/>
              </w:rPr>
              <w:t xml:space="preserve">activity </w:t>
            </w:r>
            <w:r w:rsidR="00E87D60" w:rsidRPr="0062700E">
              <w:rPr>
                <w:lang w:val="en-GB"/>
              </w:rPr>
              <w:t>with</w:t>
            </w:r>
            <w:r w:rsidRPr="0062700E">
              <w:rPr>
                <w:lang w:val="en-GB"/>
              </w:rPr>
              <w:t xml:space="preserve">in sacred sites, increased engagement in </w:t>
            </w:r>
            <w:r w:rsidR="00454C0E" w:rsidRPr="0062700E">
              <w:rPr>
                <w:lang w:val="en-GB"/>
              </w:rPr>
              <w:t xml:space="preserve">indigenous and local </w:t>
            </w:r>
            <w:r w:rsidRPr="0062700E">
              <w:rPr>
                <w:lang w:val="en-GB"/>
              </w:rPr>
              <w:t>practices (including participation and knowledge of ceremonies related to biodiversity and food)</w:t>
            </w:r>
            <w:r w:rsidR="00D65461" w:rsidRPr="0062700E">
              <w:rPr>
                <w:lang w:val="en-GB"/>
              </w:rPr>
              <w:t>.</w:t>
            </w:r>
          </w:p>
        </w:tc>
      </w:tr>
      <w:tr w:rsidR="00A74858" w:rsidRPr="0062700E" w14:paraId="31945060" w14:textId="77777777" w:rsidTr="005D2E65">
        <w:trPr>
          <w:trHeight w:val="224"/>
        </w:trPr>
        <w:tc>
          <w:tcPr>
            <w:tcW w:w="817" w:type="dxa"/>
          </w:tcPr>
          <w:p w14:paraId="7866B0DB" w14:textId="77777777" w:rsidR="00A74858" w:rsidRPr="0062700E" w:rsidRDefault="00A74858" w:rsidP="00A74858">
            <w:pPr>
              <w:rPr>
                <w:lang w:val="en-GB"/>
              </w:rPr>
            </w:pPr>
            <w:r w:rsidRPr="0062700E">
              <w:rPr>
                <w:lang w:val="en-GB"/>
              </w:rPr>
              <w:t>1</w:t>
            </w:r>
          </w:p>
        </w:tc>
        <w:tc>
          <w:tcPr>
            <w:tcW w:w="815" w:type="dxa"/>
          </w:tcPr>
          <w:p w14:paraId="169BB4E0" w14:textId="77777777" w:rsidR="00A74858" w:rsidRPr="0062700E" w:rsidRDefault="00A74858" w:rsidP="00A74858">
            <w:pPr>
              <w:rPr>
                <w:lang w:val="en-GB"/>
              </w:rPr>
            </w:pPr>
            <w:r w:rsidRPr="0062700E">
              <w:rPr>
                <w:lang w:val="en-GB"/>
              </w:rPr>
              <w:t>6</w:t>
            </w:r>
          </w:p>
        </w:tc>
        <w:tc>
          <w:tcPr>
            <w:tcW w:w="974" w:type="dxa"/>
          </w:tcPr>
          <w:p w14:paraId="6E76BDD4" w14:textId="77777777" w:rsidR="00A74858" w:rsidRPr="0062700E" w:rsidRDefault="00A74858" w:rsidP="00A74858">
            <w:pPr>
              <w:rPr>
                <w:lang w:val="en-GB"/>
              </w:rPr>
            </w:pPr>
            <w:r w:rsidRPr="0062700E">
              <w:rPr>
                <w:lang w:val="en-GB"/>
              </w:rPr>
              <w:t>A, B, C</w:t>
            </w:r>
          </w:p>
        </w:tc>
        <w:tc>
          <w:tcPr>
            <w:tcW w:w="1215" w:type="dxa"/>
            <w:gridSpan w:val="2"/>
          </w:tcPr>
          <w:p w14:paraId="5C5D60A8" w14:textId="77777777" w:rsidR="00A74858" w:rsidRPr="0062700E" w:rsidRDefault="00A74858" w:rsidP="00A74858">
            <w:pPr>
              <w:rPr>
                <w:lang w:val="en-GB"/>
              </w:rPr>
            </w:pPr>
            <w:r w:rsidRPr="0062700E">
              <w:rPr>
                <w:lang w:val="en-GB"/>
              </w:rPr>
              <w:t>72-76</w:t>
            </w:r>
          </w:p>
        </w:tc>
        <w:tc>
          <w:tcPr>
            <w:tcW w:w="5785" w:type="dxa"/>
          </w:tcPr>
          <w:p w14:paraId="0551E394" w14:textId="0271F7AC" w:rsidR="00A74858" w:rsidRPr="0062700E" w:rsidRDefault="006F78B8" w:rsidP="001D0A7E">
            <w:pPr>
              <w:rPr>
                <w:lang w:val="en-GB"/>
              </w:rPr>
            </w:pPr>
            <w:r w:rsidRPr="0062700E">
              <w:rPr>
                <w:lang w:val="en-GB"/>
              </w:rPr>
              <w:t xml:space="preserve">The Nagoya Protocol on Access and Benefit Sharing (ABS) </w:t>
            </w:r>
            <w:r w:rsidR="00D65461" w:rsidRPr="0062700E">
              <w:rPr>
                <w:lang w:val="en-GB"/>
              </w:rPr>
              <w:t>recognizes</w:t>
            </w:r>
            <w:r w:rsidRPr="0062700E">
              <w:rPr>
                <w:lang w:val="en-GB"/>
              </w:rPr>
              <w:t xml:space="preserve"> the rights of indigenous peoples and local communities in accordance with the United Nations Declaration on the Rights of Indigenous Peoples (UNDRIP).  State Parties are obliged to take legislative, administrative and technical measures to recognize, respect and support/ensure the free, prior and informed consent of Indigenous peoples and their effective involvement.  </w:t>
            </w:r>
            <w:r w:rsidR="001233F6" w:rsidRPr="0062700E">
              <w:rPr>
                <w:lang w:val="en-GB"/>
              </w:rPr>
              <w:t xml:space="preserve">To be able to have access and to ensure equitable benefit sharing, the monitoring elements must include:  1. </w:t>
            </w:r>
            <w:r w:rsidRPr="0062700E">
              <w:rPr>
                <w:lang w:val="en-GB"/>
              </w:rPr>
              <w:t xml:space="preserve">focus on developing mechanisms for the protection of knowledge and capacity building in </w:t>
            </w:r>
            <w:r w:rsidR="00A45D0F" w:rsidRPr="0062700E">
              <w:rPr>
                <w:lang w:val="en-GB"/>
              </w:rPr>
              <w:lastRenderedPageBreak/>
              <w:t xml:space="preserve">indigenous peoples and </w:t>
            </w:r>
            <w:r w:rsidRPr="0062700E">
              <w:rPr>
                <w:lang w:val="en-GB"/>
              </w:rPr>
              <w:t>local communities</w:t>
            </w:r>
            <w:r w:rsidR="001233F6" w:rsidRPr="0062700E">
              <w:rPr>
                <w:lang w:val="en-GB"/>
              </w:rPr>
              <w:t xml:space="preserve"> (indicator could be: increased capacity development among indigenous and local communities on access and benefit sharing) 2. Trends in men</w:t>
            </w:r>
            <w:r w:rsidR="001D0A7E" w:rsidRPr="0062700E">
              <w:rPr>
                <w:lang w:val="en-GB"/>
              </w:rPr>
              <w:t>’s</w:t>
            </w:r>
            <w:r w:rsidR="001233F6" w:rsidRPr="0062700E">
              <w:rPr>
                <w:lang w:val="en-GB"/>
              </w:rPr>
              <w:t xml:space="preserve"> and women</w:t>
            </w:r>
            <w:r w:rsidR="001D0A7E" w:rsidRPr="0062700E">
              <w:rPr>
                <w:lang w:val="en-GB"/>
              </w:rPr>
              <w:t>’s</w:t>
            </w:r>
            <w:r w:rsidR="001233F6" w:rsidRPr="0062700E">
              <w:rPr>
                <w:lang w:val="en-GB"/>
              </w:rPr>
              <w:t xml:space="preserve"> ownership and rights over land and other forms of natural resources.</w:t>
            </w:r>
            <w:r w:rsidR="00842658" w:rsidRPr="0062700E">
              <w:rPr>
                <w:lang w:val="en-GB"/>
              </w:rPr>
              <w:t xml:space="preserve">  </w:t>
            </w:r>
          </w:p>
        </w:tc>
      </w:tr>
      <w:tr w:rsidR="00A74858" w:rsidRPr="0062700E" w14:paraId="4FBAF5D3" w14:textId="77777777" w:rsidTr="005D2E65">
        <w:trPr>
          <w:trHeight w:val="224"/>
        </w:trPr>
        <w:tc>
          <w:tcPr>
            <w:tcW w:w="817" w:type="dxa"/>
          </w:tcPr>
          <w:p w14:paraId="21DC41C7" w14:textId="77777777" w:rsidR="00A74858" w:rsidRPr="0062700E" w:rsidRDefault="00783C72" w:rsidP="00A74858">
            <w:pPr>
              <w:rPr>
                <w:lang w:val="en-GB"/>
              </w:rPr>
            </w:pPr>
            <w:r w:rsidRPr="0062700E">
              <w:rPr>
                <w:lang w:val="en-GB"/>
              </w:rPr>
              <w:lastRenderedPageBreak/>
              <w:t>1</w:t>
            </w:r>
          </w:p>
        </w:tc>
        <w:tc>
          <w:tcPr>
            <w:tcW w:w="815" w:type="dxa"/>
          </w:tcPr>
          <w:p w14:paraId="19D42D09" w14:textId="77777777" w:rsidR="00A74858" w:rsidRPr="0062700E" w:rsidRDefault="00783C72" w:rsidP="00A74858">
            <w:pPr>
              <w:rPr>
                <w:lang w:val="en-GB"/>
              </w:rPr>
            </w:pPr>
            <w:r w:rsidRPr="0062700E">
              <w:rPr>
                <w:lang w:val="en-GB"/>
              </w:rPr>
              <w:t>6</w:t>
            </w:r>
          </w:p>
        </w:tc>
        <w:tc>
          <w:tcPr>
            <w:tcW w:w="974" w:type="dxa"/>
          </w:tcPr>
          <w:p w14:paraId="7BD07F84" w14:textId="77777777" w:rsidR="00A74858" w:rsidRPr="0062700E" w:rsidRDefault="00783C72" w:rsidP="00A74858">
            <w:pPr>
              <w:rPr>
                <w:lang w:val="en-GB"/>
              </w:rPr>
            </w:pPr>
            <w:r w:rsidRPr="0062700E">
              <w:rPr>
                <w:lang w:val="en-GB"/>
              </w:rPr>
              <w:t>C</w:t>
            </w:r>
          </w:p>
        </w:tc>
        <w:tc>
          <w:tcPr>
            <w:tcW w:w="1215" w:type="dxa"/>
            <w:gridSpan w:val="2"/>
          </w:tcPr>
          <w:p w14:paraId="08B8F593" w14:textId="77777777" w:rsidR="00A74858" w:rsidRPr="0062700E" w:rsidRDefault="00783C72" w:rsidP="00A74858">
            <w:pPr>
              <w:rPr>
                <w:lang w:val="en-GB"/>
              </w:rPr>
            </w:pPr>
            <w:r w:rsidRPr="0062700E">
              <w:rPr>
                <w:lang w:val="en-GB"/>
              </w:rPr>
              <w:t>72-76</w:t>
            </w:r>
          </w:p>
        </w:tc>
        <w:tc>
          <w:tcPr>
            <w:tcW w:w="5785" w:type="dxa"/>
          </w:tcPr>
          <w:p w14:paraId="3AB1BD61" w14:textId="69372F6A" w:rsidR="00A74858" w:rsidRPr="0062700E" w:rsidRDefault="00783C72" w:rsidP="00A74858">
            <w:pPr>
              <w:rPr>
                <w:lang w:val="en-GB"/>
              </w:rPr>
            </w:pPr>
            <w:r w:rsidRPr="0062700E">
              <w:rPr>
                <w:lang w:val="en-GB"/>
              </w:rPr>
              <w:t>Proposed indicator: proportion of total adult population with secure tenure rights to land, with legally recognized documentation and who perceive their rights to land as secure by sex and by type of tenure (SDG 1.4.2), including marine</w:t>
            </w:r>
            <w:r w:rsidR="00F52F5B" w:rsidRPr="0062700E">
              <w:rPr>
                <w:lang w:val="en-GB"/>
              </w:rPr>
              <w:t xml:space="preserve"> and coastal</w:t>
            </w:r>
            <w:r w:rsidRPr="0062700E">
              <w:rPr>
                <w:lang w:val="en-GB"/>
              </w:rPr>
              <w:t xml:space="preserve"> territories</w:t>
            </w:r>
            <w:r w:rsidR="00F52F5B" w:rsidRPr="0062700E">
              <w:rPr>
                <w:lang w:val="en-GB"/>
              </w:rPr>
              <w:t>.</w:t>
            </w:r>
          </w:p>
        </w:tc>
      </w:tr>
      <w:tr w:rsidR="00A74858" w:rsidRPr="0062700E" w14:paraId="487EF237" w14:textId="77777777" w:rsidTr="005D2E65">
        <w:trPr>
          <w:trHeight w:val="224"/>
        </w:trPr>
        <w:tc>
          <w:tcPr>
            <w:tcW w:w="817" w:type="dxa"/>
          </w:tcPr>
          <w:p w14:paraId="52757359" w14:textId="77777777" w:rsidR="00A74858" w:rsidRPr="0062700E" w:rsidRDefault="00783C72" w:rsidP="00A74858">
            <w:pPr>
              <w:rPr>
                <w:lang w:val="en-GB"/>
              </w:rPr>
            </w:pPr>
            <w:r w:rsidRPr="0062700E">
              <w:rPr>
                <w:lang w:val="en-GB"/>
              </w:rPr>
              <w:t>1</w:t>
            </w:r>
          </w:p>
        </w:tc>
        <w:tc>
          <w:tcPr>
            <w:tcW w:w="815" w:type="dxa"/>
          </w:tcPr>
          <w:p w14:paraId="7ED6F30C" w14:textId="77777777" w:rsidR="00A74858" w:rsidRPr="0062700E" w:rsidRDefault="00783C72" w:rsidP="00A74858">
            <w:pPr>
              <w:rPr>
                <w:lang w:val="en-GB"/>
              </w:rPr>
            </w:pPr>
            <w:r w:rsidRPr="0062700E">
              <w:rPr>
                <w:lang w:val="en-GB"/>
              </w:rPr>
              <w:t>6</w:t>
            </w:r>
          </w:p>
        </w:tc>
        <w:tc>
          <w:tcPr>
            <w:tcW w:w="974" w:type="dxa"/>
          </w:tcPr>
          <w:p w14:paraId="17370BC6" w14:textId="77777777" w:rsidR="00A74858" w:rsidRPr="0062700E" w:rsidRDefault="00783C72" w:rsidP="00A74858">
            <w:pPr>
              <w:rPr>
                <w:lang w:val="en-GB"/>
              </w:rPr>
            </w:pPr>
            <w:r w:rsidRPr="0062700E">
              <w:rPr>
                <w:lang w:val="en-GB"/>
              </w:rPr>
              <w:t>C</w:t>
            </w:r>
          </w:p>
        </w:tc>
        <w:tc>
          <w:tcPr>
            <w:tcW w:w="1215" w:type="dxa"/>
            <w:gridSpan w:val="2"/>
          </w:tcPr>
          <w:p w14:paraId="35CB5A83" w14:textId="77777777" w:rsidR="00A74858" w:rsidRPr="0062700E" w:rsidRDefault="00783C72" w:rsidP="00A74858">
            <w:pPr>
              <w:rPr>
                <w:lang w:val="en-GB"/>
              </w:rPr>
            </w:pPr>
            <w:r w:rsidRPr="0062700E">
              <w:rPr>
                <w:lang w:val="en-GB"/>
              </w:rPr>
              <w:t>74</w:t>
            </w:r>
          </w:p>
        </w:tc>
        <w:tc>
          <w:tcPr>
            <w:tcW w:w="5785" w:type="dxa"/>
          </w:tcPr>
          <w:p w14:paraId="555C142D" w14:textId="0522E81D" w:rsidR="00A74858" w:rsidRPr="0062700E" w:rsidRDefault="00783C72" w:rsidP="002908CA">
            <w:pPr>
              <w:rPr>
                <w:lang w:val="en-GB"/>
              </w:rPr>
            </w:pPr>
            <w:r w:rsidRPr="0062700E">
              <w:rPr>
                <w:lang w:val="en-GB"/>
              </w:rPr>
              <w:t xml:space="preserve">Suggest indicator on % of women and men who benefit from access to genetic resources, ensuring data is disaggregated by </w:t>
            </w:r>
            <w:r w:rsidR="002908CA" w:rsidRPr="0062700E">
              <w:rPr>
                <w:lang w:val="en-GB"/>
              </w:rPr>
              <w:t>sex</w:t>
            </w:r>
            <w:r w:rsidRPr="0062700E">
              <w:rPr>
                <w:lang w:val="en-GB"/>
              </w:rPr>
              <w:t xml:space="preserve">. </w:t>
            </w:r>
          </w:p>
        </w:tc>
      </w:tr>
      <w:tr w:rsidR="00A74858" w:rsidRPr="0062700E" w14:paraId="51E23658" w14:textId="77777777" w:rsidTr="005D2E65">
        <w:trPr>
          <w:trHeight w:val="224"/>
        </w:trPr>
        <w:tc>
          <w:tcPr>
            <w:tcW w:w="817" w:type="dxa"/>
          </w:tcPr>
          <w:p w14:paraId="491F0916" w14:textId="77777777" w:rsidR="00A74858" w:rsidRPr="0062700E" w:rsidRDefault="0015535D" w:rsidP="00A74858">
            <w:pPr>
              <w:rPr>
                <w:lang w:val="en-GB"/>
              </w:rPr>
            </w:pPr>
            <w:r w:rsidRPr="0062700E">
              <w:rPr>
                <w:lang w:val="en-GB"/>
              </w:rPr>
              <w:t>1</w:t>
            </w:r>
          </w:p>
        </w:tc>
        <w:tc>
          <w:tcPr>
            <w:tcW w:w="815" w:type="dxa"/>
          </w:tcPr>
          <w:p w14:paraId="46AC7A6B" w14:textId="77777777" w:rsidR="00A74858" w:rsidRPr="0062700E" w:rsidRDefault="0015535D" w:rsidP="00A74858">
            <w:pPr>
              <w:rPr>
                <w:lang w:val="en-GB"/>
              </w:rPr>
            </w:pPr>
            <w:r w:rsidRPr="0062700E">
              <w:rPr>
                <w:lang w:val="en-GB"/>
              </w:rPr>
              <w:t>7</w:t>
            </w:r>
          </w:p>
        </w:tc>
        <w:tc>
          <w:tcPr>
            <w:tcW w:w="974" w:type="dxa"/>
          </w:tcPr>
          <w:p w14:paraId="61E12426" w14:textId="77777777" w:rsidR="00A74858" w:rsidRPr="0062700E" w:rsidRDefault="0015535D" w:rsidP="00A74858">
            <w:pPr>
              <w:rPr>
                <w:lang w:val="en-GB"/>
              </w:rPr>
            </w:pPr>
            <w:r w:rsidRPr="0062700E">
              <w:rPr>
                <w:lang w:val="en-GB"/>
              </w:rPr>
              <w:t>C</w:t>
            </w:r>
          </w:p>
        </w:tc>
        <w:tc>
          <w:tcPr>
            <w:tcW w:w="1215" w:type="dxa"/>
            <w:gridSpan w:val="2"/>
          </w:tcPr>
          <w:p w14:paraId="1534B85F" w14:textId="77777777" w:rsidR="00A74858" w:rsidRPr="0062700E" w:rsidRDefault="00A17608" w:rsidP="00A74858">
            <w:pPr>
              <w:rPr>
                <w:lang w:val="en-GB"/>
              </w:rPr>
            </w:pPr>
            <w:r w:rsidRPr="0062700E">
              <w:rPr>
                <w:lang w:val="en-GB"/>
              </w:rPr>
              <w:t>77-85</w:t>
            </w:r>
          </w:p>
        </w:tc>
        <w:tc>
          <w:tcPr>
            <w:tcW w:w="5785" w:type="dxa"/>
          </w:tcPr>
          <w:p w14:paraId="2291E3F0" w14:textId="3ECCCC62" w:rsidR="00A74858" w:rsidRPr="0062700E" w:rsidRDefault="00A17608" w:rsidP="002908CA">
            <w:pPr>
              <w:rPr>
                <w:lang w:val="en-GB"/>
              </w:rPr>
            </w:pPr>
            <w:r w:rsidRPr="0062700E">
              <w:rPr>
                <w:bCs/>
                <w:szCs w:val="22"/>
                <w:lang w:val="en-GB"/>
              </w:rPr>
              <w:t xml:space="preserve">Targets on protected and conserved areas must be closely linked with targets on halting the drivers of biodiversity loss.  Monitoring elements </w:t>
            </w:r>
            <w:r w:rsidR="002908CA" w:rsidRPr="0062700E">
              <w:rPr>
                <w:bCs/>
                <w:szCs w:val="22"/>
                <w:lang w:val="en-GB"/>
              </w:rPr>
              <w:t xml:space="preserve">should include </w:t>
            </w:r>
            <w:r w:rsidRPr="0062700E">
              <w:rPr>
                <w:bCs/>
                <w:szCs w:val="22"/>
                <w:lang w:val="en-GB"/>
              </w:rPr>
              <w:t>trends in reallocation of resources from drivers of biodiversity loss (infrastructure, monoculture plantations, bioenergy, use of chemical inputs for food crops, etc</w:t>
            </w:r>
            <w:r w:rsidR="002908CA" w:rsidRPr="0062700E">
              <w:rPr>
                <w:bCs/>
                <w:szCs w:val="22"/>
                <w:lang w:val="en-GB"/>
              </w:rPr>
              <w:t>.</w:t>
            </w:r>
            <w:r w:rsidRPr="0062700E">
              <w:rPr>
                <w:bCs/>
                <w:szCs w:val="22"/>
                <w:lang w:val="en-GB"/>
              </w:rPr>
              <w:t>) to po</w:t>
            </w:r>
            <w:r w:rsidR="003C649F" w:rsidRPr="0062700E">
              <w:rPr>
                <w:bCs/>
                <w:szCs w:val="22"/>
                <w:lang w:val="en-GB"/>
              </w:rPr>
              <w:t xml:space="preserve">sitive incentives </w:t>
            </w:r>
            <w:r w:rsidR="002908CA" w:rsidRPr="0062700E">
              <w:rPr>
                <w:bCs/>
                <w:szCs w:val="22"/>
                <w:lang w:val="en-GB"/>
              </w:rPr>
              <w:t>such as appropriate recognition and support for collective territories and areas conserved by indigenous peoples and communities.</w:t>
            </w:r>
          </w:p>
        </w:tc>
      </w:tr>
      <w:tr w:rsidR="00A74858" w:rsidRPr="0062700E" w14:paraId="113FECAF" w14:textId="77777777" w:rsidTr="005D2E65">
        <w:trPr>
          <w:trHeight w:val="224"/>
        </w:trPr>
        <w:tc>
          <w:tcPr>
            <w:tcW w:w="817" w:type="dxa"/>
          </w:tcPr>
          <w:p w14:paraId="6E4BA4BC" w14:textId="77777777" w:rsidR="00A74858" w:rsidRPr="0062700E" w:rsidRDefault="003C649F" w:rsidP="00A74858">
            <w:pPr>
              <w:rPr>
                <w:lang w:val="en-GB"/>
              </w:rPr>
            </w:pPr>
            <w:r w:rsidRPr="0062700E">
              <w:rPr>
                <w:lang w:val="en-GB"/>
              </w:rPr>
              <w:t>1</w:t>
            </w:r>
          </w:p>
        </w:tc>
        <w:tc>
          <w:tcPr>
            <w:tcW w:w="815" w:type="dxa"/>
          </w:tcPr>
          <w:p w14:paraId="66FBA72C" w14:textId="77777777" w:rsidR="00A74858" w:rsidRPr="0062700E" w:rsidRDefault="003C649F" w:rsidP="00A74858">
            <w:pPr>
              <w:rPr>
                <w:lang w:val="en-GB"/>
              </w:rPr>
            </w:pPr>
            <w:r w:rsidRPr="0062700E">
              <w:rPr>
                <w:lang w:val="en-GB"/>
              </w:rPr>
              <w:t>7</w:t>
            </w:r>
          </w:p>
        </w:tc>
        <w:tc>
          <w:tcPr>
            <w:tcW w:w="974" w:type="dxa"/>
          </w:tcPr>
          <w:p w14:paraId="5F492BF5" w14:textId="77777777" w:rsidR="00A74858" w:rsidRPr="0062700E" w:rsidRDefault="003C649F" w:rsidP="00A74858">
            <w:pPr>
              <w:rPr>
                <w:lang w:val="en-GB"/>
              </w:rPr>
            </w:pPr>
            <w:r w:rsidRPr="0062700E">
              <w:rPr>
                <w:lang w:val="en-GB"/>
              </w:rPr>
              <w:t>C</w:t>
            </w:r>
          </w:p>
        </w:tc>
        <w:tc>
          <w:tcPr>
            <w:tcW w:w="1215" w:type="dxa"/>
            <w:gridSpan w:val="2"/>
          </w:tcPr>
          <w:p w14:paraId="15284234" w14:textId="77777777" w:rsidR="00A74858" w:rsidRPr="0062700E" w:rsidRDefault="003C649F" w:rsidP="00A74858">
            <w:pPr>
              <w:rPr>
                <w:lang w:val="en-GB"/>
              </w:rPr>
            </w:pPr>
            <w:r w:rsidRPr="0062700E">
              <w:rPr>
                <w:lang w:val="en-GB"/>
              </w:rPr>
              <w:t>81,82</w:t>
            </w:r>
          </w:p>
        </w:tc>
        <w:tc>
          <w:tcPr>
            <w:tcW w:w="5785" w:type="dxa"/>
          </w:tcPr>
          <w:p w14:paraId="44808375" w14:textId="58C7D924" w:rsidR="00A74858" w:rsidRPr="0062700E" w:rsidRDefault="003C649F" w:rsidP="00A74858">
            <w:pPr>
              <w:rPr>
                <w:lang w:val="en-GB"/>
              </w:rPr>
            </w:pPr>
            <w:r w:rsidRPr="0062700E">
              <w:rPr>
                <w:lang w:val="en-GB"/>
              </w:rPr>
              <w:t>Indicators should focus on quality not just quantity of capacity development and capacity building activities.  Indicators on these monitoring elements should be designed in collaboration with rights-holders and stakeholders.  We strongly encourage that these indicators be culturally</w:t>
            </w:r>
            <w:r w:rsidR="007A1649" w:rsidRPr="0062700E">
              <w:rPr>
                <w:lang w:val="en-GB"/>
              </w:rPr>
              <w:t xml:space="preserve"> </w:t>
            </w:r>
            <w:r w:rsidRPr="0062700E">
              <w:rPr>
                <w:lang w:val="en-GB"/>
              </w:rPr>
              <w:t xml:space="preserve">relevant and community-based to enable meaningful action on the ground. </w:t>
            </w:r>
          </w:p>
        </w:tc>
      </w:tr>
      <w:tr w:rsidR="00A74858" w:rsidRPr="0062700E" w14:paraId="3FAF07BD" w14:textId="77777777" w:rsidTr="005D2E65">
        <w:trPr>
          <w:trHeight w:val="224"/>
        </w:trPr>
        <w:tc>
          <w:tcPr>
            <w:tcW w:w="817" w:type="dxa"/>
          </w:tcPr>
          <w:p w14:paraId="5C67AC7F" w14:textId="77777777" w:rsidR="00A74858" w:rsidRPr="0062700E" w:rsidRDefault="007356A5" w:rsidP="00A74858">
            <w:pPr>
              <w:rPr>
                <w:lang w:val="en-GB"/>
              </w:rPr>
            </w:pPr>
            <w:r w:rsidRPr="0062700E">
              <w:rPr>
                <w:lang w:val="en-GB"/>
              </w:rPr>
              <w:t>2</w:t>
            </w:r>
          </w:p>
        </w:tc>
        <w:tc>
          <w:tcPr>
            <w:tcW w:w="815" w:type="dxa"/>
          </w:tcPr>
          <w:p w14:paraId="10516373" w14:textId="77777777" w:rsidR="00A74858" w:rsidRPr="0062700E" w:rsidRDefault="007356A5" w:rsidP="00A74858">
            <w:pPr>
              <w:rPr>
                <w:lang w:val="en-GB"/>
              </w:rPr>
            </w:pPr>
            <w:r w:rsidRPr="0062700E">
              <w:rPr>
                <w:lang w:val="en-GB"/>
              </w:rPr>
              <w:t>8</w:t>
            </w:r>
          </w:p>
        </w:tc>
        <w:tc>
          <w:tcPr>
            <w:tcW w:w="974" w:type="dxa"/>
          </w:tcPr>
          <w:p w14:paraId="1D60E80E" w14:textId="77777777" w:rsidR="00A74858" w:rsidRPr="0062700E" w:rsidRDefault="007356A5" w:rsidP="00A74858">
            <w:pPr>
              <w:rPr>
                <w:lang w:val="en-GB"/>
              </w:rPr>
            </w:pPr>
            <w:r w:rsidRPr="0062700E">
              <w:rPr>
                <w:lang w:val="en-GB"/>
              </w:rPr>
              <w:t>A, B, C</w:t>
            </w:r>
          </w:p>
        </w:tc>
        <w:tc>
          <w:tcPr>
            <w:tcW w:w="1215" w:type="dxa"/>
            <w:gridSpan w:val="2"/>
          </w:tcPr>
          <w:p w14:paraId="29B31A2F" w14:textId="77777777" w:rsidR="00A74858" w:rsidRPr="0062700E" w:rsidRDefault="007356A5" w:rsidP="00A74858">
            <w:pPr>
              <w:rPr>
                <w:lang w:val="en-GB"/>
              </w:rPr>
            </w:pPr>
            <w:r w:rsidRPr="0062700E">
              <w:rPr>
                <w:lang w:val="en-GB"/>
              </w:rPr>
              <w:t>1-34</w:t>
            </w:r>
          </w:p>
        </w:tc>
        <w:tc>
          <w:tcPr>
            <w:tcW w:w="5785" w:type="dxa"/>
          </w:tcPr>
          <w:p w14:paraId="57004049" w14:textId="3CAC5674" w:rsidR="00A74858" w:rsidRPr="0062700E" w:rsidRDefault="005E3650" w:rsidP="00CA2840">
            <w:pPr>
              <w:rPr>
                <w:lang w:val="en-GB"/>
              </w:rPr>
            </w:pPr>
            <w:r w:rsidRPr="0062700E">
              <w:rPr>
                <w:lang w:val="en-GB"/>
              </w:rPr>
              <w:t>Any spatial target should not be considered in a vacuum</w:t>
            </w:r>
            <w:r w:rsidR="0090521A" w:rsidRPr="0062700E">
              <w:rPr>
                <w:lang w:val="en-GB"/>
              </w:rPr>
              <w:t xml:space="preserve"> and additional components should consider governance diversity, quality and vitality. A specific target on </w:t>
            </w:r>
            <w:r w:rsidR="00A72B4A" w:rsidRPr="0062700E">
              <w:rPr>
                <w:lang w:val="en-GB"/>
              </w:rPr>
              <w:t>collective lands, waters and territories</w:t>
            </w:r>
            <w:r w:rsidR="0090521A" w:rsidRPr="0062700E">
              <w:rPr>
                <w:lang w:val="en-GB"/>
              </w:rPr>
              <w:t xml:space="preserve"> should be considered. </w:t>
            </w:r>
            <w:r w:rsidR="00634D7C" w:rsidRPr="0062700E">
              <w:rPr>
                <w:lang w:val="en-GB"/>
              </w:rPr>
              <w:t xml:space="preserve">Potential indicators could be: percentage of collective lands, waters and territories, under the collective governance </w:t>
            </w:r>
            <w:r w:rsidR="00CA2840" w:rsidRPr="0062700E">
              <w:rPr>
                <w:lang w:val="en-GB"/>
              </w:rPr>
              <w:t xml:space="preserve">and stewardship </w:t>
            </w:r>
            <w:r w:rsidR="00634D7C" w:rsidRPr="0062700E">
              <w:rPr>
                <w:lang w:val="en-GB"/>
              </w:rPr>
              <w:t xml:space="preserve">of Indigenous peoples and local communities, against 2020 baselines. </w:t>
            </w:r>
            <w:r w:rsidR="0090521A" w:rsidRPr="0062700E">
              <w:rPr>
                <w:lang w:val="en-GB"/>
              </w:rPr>
              <w:t xml:space="preserve">   </w:t>
            </w:r>
          </w:p>
        </w:tc>
      </w:tr>
      <w:tr w:rsidR="008B450C" w:rsidRPr="0062700E" w14:paraId="661DC23C" w14:textId="77777777" w:rsidTr="005D2E65">
        <w:trPr>
          <w:trHeight w:val="224"/>
        </w:trPr>
        <w:tc>
          <w:tcPr>
            <w:tcW w:w="817" w:type="dxa"/>
          </w:tcPr>
          <w:p w14:paraId="266016EA" w14:textId="1EB156A9" w:rsidR="008B450C" w:rsidRPr="0062700E" w:rsidRDefault="008B450C" w:rsidP="00A74858">
            <w:pPr>
              <w:rPr>
                <w:lang w:val="en-GB"/>
              </w:rPr>
            </w:pPr>
            <w:r w:rsidRPr="0062700E">
              <w:rPr>
                <w:lang w:val="en-GB"/>
              </w:rPr>
              <w:t>2</w:t>
            </w:r>
          </w:p>
        </w:tc>
        <w:tc>
          <w:tcPr>
            <w:tcW w:w="815" w:type="dxa"/>
          </w:tcPr>
          <w:p w14:paraId="4F5BD66A" w14:textId="4C5DB387" w:rsidR="008B450C" w:rsidRPr="0062700E" w:rsidRDefault="008B450C" w:rsidP="00A74858">
            <w:pPr>
              <w:rPr>
                <w:lang w:val="en-GB"/>
              </w:rPr>
            </w:pPr>
            <w:r w:rsidRPr="0062700E">
              <w:rPr>
                <w:lang w:val="en-GB"/>
              </w:rPr>
              <w:t>10</w:t>
            </w:r>
          </w:p>
        </w:tc>
        <w:tc>
          <w:tcPr>
            <w:tcW w:w="974" w:type="dxa"/>
          </w:tcPr>
          <w:p w14:paraId="113D7E52" w14:textId="41BD295F" w:rsidR="008B450C" w:rsidRPr="0062700E" w:rsidRDefault="008B450C" w:rsidP="00A74858">
            <w:pPr>
              <w:rPr>
                <w:lang w:val="en-GB"/>
              </w:rPr>
            </w:pPr>
            <w:r w:rsidRPr="0062700E">
              <w:rPr>
                <w:lang w:val="en-GB"/>
              </w:rPr>
              <w:t>A</w:t>
            </w:r>
          </w:p>
        </w:tc>
        <w:tc>
          <w:tcPr>
            <w:tcW w:w="1215" w:type="dxa"/>
            <w:gridSpan w:val="2"/>
          </w:tcPr>
          <w:p w14:paraId="7F23D325" w14:textId="00F5D5A4" w:rsidR="008B450C" w:rsidRPr="0062700E" w:rsidRDefault="008B450C" w:rsidP="00A74858">
            <w:pPr>
              <w:rPr>
                <w:lang w:val="en-GB"/>
              </w:rPr>
            </w:pPr>
            <w:r w:rsidRPr="0062700E">
              <w:rPr>
                <w:lang w:val="en-GB"/>
              </w:rPr>
              <w:t>After 34</w:t>
            </w:r>
          </w:p>
        </w:tc>
        <w:tc>
          <w:tcPr>
            <w:tcW w:w="5785" w:type="dxa"/>
          </w:tcPr>
          <w:p w14:paraId="143D6041" w14:textId="77777777" w:rsidR="008B450C" w:rsidRPr="0062700E" w:rsidRDefault="008B450C" w:rsidP="008B450C">
            <w:pPr>
              <w:spacing w:before="120" w:after="120"/>
              <w:contextualSpacing/>
              <w:rPr>
                <w:b/>
                <w:bCs/>
                <w:szCs w:val="22"/>
                <w:lang w:val="en-GB"/>
              </w:rPr>
            </w:pPr>
            <w:r w:rsidRPr="0062700E">
              <w:rPr>
                <w:b/>
                <w:bCs/>
                <w:szCs w:val="22"/>
                <w:lang w:val="en-GB"/>
              </w:rPr>
              <w:t>Propose to add component T1.5 bis</w:t>
            </w:r>
          </w:p>
          <w:p w14:paraId="1C683DF6" w14:textId="11A26612" w:rsidR="008B450C" w:rsidRPr="0062700E" w:rsidRDefault="008B450C" w:rsidP="008B450C">
            <w:pPr>
              <w:rPr>
                <w:lang w:val="en-GB"/>
              </w:rPr>
            </w:pPr>
            <w:r w:rsidRPr="0062700E">
              <w:rPr>
                <w:szCs w:val="22"/>
                <w:lang w:val="en-GB"/>
              </w:rPr>
              <w:t>Full legal recognition of IPLC lands/territories as a distinct land category contributing to conservation, sustainable use and restoration outcomes</w:t>
            </w:r>
          </w:p>
        </w:tc>
      </w:tr>
      <w:tr w:rsidR="008B450C" w:rsidRPr="0062700E" w14:paraId="7F9C2E66" w14:textId="77777777" w:rsidTr="005D2E65">
        <w:trPr>
          <w:trHeight w:val="224"/>
        </w:trPr>
        <w:tc>
          <w:tcPr>
            <w:tcW w:w="817" w:type="dxa"/>
          </w:tcPr>
          <w:p w14:paraId="45DCE99B" w14:textId="7BF33049" w:rsidR="008B450C" w:rsidRPr="0062700E" w:rsidRDefault="008B450C" w:rsidP="008B450C">
            <w:pPr>
              <w:rPr>
                <w:lang w:val="en-GB"/>
              </w:rPr>
            </w:pPr>
            <w:r w:rsidRPr="0062700E">
              <w:rPr>
                <w:sz w:val="22"/>
                <w:szCs w:val="22"/>
                <w:lang w:val="en-GB"/>
              </w:rPr>
              <w:t>2</w:t>
            </w:r>
          </w:p>
        </w:tc>
        <w:tc>
          <w:tcPr>
            <w:tcW w:w="815" w:type="dxa"/>
          </w:tcPr>
          <w:p w14:paraId="46FAB879" w14:textId="3B9061FF" w:rsidR="008B450C" w:rsidRPr="0062700E" w:rsidRDefault="008B450C" w:rsidP="008B450C">
            <w:pPr>
              <w:rPr>
                <w:lang w:val="en-GB"/>
              </w:rPr>
            </w:pPr>
            <w:r w:rsidRPr="0062700E">
              <w:rPr>
                <w:sz w:val="22"/>
                <w:szCs w:val="22"/>
                <w:lang w:val="en-GB"/>
              </w:rPr>
              <w:t>10</w:t>
            </w:r>
          </w:p>
        </w:tc>
        <w:tc>
          <w:tcPr>
            <w:tcW w:w="974" w:type="dxa"/>
          </w:tcPr>
          <w:p w14:paraId="1B83D9A5" w14:textId="2D0C48AF" w:rsidR="008B450C" w:rsidRPr="0062700E" w:rsidRDefault="008B450C" w:rsidP="008B450C">
            <w:pPr>
              <w:rPr>
                <w:lang w:val="en-GB"/>
              </w:rPr>
            </w:pPr>
            <w:r w:rsidRPr="0062700E">
              <w:rPr>
                <w:sz w:val="22"/>
                <w:szCs w:val="22"/>
                <w:lang w:val="en-GB"/>
              </w:rPr>
              <w:t>B</w:t>
            </w:r>
          </w:p>
        </w:tc>
        <w:tc>
          <w:tcPr>
            <w:tcW w:w="1215" w:type="dxa"/>
            <w:gridSpan w:val="2"/>
          </w:tcPr>
          <w:p w14:paraId="2C4140B2" w14:textId="4B4D1B45" w:rsidR="008B450C" w:rsidRPr="0062700E" w:rsidRDefault="008B450C" w:rsidP="008B450C">
            <w:pPr>
              <w:rPr>
                <w:lang w:val="en-GB"/>
              </w:rPr>
            </w:pPr>
            <w:r w:rsidRPr="0062700E">
              <w:rPr>
                <w:sz w:val="22"/>
                <w:szCs w:val="22"/>
                <w:lang w:val="en-GB"/>
              </w:rPr>
              <w:t>After 34</w:t>
            </w:r>
          </w:p>
        </w:tc>
        <w:tc>
          <w:tcPr>
            <w:tcW w:w="5785" w:type="dxa"/>
          </w:tcPr>
          <w:p w14:paraId="5E5BB784" w14:textId="146C0202" w:rsidR="008B450C" w:rsidRPr="0062700E" w:rsidRDefault="008B450C" w:rsidP="008B450C">
            <w:pPr>
              <w:spacing w:before="120" w:after="120"/>
              <w:contextualSpacing/>
              <w:rPr>
                <w:b/>
                <w:bCs/>
                <w:szCs w:val="22"/>
                <w:lang w:val="en-GB"/>
              </w:rPr>
            </w:pPr>
            <w:r w:rsidRPr="0062700E">
              <w:rPr>
                <w:szCs w:val="22"/>
                <w:lang w:val="en-GB"/>
              </w:rPr>
              <w:t>Community based monitoring and information systems (CBMIS), e.g. community mapping</w:t>
            </w:r>
          </w:p>
        </w:tc>
      </w:tr>
      <w:tr w:rsidR="008B450C" w:rsidRPr="0062700E" w14:paraId="7A4B85D2" w14:textId="77777777" w:rsidTr="005D2E65">
        <w:trPr>
          <w:trHeight w:val="224"/>
        </w:trPr>
        <w:tc>
          <w:tcPr>
            <w:tcW w:w="817" w:type="dxa"/>
          </w:tcPr>
          <w:p w14:paraId="38C8A19F" w14:textId="77777777" w:rsidR="008B450C" w:rsidRPr="0062700E" w:rsidRDefault="008B450C" w:rsidP="008B450C">
            <w:pPr>
              <w:rPr>
                <w:lang w:val="en-GB"/>
              </w:rPr>
            </w:pPr>
            <w:r w:rsidRPr="0062700E">
              <w:rPr>
                <w:lang w:val="en-GB"/>
              </w:rPr>
              <w:t>2</w:t>
            </w:r>
          </w:p>
        </w:tc>
        <w:tc>
          <w:tcPr>
            <w:tcW w:w="815" w:type="dxa"/>
          </w:tcPr>
          <w:p w14:paraId="03ED20F0" w14:textId="77777777" w:rsidR="008B450C" w:rsidRPr="0062700E" w:rsidRDefault="008B450C" w:rsidP="008B450C">
            <w:pPr>
              <w:rPr>
                <w:lang w:val="en-GB"/>
              </w:rPr>
            </w:pPr>
            <w:r w:rsidRPr="0062700E">
              <w:rPr>
                <w:lang w:val="en-GB"/>
              </w:rPr>
              <w:t>10-11</w:t>
            </w:r>
          </w:p>
        </w:tc>
        <w:tc>
          <w:tcPr>
            <w:tcW w:w="974" w:type="dxa"/>
          </w:tcPr>
          <w:p w14:paraId="3B15584D" w14:textId="77777777" w:rsidR="008B450C" w:rsidRPr="0062700E" w:rsidRDefault="008B450C" w:rsidP="008B450C">
            <w:pPr>
              <w:rPr>
                <w:lang w:val="en-GB"/>
              </w:rPr>
            </w:pPr>
            <w:r w:rsidRPr="0062700E">
              <w:rPr>
                <w:lang w:val="en-GB"/>
              </w:rPr>
              <w:t>B, C</w:t>
            </w:r>
          </w:p>
        </w:tc>
        <w:tc>
          <w:tcPr>
            <w:tcW w:w="1215" w:type="dxa"/>
            <w:gridSpan w:val="2"/>
          </w:tcPr>
          <w:p w14:paraId="3CE955E5" w14:textId="77777777" w:rsidR="008B450C" w:rsidRPr="0062700E" w:rsidRDefault="008B450C" w:rsidP="008B450C">
            <w:pPr>
              <w:rPr>
                <w:lang w:val="en-GB"/>
              </w:rPr>
            </w:pPr>
            <w:r w:rsidRPr="0062700E">
              <w:rPr>
                <w:lang w:val="en-GB"/>
              </w:rPr>
              <w:t>38-52</w:t>
            </w:r>
          </w:p>
        </w:tc>
        <w:tc>
          <w:tcPr>
            <w:tcW w:w="5785" w:type="dxa"/>
          </w:tcPr>
          <w:p w14:paraId="5E90F673" w14:textId="77777777" w:rsidR="008B450C" w:rsidRPr="0062700E" w:rsidRDefault="008B450C" w:rsidP="008B450C">
            <w:pPr>
              <w:rPr>
                <w:lang w:val="en-GB"/>
              </w:rPr>
            </w:pPr>
            <w:r w:rsidRPr="0062700E">
              <w:rPr>
                <w:lang w:val="en-GB"/>
              </w:rPr>
              <w:t xml:space="preserve">Emphasis should again be on “quality” of protection not just quantity.  An emphasis on diversity, quality and vitality of governance in protected, conserved and other areas should be considered. </w:t>
            </w:r>
          </w:p>
        </w:tc>
      </w:tr>
      <w:tr w:rsidR="008B450C" w:rsidRPr="0062700E" w14:paraId="3F8AFB14" w14:textId="77777777" w:rsidTr="005D2E65">
        <w:trPr>
          <w:trHeight w:val="224"/>
        </w:trPr>
        <w:tc>
          <w:tcPr>
            <w:tcW w:w="817" w:type="dxa"/>
          </w:tcPr>
          <w:p w14:paraId="3E59C6A5" w14:textId="77777777" w:rsidR="008B450C" w:rsidRPr="0062700E" w:rsidRDefault="008B450C" w:rsidP="008B450C">
            <w:pPr>
              <w:rPr>
                <w:lang w:val="en-GB"/>
              </w:rPr>
            </w:pPr>
            <w:r w:rsidRPr="0062700E">
              <w:rPr>
                <w:lang w:val="en-GB"/>
              </w:rPr>
              <w:t>2</w:t>
            </w:r>
          </w:p>
        </w:tc>
        <w:tc>
          <w:tcPr>
            <w:tcW w:w="815" w:type="dxa"/>
          </w:tcPr>
          <w:p w14:paraId="15267D70" w14:textId="77777777" w:rsidR="008B450C" w:rsidRPr="0062700E" w:rsidRDefault="008B450C" w:rsidP="008B450C">
            <w:pPr>
              <w:rPr>
                <w:lang w:val="en-GB"/>
              </w:rPr>
            </w:pPr>
            <w:r w:rsidRPr="0062700E">
              <w:rPr>
                <w:lang w:val="en-GB"/>
              </w:rPr>
              <w:t>11</w:t>
            </w:r>
          </w:p>
        </w:tc>
        <w:tc>
          <w:tcPr>
            <w:tcW w:w="974" w:type="dxa"/>
          </w:tcPr>
          <w:p w14:paraId="00A6EED5" w14:textId="77777777" w:rsidR="008B450C" w:rsidRPr="0062700E" w:rsidRDefault="008B450C" w:rsidP="008B450C">
            <w:pPr>
              <w:rPr>
                <w:lang w:val="en-GB"/>
              </w:rPr>
            </w:pPr>
            <w:r w:rsidRPr="0062700E">
              <w:rPr>
                <w:lang w:val="en-GB"/>
              </w:rPr>
              <w:t>C</w:t>
            </w:r>
          </w:p>
        </w:tc>
        <w:tc>
          <w:tcPr>
            <w:tcW w:w="1215" w:type="dxa"/>
            <w:gridSpan w:val="2"/>
          </w:tcPr>
          <w:p w14:paraId="1F251D40" w14:textId="77777777" w:rsidR="008B450C" w:rsidRPr="0062700E" w:rsidRDefault="008B450C" w:rsidP="008B450C">
            <w:pPr>
              <w:rPr>
                <w:lang w:val="en-GB"/>
              </w:rPr>
            </w:pPr>
            <w:r w:rsidRPr="0062700E">
              <w:rPr>
                <w:lang w:val="en-GB"/>
              </w:rPr>
              <w:t>38</w:t>
            </w:r>
          </w:p>
        </w:tc>
        <w:tc>
          <w:tcPr>
            <w:tcW w:w="5785" w:type="dxa"/>
          </w:tcPr>
          <w:p w14:paraId="6DDFD8BF" w14:textId="73A2B448" w:rsidR="008B450C" w:rsidRPr="0062700E" w:rsidRDefault="008B450C" w:rsidP="008B450C">
            <w:pPr>
              <w:rPr>
                <w:lang w:val="en-GB"/>
              </w:rPr>
            </w:pPr>
            <w:r w:rsidRPr="0062700E">
              <w:rPr>
                <w:lang w:val="en-GB"/>
              </w:rPr>
              <w:t xml:space="preserve">Target for this should be more ambitious – perhaps: </w:t>
            </w:r>
            <w:r w:rsidRPr="0062700E">
              <w:rPr>
                <w:lang w:val="en-GB"/>
              </w:rPr>
              <w:lastRenderedPageBreak/>
              <w:t xml:space="preserve">appropriately recognize and protect against external threats of collective lands, waters and territories of life of indigenous peoples and local communities by 2030. </w:t>
            </w:r>
          </w:p>
        </w:tc>
      </w:tr>
      <w:tr w:rsidR="008B450C" w:rsidRPr="0062700E" w14:paraId="7547CF94" w14:textId="77777777" w:rsidTr="005D2E65">
        <w:trPr>
          <w:trHeight w:val="224"/>
        </w:trPr>
        <w:tc>
          <w:tcPr>
            <w:tcW w:w="817" w:type="dxa"/>
          </w:tcPr>
          <w:p w14:paraId="51CF0ED9" w14:textId="77777777" w:rsidR="008B450C" w:rsidRPr="0062700E" w:rsidRDefault="008B450C" w:rsidP="008B450C">
            <w:pPr>
              <w:rPr>
                <w:lang w:val="en-GB"/>
              </w:rPr>
            </w:pPr>
            <w:r w:rsidRPr="0062700E">
              <w:rPr>
                <w:lang w:val="en-GB"/>
              </w:rPr>
              <w:lastRenderedPageBreak/>
              <w:t>2</w:t>
            </w:r>
          </w:p>
        </w:tc>
        <w:tc>
          <w:tcPr>
            <w:tcW w:w="815" w:type="dxa"/>
          </w:tcPr>
          <w:p w14:paraId="0F7979D8" w14:textId="77777777" w:rsidR="008B450C" w:rsidRPr="0062700E" w:rsidRDefault="008B450C" w:rsidP="008B450C">
            <w:pPr>
              <w:rPr>
                <w:lang w:val="en-GB"/>
              </w:rPr>
            </w:pPr>
            <w:r w:rsidRPr="0062700E">
              <w:rPr>
                <w:lang w:val="en-GB"/>
              </w:rPr>
              <w:t>11-12</w:t>
            </w:r>
          </w:p>
        </w:tc>
        <w:tc>
          <w:tcPr>
            <w:tcW w:w="974" w:type="dxa"/>
          </w:tcPr>
          <w:p w14:paraId="4244133C" w14:textId="77777777" w:rsidR="008B450C" w:rsidRPr="0062700E" w:rsidRDefault="008B450C" w:rsidP="008B450C">
            <w:pPr>
              <w:rPr>
                <w:lang w:val="en-GB"/>
              </w:rPr>
            </w:pPr>
            <w:r w:rsidRPr="0062700E">
              <w:rPr>
                <w:lang w:val="en-GB"/>
              </w:rPr>
              <w:t>A, B</w:t>
            </w:r>
          </w:p>
        </w:tc>
        <w:tc>
          <w:tcPr>
            <w:tcW w:w="1215" w:type="dxa"/>
            <w:gridSpan w:val="2"/>
          </w:tcPr>
          <w:p w14:paraId="48A2AE60" w14:textId="579F37EC" w:rsidR="008B450C" w:rsidRPr="0062700E" w:rsidRDefault="008B450C" w:rsidP="008B450C">
            <w:pPr>
              <w:rPr>
                <w:lang w:val="en-GB"/>
              </w:rPr>
            </w:pPr>
            <w:r w:rsidRPr="0062700E">
              <w:rPr>
                <w:lang w:val="en-GB"/>
              </w:rPr>
              <w:t>46,</w:t>
            </w:r>
            <w:r w:rsidR="006F2BB1" w:rsidRPr="0062700E">
              <w:rPr>
                <w:lang w:val="en-GB"/>
              </w:rPr>
              <w:t xml:space="preserve"> </w:t>
            </w:r>
            <w:r w:rsidRPr="0062700E">
              <w:rPr>
                <w:lang w:val="en-GB"/>
              </w:rPr>
              <w:t>51,</w:t>
            </w:r>
            <w:r w:rsidR="006F2BB1" w:rsidRPr="0062700E">
              <w:rPr>
                <w:lang w:val="en-GB"/>
              </w:rPr>
              <w:t xml:space="preserve"> </w:t>
            </w:r>
            <w:r w:rsidRPr="0062700E">
              <w:rPr>
                <w:lang w:val="en-GB"/>
              </w:rPr>
              <w:t>52</w:t>
            </w:r>
          </w:p>
        </w:tc>
        <w:tc>
          <w:tcPr>
            <w:tcW w:w="5785" w:type="dxa"/>
          </w:tcPr>
          <w:p w14:paraId="240880F4" w14:textId="12C8F8A5" w:rsidR="008B450C" w:rsidRPr="0062700E" w:rsidRDefault="008B450C" w:rsidP="008B450C">
            <w:pPr>
              <w:rPr>
                <w:lang w:val="en-GB"/>
              </w:rPr>
            </w:pPr>
            <w:r w:rsidRPr="0062700E">
              <w:rPr>
                <w:lang w:val="en-GB"/>
              </w:rPr>
              <w:t xml:space="preserve">Monitoring elements need to extend beyond </w:t>
            </w:r>
            <w:r w:rsidR="007C153C" w:rsidRPr="0062700E">
              <w:rPr>
                <w:lang w:val="en-GB"/>
              </w:rPr>
              <w:t xml:space="preserve">management </w:t>
            </w:r>
            <w:r w:rsidRPr="0062700E">
              <w:rPr>
                <w:lang w:val="en-GB"/>
              </w:rPr>
              <w:t xml:space="preserve">effectiveness to incorporate issues of governance and equity.  Governance practices are critical elements of </w:t>
            </w:r>
            <w:r w:rsidR="007C153C" w:rsidRPr="0062700E">
              <w:rPr>
                <w:lang w:val="en-GB"/>
              </w:rPr>
              <w:t xml:space="preserve">conservation </w:t>
            </w:r>
            <w:r w:rsidRPr="0062700E">
              <w:rPr>
                <w:lang w:val="en-GB"/>
              </w:rPr>
              <w:t xml:space="preserve">effectiveness and equity and should be reflected in the monitoring elements and indicators here. </w:t>
            </w:r>
          </w:p>
        </w:tc>
      </w:tr>
      <w:tr w:rsidR="008B450C" w:rsidRPr="0062700E" w14:paraId="50CB3E2D" w14:textId="77777777" w:rsidTr="005D2E65">
        <w:trPr>
          <w:trHeight w:val="224"/>
        </w:trPr>
        <w:tc>
          <w:tcPr>
            <w:tcW w:w="817" w:type="dxa"/>
          </w:tcPr>
          <w:p w14:paraId="5EF350C8" w14:textId="77777777" w:rsidR="008B450C" w:rsidRPr="0062700E" w:rsidRDefault="008B450C" w:rsidP="008B450C">
            <w:pPr>
              <w:rPr>
                <w:lang w:val="en-GB"/>
              </w:rPr>
            </w:pPr>
            <w:r w:rsidRPr="0062700E">
              <w:rPr>
                <w:lang w:val="en-GB"/>
              </w:rPr>
              <w:t>2</w:t>
            </w:r>
          </w:p>
        </w:tc>
        <w:tc>
          <w:tcPr>
            <w:tcW w:w="815" w:type="dxa"/>
          </w:tcPr>
          <w:p w14:paraId="376EF7C7" w14:textId="77777777" w:rsidR="008B450C" w:rsidRPr="0062700E" w:rsidRDefault="008B450C" w:rsidP="008B450C">
            <w:pPr>
              <w:rPr>
                <w:lang w:val="en-GB"/>
              </w:rPr>
            </w:pPr>
            <w:r w:rsidRPr="0062700E">
              <w:rPr>
                <w:lang w:val="en-GB"/>
              </w:rPr>
              <w:t>12</w:t>
            </w:r>
          </w:p>
        </w:tc>
        <w:tc>
          <w:tcPr>
            <w:tcW w:w="974" w:type="dxa"/>
          </w:tcPr>
          <w:p w14:paraId="37244F15" w14:textId="77777777" w:rsidR="008B450C" w:rsidRPr="0062700E" w:rsidRDefault="008B450C" w:rsidP="008B450C">
            <w:pPr>
              <w:rPr>
                <w:lang w:val="en-GB"/>
              </w:rPr>
            </w:pPr>
            <w:r w:rsidRPr="0062700E">
              <w:rPr>
                <w:lang w:val="en-GB"/>
              </w:rPr>
              <w:t>B</w:t>
            </w:r>
          </w:p>
        </w:tc>
        <w:tc>
          <w:tcPr>
            <w:tcW w:w="1215" w:type="dxa"/>
            <w:gridSpan w:val="2"/>
          </w:tcPr>
          <w:p w14:paraId="06FA9E8A" w14:textId="77777777" w:rsidR="008B450C" w:rsidRPr="0062700E" w:rsidRDefault="008B450C" w:rsidP="008B450C">
            <w:pPr>
              <w:rPr>
                <w:lang w:val="en-GB"/>
              </w:rPr>
            </w:pPr>
            <w:r w:rsidRPr="0062700E">
              <w:rPr>
                <w:lang w:val="en-GB"/>
              </w:rPr>
              <w:t>46</w:t>
            </w:r>
          </w:p>
        </w:tc>
        <w:tc>
          <w:tcPr>
            <w:tcW w:w="5785" w:type="dxa"/>
          </w:tcPr>
          <w:p w14:paraId="57A0D9AA" w14:textId="500BF2CD" w:rsidR="008B450C" w:rsidRPr="0062700E" w:rsidRDefault="008B450C" w:rsidP="008B450C">
            <w:pPr>
              <w:rPr>
                <w:lang w:val="en-GB"/>
              </w:rPr>
            </w:pPr>
            <w:r w:rsidRPr="0062700E">
              <w:rPr>
                <w:lang w:val="en-GB"/>
              </w:rPr>
              <w:t>Clear quantitative measure of indigenous peoples’ and local communities’ participation and inclusion in and contribution to effective protected and conserved areas</w:t>
            </w:r>
            <w:r w:rsidR="00270EFF" w:rsidRPr="0062700E">
              <w:rPr>
                <w:lang w:val="en-GB"/>
              </w:rPr>
              <w:t xml:space="preserve">; trends in recognition of collective lands, waters and territories within systems of protected and conserved areas, where the custodian communities wish to do so.  </w:t>
            </w:r>
            <w:r w:rsidRPr="0062700E">
              <w:rPr>
                <w:lang w:val="en-GB"/>
              </w:rPr>
              <w:t xml:space="preserve">  </w:t>
            </w:r>
          </w:p>
        </w:tc>
      </w:tr>
      <w:tr w:rsidR="008B450C" w:rsidRPr="0062700E" w14:paraId="598ABA56" w14:textId="77777777" w:rsidTr="005D2E65">
        <w:trPr>
          <w:trHeight w:val="224"/>
        </w:trPr>
        <w:tc>
          <w:tcPr>
            <w:tcW w:w="817" w:type="dxa"/>
          </w:tcPr>
          <w:p w14:paraId="201D2203" w14:textId="77777777" w:rsidR="008B450C" w:rsidRPr="0062700E" w:rsidRDefault="008B450C" w:rsidP="008B450C">
            <w:pPr>
              <w:rPr>
                <w:lang w:val="en-GB"/>
              </w:rPr>
            </w:pPr>
            <w:r w:rsidRPr="0062700E">
              <w:rPr>
                <w:lang w:val="en-GB"/>
              </w:rPr>
              <w:t>2</w:t>
            </w:r>
          </w:p>
        </w:tc>
        <w:tc>
          <w:tcPr>
            <w:tcW w:w="815" w:type="dxa"/>
          </w:tcPr>
          <w:p w14:paraId="18AE8284" w14:textId="77777777" w:rsidR="008B450C" w:rsidRPr="0062700E" w:rsidRDefault="008B450C" w:rsidP="008B450C">
            <w:pPr>
              <w:rPr>
                <w:lang w:val="en-GB"/>
              </w:rPr>
            </w:pPr>
            <w:r w:rsidRPr="0062700E">
              <w:rPr>
                <w:lang w:val="en-GB"/>
              </w:rPr>
              <w:t>12</w:t>
            </w:r>
          </w:p>
        </w:tc>
        <w:tc>
          <w:tcPr>
            <w:tcW w:w="974" w:type="dxa"/>
          </w:tcPr>
          <w:p w14:paraId="79D1C8FB" w14:textId="77777777" w:rsidR="008B450C" w:rsidRPr="0062700E" w:rsidRDefault="008B450C" w:rsidP="008B450C">
            <w:pPr>
              <w:rPr>
                <w:lang w:val="en-GB"/>
              </w:rPr>
            </w:pPr>
            <w:r w:rsidRPr="0062700E">
              <w:rPr>
                <w:lang w:val="en-GB"/>
              </w:rPr>
              <w:t>B</w:t>
            </w:r>
          </w:p>
        </w:tc>
        <w:tc>
          <w:tcPr>
            <w:tcW w:w="1215" w:type="dxa"/>
            <w:gridSpan w:val="2"/>
          </w:tcPr>
          <w:p w14:paraId="00184CE2" w14:textId="77777777" w:rsidR="008B450C" w:rsidRPr="0062700E" w:rsidRDefault="008B450C" w:rsidP="008B450C">
            <w:pPr>
              <w:rPr>
                <w:lang w:val="en-GB"/>
              </w:rPr>
            </w:pPr>
            <w:r w:rsidRPr="0062700E">
              <w:rPr>
                <w:lang w:val="en-GB"/>
              </w:rPr>
              <w:t>48</w:t>
            </w:r>
          </w:p>
        </w:tc>
        <w:tc>
          <w:tcPr>
            <w:tcW w:w="5785" w:type="dxa"/>
          </w:tcPr>
          <w:p w14:paraId="3F4A2BC8" w14:textId="77777777" w:rsidR="008B450C" w:rsidRPr="0062700E" w:rsidRDefault="008B450C" w:rsidP="008B450C">
            <w:pPr>
              <w:rPr>
                <w:lang w:val="en-GB"/>
              </w:rPr>
            </w:pPr>
            <w:r w:rsidRPr="0062700E">
              <w:rPr>
                <w:lang w:val="en-GB"/>
              </w:rPr>
              <w:t xml:space="preserve">Issues of land tenure and governance arrangements need to be reflected in these monitoring elements.  Monitoring element could be: trends in land rights governance and the national and local scales. Indicator: % of adult population with secure tenure rights to land.  </w:t>
            </w:r>
          </w:p>
          <w:p w14:paraId="1B7E5B8C" w14:textId="51F98F53" w:rsidR="008B450C" w:rsidRPr="0062700E" w:rsidRDefault="008B450C" w:rsidP="008B450C">
            <w:pPr>
              <w:rPr>
                <w:lang w:val="en-GB"/>
              </w:rPr>
            </w:pPr>
            <w:r w:rsidRPr="0062700E">
              <w:rPr>
                <w:lang w:val="en-GB"/>
              </w:rPr>
              <w:t xml:space="preserve">In the case of marine territories of life and small-scale fisheries we recommend incorporating advances on the efforts made towards the implementation of the Voluntary Guidelines for the sustainability of small scale fisheries in the context of food security and poverty eradication which emphasize the need of a human-rights based approach to marine conservation.  </w:t>
            </w:r>
          </w:p>
        </w:tc>
      </w:tr>
      <w:tr w:rsidR="008B450C" w:rsidRPr="0062700E" w14:paraId="4EA55F77" w14:textId="77777777" w:rsidTr="005D2E65">
        <w:trPr>
          <w:trHeight w:val="224"/>
        </w:trPr>
        <w:tc>
          <w:tcPr>
            <w:tcW w:w="817" w:type="dxa"/>
          </w:tcPr>
          <w:p w14:paraId="3A1B6316" w14:textId="77777777" w:rsidR="008B450C" w:rsidRPr="0062700E" w:rsidRDefault="008B450C" w:rsidP="008B450C">
            <w:pPr>
              <w:rPr>
                <w:lang w:val="en-GB"/>
              </w:rPr>
            </w:pPr>
            <w:r w:rsidRPr="0062700E">
              <w:rPr>
                <w:lang w:val="en-GB"/>
              </w:rPr>
              <w:t>2</w:t>
            </w:r>
          </w:p>
        </w:tc>
        <w:tc>
          <w:tcPr>
            <w:tcW w:w="815" w:type="dxa"/>
          </w:tcPr>
          <w:p w14:paraId="47B527C5" w14:textId="77777777" w:rsidR="008B450C" w:rsidRPr="0062700E" w:rsidRDefault="008B450C" w:rsidP="008B450C">
            <w:pPr>
              <w:rPr>
                <w:lang w:val="en-GB"/>
              </w:rPr>
            </w:pPr>
            <w:r w:rsidRPr="0062700E">
              <w:rPr>
                <w:lang w:val="en-GB"/>
              </w:rPr>
              <w:t>12</w:t>
            </w:r>
          </w:p>
        </w:tc>
        <w:tc>
          <w:tcPr>
            <w:tcW w:w="974" w:type="dxa"/>
          </w:tcPr>
          <w:p w14:paraId="0BC3962C" w14:textId="77777777" w:rsidR="008B450C" w:rsidRPr="0062700E" w:rsidRDefault="008B450C" w:rsidP="008B450C">
            <w:pPr>
              <w:rPr>
                <w:lang w:val="en-GB"/>
              </w:rPr>
            </w:pPr>
            <w:r w:rsidRPr="0062700E">
              <w:rPr>
                <w:lang w:val="en-GB"/>
              </w:rPr>
              <w:t>B, C</w:t>
            </w:r>
          </w:p>
        </w:tc>
        <w:tc>
          <w:tcPr>
            <w:tcW w:w="1215" w:type="dxa"/>
            <w:gridSpan w:val="2"/>
          </w:tcPr>
          <w:p w14:paraId="6964D526" w14:textId="77777777" w:rsidR="008B450C" w:rsidRPr="0062700E" w:rsidRDefault="008B450C" w:rsidP="008B450C">
            <w:pPr>
              <w:rPr>
                <w:lang w:val="en-GB"/>
              </w:rPr>
            </w:pPr>
            <w:r w:rsidRPr="0062700E">
              <w:rPr>
                <w:lang w:val="en-GB"/>
              </w:rPr>
              <w:t>55</w:t>
            </w:r>
          </w:p>
        </w:tc>
        <w:tc>
          <w:tcPr>
            <w:tcW w:w="5785" w:type="dxa"/>
          </w:tcPr>
          <w:p w14:paraId="5C51F15D" w14:textId="05E23111" w:rsidR="008B450C" w:rsidRPr="0062700E" w:rsidRDefault="008B450C" w:rsidP="008B450C">
            <w:pPr>
              <w:rPr>
                <w:lang w:val="en-GB"/>
              </w:rPr>
            </w:pPr>
            <w:r w:rsidRPr="0062700E">
              <w:rPr>
                <w:lang w:val="en-GB"/>
              </w:rPr>
              <w:t>Trends in human-wildlife conflict should also consider trends in human-wildlife coexistence</w:t>
            </w:r>
            <w:r w:rsidR="00AD70C7" w:rsidRPr="0062700E">
              <w:rPr>
                <w:lang w:val="en-GB"/>
              </w:rPr>
              <w:t xml:space="preserve"> with an integrated systems thinking approach (i</w:t>
            </w:r>
            <w:r w:rsidR="006F2BB1" w:rsidRPr="0062700E">
              <w:rPr>
                <w:lang w:val="en-GB"/>
              </w:rPr>
              <w:t>.</w:t>
            </w:r>
            <w:r w:rsidR="00AD70C7" w:rsidRPr="0062700E">
              <w:rPr>
                <w:lang w:val="en-GB"/>
              </w:rPr>
              <w:t>e.</w:t>
            </w:r>
            <w:r w:rsidR="006F2BB1" w:rsidRPr="0062700E">
              <w:rPr>
                <w:lang w:val="en-GB"/>
              </w:rPr>
              <w:t>,</w:t>
            </w:r>
            <w:r w:rsidR="00AD70C7" w:rsidRPr="0062700E">
              <w:rPr>
                <w:lang w:val="en-GB"/>
              </w:rPr>
              <w:t xml:space="preserve"> understanding the drivers and causes of human-wildlife conflict.  </w:t>
            </w:r>
            <w:r w:rsidRPr="0062700E">
              <w:rPr>
                <w:lang w:val="en-GB"/>
              </w:rPr>
              <w:t xml:space="preserve">To work toward transformative change in conservation it is necessary to include trends in positive interactions, coexistence, and attitude of tolerance toward wildlife. </w:t>
            </w:r>
            <w:r w:rsidR="00AD70C7" w:rsidRPr="0062700E">
              <w:rPr>
                <w:lang w:val="en-GB"/>
              </w:rPr>
              <w:t xml:space="preserve"> It is also necessary to halt and avoid further militarization of conservation to avoid further militarization of conservation. </w:t>
            </w:r>
          </w:p>
        </w:tc>
      </w:tr>
      <w:tr w:rsidR="008B450C" w:rsidRPr="0062700E" w14:paraId="6D0DEFF7" w14:textId="77777777" w:rsidTr="005D2E65">
        <w:trPr>
          <w:trHeight w:val="224"/>
        </w:trPr>
        <w:tc>
          <w:tcPr>
            <w:tcW w:w="817" w:type="dxa"/>
          </w:tcPr>
          <w:p w14:paraId="394C3A8A" w14:textId="77777777" w:rsidR="008B450C" w:rsidRPr="0062700E" w:rsidRDefault="008B450C" w:rsidP="008B450C">
            <w:pPr>
              <w:rPr>
                <w:lang w:val="en-GB"/>
              </w:rPr>
            </w:pPr>
            <w:r w:rsidRPr="0062700E">
              <w:rPr>
                <w:lang w:val="en-GB"/>
              </w:rPr>
              <w:t>2</w:t>
            </w:r>
          </w:p>
        </w:tc>
        <w:tc>
          <w:tcPr>
            <w:tcW w:w="815" w:type="dxa"/>
          </w:tcPr>
          <w:p w14:paraId="3C6E7F99" w14:textId="77777777" w:rsidR="008B450C" w:rsidRPr="0062700E" w:rsidRDefault="008B450C" w:rsidP="008B450C">
            <w:pPr>
              <w:rPr>
                <w:lang w:val="en-GB"/>
              </w:rPr>
            </w:pPr>
            <w:r w:rsidRPr="0062700E">
              <w:rPr>
                <w:lang w:val="en-GB"/>
              </w:rPr>
              <w:t>13</w:t>
            </w:r>
          </w:p>
        </w:tc>
        <w:tc>
          <w:tcPr>
            <w:tcW w:w="974" w:type="dxa"/>
          </w:tcPr>
          <w:p w14:paraId="7621E4A6" w14:textId="77777777" w:rsidR="008B450C" w:rsidRPr="0062700E" w:rsidRDefault="008B450C" w:rsidP="008B450C">
            <w:pPr>
              <w:rPr>
                <w:lang w:val="en-GB"/>
              </w:rPr>
            </w:pPr>
            <w:r w:rsidRPr="0062700E">
              <w:rPr>
                <w:lang w:val="en-GB"/>
              </w:rPr>
              <w:t>A, B, C</w:t>
            </w:r>
          </w:p>
        </w:tc>
        <w:tc>
          <w:tcPr>
            <w:tcW w:w="1215" w:type="dxa"/>
            <w:gridSpan w:val="2"/>
          </w:tcPr>
          <w:p w14:paraId="0D4DACDE" w14:textId="77777777" w:rsidR="008B450C" w:rsidRPr="0062700E" w:rsidRDefault="008B450C" w:rsidP="008B450C">
            <w:pPr>
              <w:rPr>
                <w:lang w:val="en-GB"/>
              </w:rPr>
            </w:pPr>
            <w:r w:rsidRPr="0062700E">
              <w:rPr>
                <w:lang w:val="en-GB"/>
              </w:rPr>
              <w:t>56-66</w:t>
            </w:r>
          </w:p>
        </w:tc>
        <w:tc>
          <w:tcPr>
            <w:tcW w:w="5785" w:type="dxa"/>
          </w:tcPr>
          <w:p w14:paraId="77ED7E29" w14:textId="77777777" w:rsidR="008B450C" w:rsidRPr="0062700E" w:rsidRDefault="008B450C" w:rsidP="008B450C">
            <w:pPr>
              <w:rPr>
                <w:lang w:val="en-GB"/>
              </w:rPr>
            </w:pPr>
            <w:r w:rsidRPr="0062700E">
              <w:rPr>
                <w:lang w:val="en-GB"/>
              </w:rPr>
              <w:t xml:space="preserve">Customary sustainable use is an important part of this target.  Monitoring mechanisms should include trends to ensure the full and effective participation of indigenous peoples and local communities in ensuring sustainable harvesting, trade and use of wild species of fauna and flora, including for subsistence and small-scale use by communities. Indicators could be related to community-led plans of action on customary sustainable use.  The term “legal” in this Target is problematic and could have implications for indigenous peoples (including the </w:t>
            </w:r>
            <w:r w:rsidRPr="0062700E">
              <w:rPr>
                <w:lang w:val="en-GB"/>
              </w:rPr>
              <w:lastRenderedPageBreak/>
              <w:t>criminalization of communities for customary wildlife use).  Work by IUCN SULi</w:t>
            </w:r>
            <w:r w:rsidRPr="0062700E">
              <w:rPr>
                <w:rStyle w:val="FootnoteReference"/>
                <w:lang w:val="en-GB"/>
              </w:rPr>
              <w:footnoteReference w:id="1"/>
            </w:r>
            <w:r w:rsidRPr="0062700E">
              <w:rPr>
                <w:lang w:val="en-GB"/>
              </w:rPr>
              <w:t xml:space="preserve"> could provide more clarity and context to this target. </w:t>
            </w:r>
          </w:p>
        </w:tc>
      </w:tr>
      <w:tr w:rsidR="008B450C" w:rsidRPr="0062700E" w14:paraId="7815EF18" w14:textId="77777777" w:rsidTr="005D2E65">
        <w:trPr>
          <w:trHeight w:val="224"/>
        </w:trPr>
        <w:tc>
          <w:tcPr>
            <w:tcW w:w="817" w:type="dxa"/>
          </w:tcPr>
          <w:p w14:paraId="4ABBC759" w14:textId="77777777" w:rsidR="008B450C" w:rsidRPr="0062700E" w:rsidRDefault="008B450C" w:rsidP="008B450C">
            <w:pPr>
              <w:rPr>
                <w:lang w:val="en-GB"/>
              </w:rPr>
            </w:pPr>
            <w:r w:rsidRPr="0062700E">
              <w:rPr>
                <w:lang w:val="en-GB"/>
              </w:rPr>
              <w:lastRenderedPageBreak/>
              <w:t>2</w:t>
            </w:r>
          </w:p>
        </w:tc>
        <w:tc>
          <w:tcPr>
            <w:tcW w:w="815" w:type="dxa"/>
          </w:tcPr>
          <w:p w14:paraId="20DB7B79" w14:textId="77777777" w:rsidR="008B450C" w:rsidRPr="0062700E" w:rsidRDefault="008B450C" w:rsidP="008B450C">
            <w:pPr>
              <w:rPr>
                <w:lang w:val="en-GB"/>
              </w:rPr>
            </w:pPr>
            <w:r w:rsidRPr="0062700E">
              <w:rPr>
                <w:lang w:val="en-GB"/>
              </w:rPr>
              <w:t>13</w:t>
            </w:r>
          </w:p>
        </w:tc>
        <w:tc>
          <w:tcPr>
            <w:tcW w:w="974" w:type="dxa"/>
          </w:tcPr>
          <w:p w14:paraId="1F1C9824" w14:textId="77777777" w:rsidR="008B450C" w:rsidRPr="0062700E" w:rsidRDefault="008B450C" w:rsidP="008B450C">
            <w:pPr>
              <w:rPr>
                <w:lang w:val="en-GB"/>
              </w:rPr>
            </w:pPr>
            <w:r w:rsidRPr="0062700E">
              <w:rPr>
                <w:lang w:val="en-GB"/>
              </w:rPr>
              <w:t>B, C</w:t>
            </w:r>
          </w:p>
        </w:tc>
        <w:tc>
          <w:tcPr>
            <w:tcW w:w="1215" w:type="dxa"/>
            <w:gridSpan w:val="2"/>
          </w:tcPr>
          <w:p w14:paraId="270565FC" w14:textId="77777777" w:rsidR="008B450C" w:rsidRPr="0062700E" w:rsidRDefault="008B450C" w:rsidP="008B450C">
            <w:pPr>
              <w:rPr>
                <w:lang w:val="en-GB"/>
              </w:rPr>
            </w:pPr>
            <w:r w:rsidRPr="0062700E">
              <w:rPr>
                <w:lang w:val="en-GB"/>
              </w:rPr>
              <w:t>59-60</w:t>
            </w:r>
          </w:p>
        </w:tc>
        <w:tc>
          <w:tcPr>
            <w:tcW w:w="5785" w:type="dxa"/>
          </w:tcPr>
          <w:p w14:paraId="15264446" w14:textId="77777777" w:rsidR="008B450C" w:rsidRPr="0062700E" w:rsidRDefault="008B450C" w:rsidP="008B450C">
            <w:pPr>
              <w:rPr>
                <w:lang w:val="en-GB"/>
              </w:rPr>
            </w:pPr>
            <w:r w:rsidRPr="0062700E">
              <w:rPr>
                <w:lang w:val="en-GB"/>
              </w:rPr>
              <w:t xml:space="preserve">Monitoring elements should ensure that harvesting, trade and use is respecting and recognizing the rights of Indigenous peoples and local communities to customary use.  </w:t>
            </w:r>
          </w:p>
        </w:tc>
      </w:tr>
      <w:tr w:rsidR="008B450C" w:rsidRPr="0062700E" w14:paraId="700EF6D9" w14:textId="77777777" w:rsidTr="005D2E65">
        <w:trPr>
          <w:trHeight w:val="224"/>
        </w:trPr>
        <w:tc>
          <w:tcPr>
            <w:tcW w:w="817" w:type="dxa"/>
          </w:tcPr>
          <w:p w14:paraId="7C82585D" w14:textId="77777777" w:rsidR="008B450C" w:rsidRPr="0062700E" w:rsidRDefault="008B450C" w:rsidP="008B450C">
            <w:pPr>
              <w:rPr>
                <w:lang w:val="en-GB"/>
              </w:rPr>
            </w:pPr>
            <w:r w:rsidRPr="0062700E">
              <w:rPr>
                <w:lang w:val="en-GB"/>
              </w:rPr>
              <w:t>2</w:t>
            </w:r>
          </w:p>
        </w:tc>
        <w:tc>
          <w:tcPr>
            <w:tcW w:w="815" w:type="dxa"/>
          </w:tcPr>
          <w:p w14:paraId="2F84D050" w14:textId="4C8B586E" w:rsidR="008B450C" w:rsidRPr="0062700E" w:rsidRDefault="008B450C" w:rsidP="008B450C">
            <w:pPr>
              <w:rPr>
                <w:lang w:val="en-GB"/>
              </w:rPr>
            </w:pPr>
            <w:r w:rsidRPr="0062700E">
              <w:rPr>
                <w:lang w:val="en-GB"/>
              </w:rPr>
              <w:t>16,</w:t>
            </w:r>
            <w:r w:rsidR="006F2BB1" w:rsidRPr="0062700E">
              <w:rPr>
                <w:lang w:val="en-GB"/>
              </w:rPr>
              <w:t xml:space="preserve"> </w:t>
            </w:r>
            <w:r w:rsidRPr="0062700E">
              <w:rPr>
                <w:lang w:val="en-GB"/>
              </w:rPr>
              <w:t>17</w:t>
            </w:r>
          </w:p>
        </w:tc>
        <w:tc>
          <w:tcPr>
            <w:tcW w:w="974" w:type="dxa"/>
          </w:tcPr>
          <w:p w14:paraId="15384F87" w14:textId="77777777" w:rsidR="008B450C" w:rsidRPr="0062700E" w:rsidRDefault="008B450C" w:rsidP="008B450C">
            <w:pPr>
              <w:rPr>
                <w:lang w:val="en-GB"/>
              </w:rPr>
            </w:pPr>
            <w:r w:rsidRPr="0062700E">
              <w:rPr>
                <w:lang w:val="en-GB"/>
              </w:rPr>
              <w:t>B, C</w:t>
            </w:r>
          </w:p>
        </w:tc>
        <w:tc>
          <w:tcPr>
            <w:tcW w:w="1215" w:type="dxa"/>
            <w:gridSpan w:val="2"/>
          </w:tcPr>
          <w:p w14:paraId="2C4FA5F1" w14:textId="77777777" w:rsidR="008B450C" w:rsidRPr="0062700E" w:rsidRDefault="008B450C" w:rsidP="008B450C">
            <w:pPr>
              <w:rPr>
                <w:lang w:val="en-GB"/>
              </w:rPr>
            </w:pPr>
            <w:r w:rsidRPr="0062700E">
              <w:rPr>
                <w:lang w:val="en-GB"/>
              </w:rPr>
              <w:t>97-102</w:t>
            </w:r>
          </w:p>
        </w:tc>
        <w:tc>
          <w:tcPr>
            <w:tcW w:w="5785" w:type="dxa"/>
          </w:tcPr>
          <w:p w14:paraId="069DD55D" w14:textId="0B773FB0" w:rsidR="008B450C" w:rsidRPr="0062700E" w:rsidRDefault="008B450C" w:rsidP="008B450C">
            <w:pPr>
              <w:rPr>
                <w:lang w:val="en-GB"/>
              </w:rPr>
            </w:pPr>
            <w:r w:rsidRPr="0062700E">
              <w:rPr>
                <w:lang w:val="en-GB"/>
              </w:rPr>
              <w:t xml:space="preserve">Monitoring framework should ensure that nature-based contributions to climate change mitigation, adaptation, and disaster risk reduction respect and recognize the rights-holders and all contributions should comply with rights-holders’ free, prior and informed consent.  Trends could include inclusion of indigenous and local knowledge and rights-holders in the design and implementation of these nature-based solutions. </w:t>
            </w:r>
          </w:p>
        </w:tc>
      </w:tr>
      <w:tr w:rsidR="008B450C" w:rsidRPr="0062700E" w14:paraId="62AE5E82" w14:textId="77777777" w:rsidTr="005D2E65">
        <w:trPr>
          <w:trHeight w:val="224"/>
        </w:trPr>
        <w:tc>
          <w:tcPr>
            <w:tcW w:w="817" w:type="dxa"/>
          </w:tcPr>
          <w:p w14:paraId="0920C72A" w14:textId="77777777" w:rsidR="008B450C" w:rsidRPr="0062700E" w:rsidRDefault="008B450C" w:rsidP="008B450C">
            <w:pPr>
              <w:rPr>
                <w:lang w:val="en-GB"/>
              </w:rPr>
            </w:pPr>
            <w:r w:rsidRPr="0062700E">
              <w:rPr>
                <w:lang w:val="en-GB"/>
              </w:rPr>
              <w:t>2</w:t>
            </w:r>
          </w:p>
        </w:tc>
        <w:tc>
          <w:tcPr>
            <w:tcW w:w="815" w:type="dxa"/>
          </w:tcPr>
          <w:p w14:paraId="49855220" w14:textId="77777777" w:rsidR="008B450C" w:rsidRPr="0062700E" w:rsidRDefault="008B450C" w:rsidP="008B450C">
            <w:pPr>
              <w:rPr>
                <w:lang w:val="en-GB"/>
              </w:rPr>
            </w:pPr>
            <w:r w:rsidRPr="0062700E">
              <w:rPr>
                <w:lang w:val="en-GB"/>
              </w:rPr>
              <w:t>18</w:t>
            </w:r>
          </w:p>
        </w:tc>
        <w:tc>
          <w:tcPr>
            <w:tcW w:w="974" w:type="dxa"/>
          </w:tcPr>
          <w:p w14:paraId="1AAC747D" w14:textId="77777777" w:rsidR="008B450C" w:rsidRPr="0062700E" w:rsidRDefault="008B450C" w:rsidP="008B450C">
            <w:pPr>
              <w:rPr>
                <w:lang w:val="en-GB"/>
              </w:rPr>
            </w:pPr>
            <w:r w:rsidRPr="0062700E">
              <w:rPr>
                <w:lang w:val="en-GB"/>
              </w:rPr>
              <w:t>A, B, C</w:t>
            </w:r>
          </w:p>
        </w:tc>
        <w:tc>
          <w:tcPr>
            <w:tcW w:w="1215" w:type="dxa"/>
            <w:gridSpan w:val="2"/>
          </w:tcPr>
          <w:p w14:paraId="64FD913C" w14:textId="77777777" w:rsidR="008B450C" w:rsidRPr="0062700E" w:rsidRDefault="008B450C" w:rsidP="008B450C">
            <w:pPr>
              <w:rPr>
                <w:lang w:val="en-GB"/>
              </w:rPr>
            </w:pPr>
            <w:r w:rsidRPr="0062700E">
              <w:rPr>
                <w:lang w:val="en-GB"/>
              </w:rPr>
              <w:t>103-116</w:t>
            </w:r>
          </w:p>
        </w:tc>
        <w:tc>
          <w:tcPr>
            <w:tcW w:w="5785" w:type="dxa"/>
          </w:tcPr>
          <w:p w14:paraId="6EB9A2FB" w14:textId="78D30C4A" w:rsidR="008B450C" w:rsidRPr="0062700E" w:rsidRDefault="008B450C" w:rsidP="008B450C">
            <w:pPr>
              <w:rPr>
                <w:lang w:val="en-GB"/>
              </w:rPr>
            </w:pPr>
            <w:r w:rsidRPr="0062700E">
              <w:rPr>
                <w:lang w:val="en-GB"/>
              </w:rPr>
              <w:t>Monitoring elements should include trends in sustainable management of wild species of flora and fauna by indigenous peoples and local communities.  Indicators could include diversity of flora and fauna used for food security, livelihoods, and health and well-being.</w:t>
            </w:r>
          </w:p>
        </w:tc>
      </w:tr>
      <w:tr w:rsidR="008B450C" w:rsidRPr="0062700E" w14:paraId="23C9308B" w14:textId="77777777" w:rsidTr="005D2E65">
        <w:trPr>
          <w:trHeight w:val="224"/>
        </w:trPr>
        <w:tc>
          <w:tcPr>
            <w:tcW w:w="817" w:type="dxa"/>
          </w:tcPr>
          <w:p w14:paraId="566C8DA6" w14:textId="77777777" w:rsidR="008B450C" w:rsidRPr="0062700E" w:rsidRDefault="008B450C" w:rsidP="008B450C">
            <w:pPr>
              <w:rPr>
                <w:lang w:val="en-GB"/>
              </w:rPr>
            </w:pPr>
            <w:r w:rsidRPr="0062700E">
              <w:rPr>
                <w:lang w:val="en-GB"/>
              </w:rPr>
              <w:t>2</w:t>
            </w:r>
          </w:p>
        </w:tc>
        <w:tc>
          <w:tcPr>
            <w:tcW w:w="815" w:type="dxa"/>
          </w:tcPr>
          <w:p w14:paraId="1D82ECC7" w14:textId="77777777" w:rsidR="008B450C" w:rsidRPr="0062700E" w:rsidRDefault="008B450C" w:rsidP="008B450C">
            <w:pPr>
              <w:rPr>
                <w:lang w:val="en-GB"/>
              </w:rPr>
            </w:pPr>
            <w:r w:rsidRPr="0062700E">
              <w:rPr>
                <w:lang w:val="en-GB"/>
              </w:rPr>
              <w:t>20</w:t>
            </w:r>
          </w:p>
        </w:tc>
        <w:tc>
          <w:tcPr>
            <w:tcW w:w="974" w:type="dxa"/>
          </w:tcPr>
          <w:p w14:paraId="42C24F1B" w14:textId="77777777" w:rsidR="008B450C" w:rsidRPr="0062700E" w:rsidRDefault="008B450C" w:rsidP="008B450C">
            <w:pPr>
              <w:rPr>
                <w:lang w:val="en-GB"/>
              </w:rPr>
            </w:pPr>
            <w:r w:rsidRPr="0062700E">
              <w:rPr>
                <w:lang w:val="en-GB"/>
              </w:rPr>
              <w:t>B, C</w:t>
            </w:r>
          </w:p>
        </w:tc>
        <w:tc>
          <w:tcPr>
            <w:tcW w:w="1215" w:type="dxa"/>
            <w:gridSpan w:val="2"/>
          </w:tcPr>
          <w:p w14:paraId="33619D38" w14:textId="18CC56F2" w:rsidR="008B450C" w:rsidRPr="0062700E" w:rsidRDefault="008B450C" w:rsidP="008B450C">
            <w:pPr>
              <w:rPr>
                <w:lang w:val="en-GB"/>
              </w:rPr>
            </w:pPr>
            <w:r w:rsidRPr="0062700E">
              <w:rPr>
                <w:lang w:val="en-GB"/>
              </w:rPr>
              <w:t>118,</w:t>
            </w:r>
            <w:r w:rsidR="006F2BB1" w:rsidRPr="0062700E">
              <w:rPr>
                <w:lang w:val="en-GB"/>
              </w:rPr>
              <w:t xml:space="preserve"> </w:t>
            </w:r>
            <w:r w:rsidRPr="0062700E">
              <w:rPr>
                <w:lang w:val="en-GB"/>
              </w:rPr>
              <w:t>120</w:t>
            </w:r>
          </w:p>
        </w:tc>
        <w:tc>
          <w:tcPr>
            <w:tcW w:w="5785" w:type="dxa"/>
          </w:tcPr>
          <w:p w14:paraId="42D94216" w14:textId="03F69CC5" w:rsidR="008B450C" w:rsidRPr="0062700E" w:rsidRDefault="008B450C" w:rsidP="008B450C">
            <w:pPr>
              <w:rPr>
                <w:lang w:val="en-GB"/>
              </w:rPr>
            </w:pPr>
            <w:r w:rsidRPr="0062700E">
              <w:rPr>
                <w:lang w:val="en-GB"/>
              </w:rPr>
              <w:t>Trends in area under customary, indigenous and/or local practices could be a useful monitoring element, especially linked to productivity, sustainability and resilience of biodiversity. Other possible indicators could be: proportion of total agricultural populations with ownership or secure rights over agricultural land.</w:t>
            </w:r>
          </w:p>
        </w:tc>
      </w:tr>
      <w:tr w:rsidR="008B450C" w:rsidRPr="0062700E" w14:paraId="1110967E" w14:textId="77777777" w:rsidTr="005D2E65">
        <w:trPr>
          <w:trHeight w:val="224"/>
        </w:trPr>
        <w:tc>
          <w:tcPr>
            <w:tcW w:w="817" w:type="dxa"/>
          </w:tcPr>
          <w:p w14:paraId="78580335" w14:textId="77777777" w:rsidR="008B450C" w:rsidRPr="0062700E" w:rsidRDefault="008B450C" w:rsidP="008B450C">
            <w:pPr>
              <w:rPr>
                <w:lang w:val="en-GB"/>
              </w:rPr>
            </w:pPr>
            <w:r w:rsidRPr="0062700E">
              <w:rPr>
                <w:lang w:val="en-GB"/>
              </w:rPr>
              <w:t>2</w:t>
            </w:r>
          </w:p>
        </w:tc>
        <w:tc>
          <w:tcPr>
            <w:tcW w:w="815" w:type="dxa"/>
          </w:tcPr>
          <w:p w14:paraId="638009BA" w14:textId="77777777" w:rsidR="008B450C" w:rsidRPr="0062700E" w:rsidRDefault="008B450C" w:rsidP="008B450C">
            <w:pPr>
              <w:rPr>
                <w:lang w:val="en-GB"/>
              </w:rPr>
            </w:pPr>
            <w:r w:rsidRPr="0062700E">
              <w:rPr>
                <w:lang w:val="en-GB"/>
              </w:rPr>
              <w:t>22</w:t>
            </w:r>
          </w:p>
        </w:tc>
        <w:tc>
          <w:tcPr>
            <w:tcW w:w="974" w:type="dxa"/>
          </w:tcPr>
          <w:p w14:paraId="42021FFA" w14:textId="77777777" w:rsidR="008B450C" w:rsidRPr="0062700E" w:rsidRDefault="008B450C" w:rsidP="008B450C">
            <w:pPr>
              <w:rPr>
                <w:lang w:val="en-GB"/>
              </w:rPr>
            </w:pPr>
            <w:r w:rsidRPr="0062700E">
              <w:rPr>
                <w:lang w:val="en-GB"/>
              </w:rPr>
              <w:t>C</w:t>
            </w:r>
          </w:p>
        </w:tc>
        <w:tc>
          <w:tcPr>
            <w:tcW w:w="1215" w:type="dxa"/>
            <w:gridSpan w:val="2"/>
          </w:tcPr>
          <w:p w14:paraId="669199E0" w14:textId="77777777" w:rsidR="008B450C" w:rsidRPr="0062700E" w:rsidRDefault="008B450C" w:rsidP="008B450C">
            <w:pPr>
              <w:rPr>
                <w:lang w:val="en-GB"/>
              </w:rPr>
            </w:pPr>
            <w:r w:rsidRPr="0062700E">
              <w:rPr>
                <w:lang w:val="en-GB"/>
              </w:rPr>
              <w:t>133-139</w:t>
            </w:r>
          </w:p>
        </w:tc>
        <w:tc>
          <w:tcPr>
            <w:tcW w:w="5785" w:type="dxa"/>
          </w:tcPr>
          <w:p w14:paraId="7AC92154" w14:textId="77777777" w:rsidR="008B450C" w:rsidRPr="0062700E" w:rsidRDefault="008B450C" w:rsidP="008B450C">
            <w:pPr>
              <w:rPr>
                <w:lang w:val="en-GB"/>
              </w:rPr>
            </w:pPr>
            <w:r w:rsidRPr="0062700E">
              <w:rPr>
                <w:lang w:val="en-GB"/>
              </w:rPr>
              <w:t xml:space="preserve">Indicators for these monitoring elements related to human health and well-being should be based on diverse worldviews and knowledge systems and culturally relevant definitions of well-being. </w:t>
            </w:r>
          </w:p>
        </w:tc>
      </w:tr>
      <w:tr w:rsidR="008B450C" w:rsidRPr="0062700E" w14:paraId="770EBAED" w14:textId="77777777" w:rsidTr="005D2E65">
        <w:trPr>
          <w:trHeight w:val="224"/>
        </w:trPr>
        <w:tc>
          <w:tcPr>
            <w:tcW w:w="817" w:type="dxa"/>
          </w:tcPr>
          <w:p w14:paraId="446A26BB" w14:textId="77777777" w:rsidR="008B450C" w:rsidRPr="0062700E" w:rsidRDefault="008B450C" w:rsidP="008B450C">
            <w:pPr>
              <w:rPr>
                <w:lang w:val="en-GB"/>
              </w:rPr>
            </w:pPr>
            <w:r w:rsidRPr="0062700E">
              <w:rPr>
                <w:lang w:val="en-GB"/>
              </w:rPr>
              <w:t>2</w:t>
            </w:r>
          </w:p>
        </w:tc>
        <w:tc>
          <w:tcPr>
            <w:tcW w:w="815" w:type="dxa"/>
          </w:tcPr>
          <w:p w14:paraId="375CAE4C" w14:textId="77777777" w:rsidR="008B450C" w:rsidRPr="0062700E" w:rsidRDefault="008B450C" w:rsidP="008B450C">
            <w:pPr>
              <w:rPr>
                <w:lang w:val="en-GB"/>
              </w:rPr>
            </w:pPr>
            <w:r w:rsidRPr="0062700E">
              <w:rPr>
                <w:lang w:val="en-GB"/>
              </w:rPr>
              <w:t>33</w:t>
            </w:r>
          </w:p>
        </w:tc>
        <w:tc>
          <w:tcPr>
            <w:tcW w:w="974" w:type="dxa"/>
          </w:tcPr>
          <w:p w14:paraId="799775B1" w14:textId="77777777" w:rsidR="008B450C" w:rsidRPr="0062700E" w:rsidRDefault="008B450C" w:rsidP="008B450C">
            <w:pPr>
              <w:rPr>
                <w:lang w:val="en-GB"/>
              </w:rPr>
            </w:pPr>
            <w:r w:rsidRPr="0062700E">
              <w:rPr>
                <w:lang w:val="en-GB"/>
              </w:rPr>
              <w:t>A</w:t>
            </w:r>
          </w:p>
        </w:tc>
        <w:tc>
          <w:tcPr>
            <w:tcW w:w="1215" w:type="dxa"/>
            <w:gridSpan w:val="2"/>
          </w:tcPr>
          <w:p w14:paraId="428B1092" w14:textId="77777777" w:rsidR="008B450C" w:rsidRPr="0062700E" w:rsidRDefault="008B450C" w:rsidP="008B450C">
            <w:pPr>
              <w:rPr>
                <w:lang w:val="en-GB"/>
              </w:rPr>
            </w:pPr>
            <w:r w:rsidRPr="0062700E">
              <w:rPr>
                <w:lang w:val="en-GB"/>
              </w:rPr>
              <w:t>205-210</w:t>
            </w:r>
          </w:p>
        </w:tc>
        <w:tc>
          <w:tcPr>
            <w:tcW w:w="5785" w:type="dxa"/>
          </w:tcPr>
          <w:p w14:paraId="6C0781E2" w14:textId="77777777" w:rsidR="008B450C" w:rsidRPr="0062700E" w:rsidRDefault="008B450C" w:rsidP="008B450C">
            <w:pPr>
              <w:rPr>
                <w:lang w:val="en-GB"/>
              </w:rPr>
            </w:pPr>
            <w:r w:rsidRPr="0062700E">
              <w:rPr>
                <w:lang w:val="en-GB"/>
              </w:rPr>
              <w:t xml:space="preserve">Tools to monitor and implement this target should clearly recognize the rights of indigenous peoples and local communities. </w:t>
            </w:r>
          </w:p>
        </w:tc>
      </w:tr>
      <w:tr w:rsidR="008B450C" w:rsidRPr="0062700E" w14:paraId="2531C94A" w14:textId="77777777" w:rsidTr="005D2E65">
        <w:trPr>
          <w:trHeight w:val="224"/>
        </w:trPr>
        <w:tc>
          <w:tcPr>
            <w:tcW w:w="817" w:type="dxa"/>
          </w:tcPr>
          <w:p w14:paraId="5E58EF3E" w14:textId="0203E4DE" w:rsidR="008B450C" w:rsidRPr="0062700E" w:rsidRDefault="008B450C" w:rsidP="008B450C">
            <w:pPr>
              <w:rPr>
                <w:lang w:val="en-GB"/>
              </w:rPr>
            </w:pPr>
            <w:r w:rsidRPr="0062700E">
              <w:rPr>
                <w:lang w:val="en-GB"/>
              </w:rPr>
              <w:t>2</w:t>
            </w:r>
          </w:p>
        </w:tc>
        <w:tc>
          <w:tcPr>
            <w:tcW w:w="815" w:type="dxa"/>
          </w:tcPr>
          <w:p w14:paraId="14DEFB90" w14:textId="3CC87BC2" w:rsidR="008B450C" w:rsidRPr="0062700E" w:rsidRDefault="008B450C" w:rsidP="008B450C">
            <w:pPr>
              <w:rPr>
                <w:lang w:val="en-GB"/>
              </w:rPr>
            </w:pPr>
            <w:r w:rsidRPr="0062700E">
              <w:rPr>
                <w:lang w:val="en-GB"/>
              </w:rPr>
              <w:t>38-40</w:t>
            </w:r>
          </w:p>
        </w:tc>
        <w:tc>
          <w:tcPr>
            <w:tcW w:w="974" w:type="dxa"/>
          </w:tcPr>
          <w:p w14:paraId="49657537" w14:textId="77777777" w:rsidR="008B450C" w:rsidRPr="0062700E" w:rsidRDefault="008B450C" w:rsidP="008B450C">
            <w:pPr>
              <w:rPr>
                <w:lang w:val="en-GB"/>
              </w:rPr>
            </w:pPr>
          </w:p>
        </w:tc>
        <w:tc>
          <w:tcPr>
            <w:tcW w:w="1215" w:type="dxa"/>
            <w:gridSpan w:val="2"/>
          </w:tcPr>
          <w:p w14:paraId="544E97C5" w14:textId="77777777" w:rsidR="008B450C" w:rsidRPr="0062700E" w:rsidRDefault="008B450C" w:rsidP="008B450C">
            <w:pPr>
              <w:rPr>
                <w:lang w:val="en-GB"/>
              </w:rPr>
            </w:pPr>
          </w:p>
        </w:tc>
        <w:tc>
          <w:tcPr>
            <w:tcW w:w="5785" w:type="dxa"/>
          </w:tcPr>
          <w:p w14:paraId="245FA034" w14:textId="77777777" w:rsidR="008B450C" w:rsidRPr="0062700E" w:rsidRDefault="008B450C" w:rsidP="008B450C">
            <w:pPr>
              <w:spacing w:before="120" w:after="120"/>
              <w:contextualSpacing/>
              <w:rPr>
                <w:b/>
                <w:lang w:val="en-GB"/>
              </w:rPr>
            </w:pPr>
            <w:r w:rsidRPr="0062700E">
              <w:rPr>
                <w:b/>
                <w:lang w:val="en-GB"/>
              </w:rPr>
              <w:t>General point on Target 20</w:t>
            </w:r>
          </w:p>
          <w:p w14:paraId="0391A783" w14:textId="77777777" w:rsidR="008B450C" w:rsidRPr="0062700E" w:rsidRDefault="008B450C" w:rsidP="008B450C">
            <w:pPr>
              <w:spacing w:before="120" w:after="120"/>
              <w:contextualSpacing/>
              <w:rPr>
                <w:lang w:val="en-GB"/>
              </w:rPr>
            </w:pPr>
            <w:r w:rsidRPr="0062700E">
              <w:rPr>
                <w:lang w:val="en-GB"/>
              </w:rPr>
              <w:t xml:space="preserve">Human rights are indivisible. While critical as a target under Means of Implementation, they need to be linked specifically to substantive rights in Goals and Targets. </w:t>
            </w:r>
          </w:p>
          <w:p w14:paraId="662143C5" w14:textId="51811DBC" w:rsidR="008B450C" w:rsidRPr="0062700E" w:rsidRDefault="008B450C" w:rsidP="008B450C">
            <w:pPr>
              <w:rPr>
                <w:lang w:val="en-GB"/>
              </w:rPr>
            </w:pPr>
            <w:r w:rsidRPr="0062700E">
              <w:rPr>
                <w:lang w:val="en-GB"/>
              </w:rPr>
              <w:t xml:space="preserve">Participatory rights (as a Means of Implementation) are needed to exercise and realise substantive rights as elaborated by the UN Declaration on the Rights of Indigenous Peoples (UNDRIP), UN Declaration on the Rights of Peasants and Other People Working in Rural Areas (UNDROP), Convention for the Elimination of Discrimination Against Women (CEDAW),  Rights of the Child, or as defined in international law. Also, we </w:t>
            </w:r>
            <w:r w:rsidRPr="0062700E">
              <w:rPr>
                <w:lang w:val="en-GB"/>
              </w:rPr>
              <w:lastRenderedPageBreak/>
              <w:t xml:space="preserve">suggest a clear target on environmental human rights defenders due to the increasing attacks (political, legal, economic, mental, physical and emotional) on those who are defending biodiversity and nature against external threats.  </w:t>
            </w:r>
          </w:p>
        </w:tc>
      </w:tr>
      <w:tr w:rsidR="008B450C" w:rsidRPr="0062700E" w14:paraId="6BFE5ACF" w14:textId="77777777" w:rsidTr="005D2E65">
        <w:trPr>
          <w:trHeight w:val="224"/>
        </w:trPr>
        <w:tc>
          <w:tcPr>
            <w:tcW w:w="817" w:type="dxa"/>
          </w:tcPr>
          <w:p w14:paraId="0B2611CF" w14:textId="77777777" w:rsidR="008B450C" w:rsidRPr="0062700E" w:rsidRDefault="008B450C" w:rsidP="008B450C">
            <w:pPr>
              <w:rPr>
                <w:lang w:val="en-GB"/>
              </w:rPr>
            </w:pPr>
            <w:r w:rsidRPr="0062700E">
              <w:rPr>
                <w:lang w:val="en-GB"/>
              </w:rPr>
              <w:lastRenderedPageBreak/>
              <w:t>2</w:t>
            </w:r>
          </w:p>
        </w:tc>
        <w:tc>
          <w:tcPr>
            <w:tcW w:w="815" w:type="dxa"/>
          </w:tcPr>
          <w:p w14:paraId="4E85E17A" w14:textId="77777777" w:rsidR="008B450C" w:rsidRPr="0062700E" w:rsidRDefault="008B450C" w:rsidP="008B450C">
            <w:pPr>
              <w:rPr>
                <w:lang w:val="en-GB"/>
              </w:rPr>
            </w:pPr>
            <w:r w:rsidRPr="0062700E">
              <w:rPr>
                <w:lang w:val="en-GB"/>
              </w:rPr>
              <w:t>38</w:t>
            </w:r>
          </w:p>
        </w:tc>
        <w:tc>
          <w:tcPr>
            <w:tcW w:w="974" w:type="dxa"/>
          </w:tcPr>
          <w:p w14:paraId="0127F6C4" w14:textId="77777777" w:rsidR="008B450C" w:rsidRPr="0062700E" w:rsidRDefault="008B450C" w:rsidP="008B450C">
            <w:pPr>
              <w:rPr>
                <w:lang w:val="en-GB"/>
              </w:rPr>
            </w:pPr>
            <w:r w:rsidRPr="0062700E">
              <w:rPr>
                <w:lang w:val="en-GB"/>
              </w:rPr>
              <w:t>B, C</w:t>
            </w:r>
          </w:p>
        </w:tc>
        <w:tc>
          <w:tcPr>
            <w:tcW w:w="1215" w:type="dxa"/>
            <w:gridSpan w:val="2"/>
          </w:tcPr>
          <w:p w14:paraId="753270D3" w14:textId="00753C15" w:rsidR="008B450C" w:rsidRPr="0062700E" w:rsidRDefault="008B450C" w:rsidP="008B450C">
            <w:pPr>
              <w:rPr>
                <w:lang w:val="en-GB"/>
              </w:rPr>
            </w:pPr>
            <w:r w:rsidRPr="0062700E">
              <w:rPr>
                <w:lang w:val="en-GB"/>
              </w:rPr>
              <w:t>239,</w:t>
            </w:r>
            <w:r w:rsidR="004D2C1D" w:rsidRPr="0062700E">
              <w:rPr>
                <w:lang w:val="en-GB"/>
              </w:rPr>
              <w:t xml:space="preserve"> </w:t>
            </w:r>
            <w:r w:rsidRPr="0062700E">
              <w:rPr>
                <w:lang w:val="en-GB"/>
              </w:rPr>
              <w:t>240</w:t>
            </w:r>
          </w:p>
        </w:tc>
        <w:tc>
          <w:tcPr>
            <w:tcW w:w="5785" w:type="dxa"/>
          </w:tcPr>
          <w:p w14:paraId="2B1F54A0" w14:textId="6C522B19" w:rsidR="008B450C" w:rsidRPr="0062700E" w:rsidRDefault="008B450C" w:rsidP="008B450C">
            <w:pPr>
              <w:rPr>
                <w:lang w:val="en-GB"/>
              </w:rPr>
            </w:pPr>
            <w:r w:rsidRPr="0062700E">
              <w:rPr>
                <w:lang w:val="en-GB"/>
              </w:rPr>
              <w:t>Monitoring elements need to ensure meaningful participation (not just participation) of Indigenous peoples and local communities.  Here monitoring elements could be linked to the spatial area coverage of collective lands, waters and territories that are formally recognized, and recognition of the four governance types (government, private, indigenous peoples and local communities, shared).</w:t>
            </w:r>
          </w:p>
        </w:tc>
      </w:tr>
      <w:tr w:rsidR="00325151" w:rsidRPr="0062700E" w14:paraId="05F5C660" w14:textId="77777777" w:rsidTr="005D2E65">
        <w:trPr>
          <w:trHeight w:val="224"/>
        </w:trPr>
        <w:tc>
          <w:tcPr>
            <w:tcW w:w="817" w:type="dxa"/>
          </w:tcPr>
          <w:p w14:paraId="4DC758DF" w14:textId="4D184801" w:rsidR="00325151" w:rsidRPr="0062700E" w:rsidRDefault="00325151" w:rsidP="00325151">
            <w:pPr>
              <w:rPr>
                <w:lang w:val="en-GB"/>
              </w:rPr>
            </w:pPr>
            <w:r w:rsidRPr="0062700E">
              <w:rPr>
                <w:sz w:val="22"/>
                <w:szCs w:val="22"/>
                <w:lang w:val="en-GB"/>
              </w:rPr>
              <w:t>2</w:t>
            </w:r>
          </w:p>
        </w:tc>
        <w:tc>
          <w:tcPr>
            <w:tcW w:w="815" w:type="dxa"/>
          </w:tcPr>
          <w:p w14:paraId="73A93102" w14:textId="378F3F48" w:rsidR="00325151" w:rsidRPr="0062700E" w:rsidRDefault="00325151" w:rsidP="00325151">
            <w:pPr>
              <w:rPr>
                <w:lang w:val="en-GB"/>
              </w:rPr>
            </w:pPr>
            <w:r w:rsidRPr="0062700E">
              <w:rPr>
                <w:sz w:val="22"/>
                <w:szCs w:val="22"/>
                <w:lang w:val="en-GB"/>
              </w:rPr>
              <w:t>38-39</w:t>
            </w:r>
          </w:p>
        </w:tc>
        <w:tc>
          <w:tcPr>
            <w:tcW w:w="974" w:type="dxa"/>
          </w:tcPr>
          <w:p w14:paraId="3CCA1D4D" w14:textId="0D7B7CBC" w:rsidR="00325151" w:rsidRPr="0062700E" w:rsidRDefault="00325151" w:rsidP="00325151">
            <w:pPr>
              <w:rPr>
                <w:lang w:val="en-GB"/>
              </w:rPr>
            </w:pPr>
            <w:r w:rsidRPr="0062700E">
              <w:rPr>
                <w:sz w:val="22"/>
                <w:szCs w:val="22"/>
                <w:lang w:val="en-GB"/>
              </w:rPr>
              <w:t>C</w:t>
            </w:r>
          </w:p>
        </w:tc>
        <w:tc>
          <w:tcPr>
            <w:tcW w:w="1215" w:type="dxa"/>
            <w:gridSpan w:val="2"/>
          </w:tcPr>
          <w:p w14:paraId="30D2EB50" w14:textId="556CE806" w:rsidR="00325151" w:rsidRPr="0062700E" w:rsidRDefault="00325151" w:rsidP="00325151">
            <w:pPr>
              <w:rPr>
                <w:lang w:val="en-GB"/>
              </w:rPr>
            </w:pPr>
            <w:r w:rsidRPr="0062700E">
              <w:rPr>
                <w:sz w:val="22"/>
                <w:szCs w:val="22"/>
                <w:lang w:val="en-GB"/>
              </w:rPr>
              <w:t>239-243</w:t>
            </w:r>
          </w:p>
        </w:tc>
        <w:tc>
          <w:tcPr>
            <w:tcW w:w="5785" w:type="dxa"/>
          </w:tcPr>
          <w:p w14:paraId="4E0E2311" w14:textId="77777777" w:rsidR="00325151" w:rsidRPr="0062700E" w:rsidRDefault="00325151" w:rsidP="00325151">
            <w:pPr>
              <w:spacing w:before="120" w:after="120"/>
              <w:contextualSpacing/>
              <w:rPr>
                <w:szCs w:val="22"/>
                <w:lang w:val="en-GB"/>
              </w:rPr>
            </w:pPr>
            <w:r w:rsidRPr="0062700E">
              <w:rPr>
                <w:b/>
                <w:bCs/>
                <w:szCs w:val="22"/>
                <w:lang w:val="en-GB"/>
              </w:rPr>
              <w:t>Propose to add indicators</w:t>
            </w:r>
            <w:r w:rsidRPr="0062700E">
              <w:rPr>
                <w:szCs w:val="22"/>
                <w:lang w:val="en-GB"/>
              </w:rPr>
              <w:t xml:space="preserve"> related to participation of IPLCs, e.g.:</w:t>
            </w:r>
          </w:p>
          <w:p w14:paraId="0F642ACE" w14:textId="77777777" w:rsidR="00325151" w:rsidRPr="0062700E" w:rsidRDefault="00325151" w:rsidP="00325151">
            <w:pPr>
              <w:numPr>
                <w:ilvl w:val="0"/>
                <w:numId w:val="6"/>
              </w:numPr>
              <w:spacing w:before="120" w:after="120"/>
              <w:contextualSpacing/>
              <w:rPr>
                <w:szCs w:val="22"/>
                <w:lang w:val="en-GB"/>
              </w:rPr>
            </w:pPr>
            <w:r w:rsidRPr="0062700E">
              <w:rPr>
                <w:szCs w:val="22"/>
                <w:lang w:val="en-GB"/>
              </w:rPr>
              <w:t>Number of Parties reporting on inclusion of IPLCs in the updating, implementation and monitoring of NBSAPs, and their full and effective participation in the implementation of the post-2020 GBF at all levels.</w:t>
            </w:r>
          </w:p>
          <w:p w14:paraId="269A3BD3" w14:textId="10CADC55" w:rsidR="00325151" w:rsidRPr="0062700E" w:rsidRDefault="00325151" w:rsidP="00325151">
            <w:pPr>
              <w:rPr>
                <w:lang w:val="en-GB"/>
              </w:rPr>
            </w:pPr>
            <w:r w:rsidRPr="0062700E">
              <w:rPr>
                <w:szCs w:val="22"/>
                <w:lang w:val="en-GB"/>
              </w:rPr>
              <w:t>Number of Parties with designated Focal Point of Art. 8(j) and related provisions</w:t>
            </w:r>
          </w:p>
        </w:tc>
      </w:tr>
    </w:tbl>
    <w:p w14:paraId="482630E8" w14:textId="77777777" w:rsidR="00AA726F" w:rsidRPr="0062700E" w:rsidRDefault="00AA726F" w:rsidP="00DB71FC">
      <w:pPr>
        <w:pStyle w:val="Default"/>
        <w:jc w:val="center"/>
        <w:rPr>
          <w:b/>
          <w:sz w:val="22"/>
          <w:szCs w:val="22"/>
          <w:u w:val="single"/>
          <w:lang w:val="en-GB"/>
        </w:rPr>
      </w:pPr>
    </w:p>
    <w:p w14:paraId="7C2EFDC8" w14:textId="40F5F7A4" w:rsidR="00AA726F" w:rsidRPr="00624FAA" w:rsidRDefault="00AA726F" w:rsidP="00DB71FC">
      <w:pPr>
        <w:jc w:val="both"/>
        <w:rPr>
          <w:i/>
          <w:szCs w:val="22"/>
        </w:rPr>
      </w:pPr>
    </w:p>
    <w:sectPr w:rsidR="00AA726F" w:rsidRPr="00624FAA" w:rsidSect="00A312D8">
      <w:head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6FF0" w14:textId="77777777" w:rsidR="007C153C" w:rsidRDefault="007C153C">
      <w:r>
        <w:separator/>
      </w:r>
    </w:p>
  </w:endnote>
  <w:endnote w:type="continuationSeparator" w:id="0">
    <w:p w14:paraId="1F7F8656" w14:textId="77777777" w:rsidR="007C153C" w:rsidRDefault="007C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5E3C" w14:textId="77777777" w:rsidR="007C153C" w:rsidRDefault="007C153C">
      <w:r>
        <w:separator/>
      </w:r>
    </w:p>
  </w:footnote>
  <w:footnote w:type="continuationSeparator" w:id="0">
    <w:p w14:paraId="516C0805" w14:textId="77777777" w:rsidR="007C153C" w:rsidRDefault="007C153C">
      <w:r>
        <w:continuationSeparator/>
      </w:r>
    </w:p>
  </w:footnote>
  <w:footnote w:id="1">
    <w:p w14:paraId="30135963" w14:textId="77777777" w:rsidR="007C153C" w:rsidRDefault="007C153C">
      <w:pPr>
        <w:pStyle w:val="FootnoteText"/>
        <w:rPr>
          <w:lang w:val="en-US"/>
        </w:rPr>
      </w:pPr>
      <w:r>
        <w:rPr>
          <w:rStyle w:val="FootnoteReference"/>
        </w:rPr>
        <w:footnoteRef/>
      </w:r>
      <w:r>
        <w:t xml:space="preserve"> IUCN </w:t>
      </w:r>
      <w:r>
        <w:rPr>
          <w:lang w:val="en-US"/>
        </w:rPr>
        <w:t xml:space="preserve">Sustainable Use and Livelihoods - </w:t>
      </w:r>
      <w:hyperlink r:id="rId1" w:history="1">
        <w:r w:rsidRPr="000A13F5">
          <w:rPr>
            <w:rStyle w:val="Hyperlink"/>
            <w:lang w:val="en-US"/>
          </w:rPr>
          <w:t>https://www.iucn.org/commissions/commission-environmental-economic-and-social-policy/our-work/sustainable-use-and-livelihoods</w:t>
        </w:r>
      </w:hyperlink>
    </w:p>
    <w:p w14:paraId="7159076D" w14:textId="77777777" w:rsidR="007C153C" w:rsidRPr="00E70A62" w:rsidRDefault="007C153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2606" w14:textId="77777777" w:rsidR="007C153C" w:rsidRDefault="007C153C"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66C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534E2"/>
    <w:multiLevelType w:val="hybridMultilevel"/>
    <w:tmpl w:val="4BB6007A"/>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384F"/>
    <w:rsid w:val="00053583"/>
    <w:rsid w:val="00053C05"/>
    <w:rsid w:val="00057484"/>
    <w:rsid w:val="00060F26"/>
    <w:rsid w:val="00082816"/>
    <w:rsid w:val="00090581"/>
    <w:rsid w:val="000968B8"/>
    <w:rsid w:val="000A1EAF"/>
    <w:rsid w:val="000B578E"/>
    <w:rsid w:val="000B6228"/>
    <w:rsid w:val="000C0B6C"/>
    <w:rsid w:val="000C5A9A"/>
    <w:rsid w:val="000E2CC9"/>
    <w:rsid w:val="0011369D"/>
    <w:rsid w:val="001208DE"/>
    <w:rsid w:val="001233F6"/>
    <w:rsid w:val="00131A78"/>
    <w:rsid w:val="00137210"/>
    <w:rsid w:val="00153018"/>
    <w:rsid w:val="0015535D"/>
    <w:rsid w:val="001561B8"/>
    <w:rsid w:val="00160857"/>
    <w:rsid w:val="00170A3F"/>
    <w:rsid w:val="001771FC"/>
    <w:rsid w:val="0017735D"/>
    <w:rsid w:val="0018024F"/>
    <w:rsid w:val="0019226A"/>
    <w:rsid w:val="001A7B51"/>
    <w:rsid w:val="001B445B"/>
    <w:rsid w:val="001B7642"/>
    <w:rsid w:val="001C6155"/>
    <w:rsid w:val="001D0A7E"/>
    <w:rsid w:val="001D3754"/>
    <w:rsid w:val="001D7237"/>
    <w:rsid w:val="001E3E11"/>
    <w:rsid w:val="001E7926"/>
    <w:rsid w:val="001F0FC8"/>
    <w:rsid w:val="001F34E8"/>
    <w:rsid w:val="00200335"/>
    <w:rsid w:val="00203867"/>
    <w:rsid w:val="00211568"/>
    <w:rsid w:val="00220949"/>
    <w:rsid w:val="002324A3"/>
    <w:rsid w:val="002337AC"/>
    <w:rsid w:val="00244FE0"/>
    <w:rsid w:val="00247402"/>
    <w:rsid w:val="00251D9C"/>
    <w:rsid w:val="00253557"/>
    <w:rsid w:val="00267917"/>
    <w:rsid w:val="00270EFF"/>
    <w:rsid w:val="00290379"/>
    <w:rsid w:val="002908CA"/>
    <w:rsid w:val="00290B46"/>
    <w:rsid w:val="00293F53"/>
    <w:rsid w:val="00297A07"/>
    <w:rsid w:val="002A5D51"/>
    <w:rsid w:val="002A6DA8"/>
    <w:rsid w:val="002B05F7"/>
    <w:rsid w:val="002C35EE"/>
    <w:rsid w:val="002C4727"/>
    <w:rsid w:val="002D065D"/>
    <w:rsid w:val="002D769E"/>
    <w:rsid w:val="002E19F8"/>
    <w:rsid w:val="002F6C70"/>
    <w:rsid w:val="00305B1F"/>
    <w:rsid w:val="00312698"/>
    <w:rsid w:val="00314D95"/>
    <w:rsid w:val="00323670"/>
    <w:rsid w:val="003249B9"/>
    <w:rsid w:val="00325151"/>
    <w:rsid w:val="00327174"/>
    <w:rsid w:val="00327F7B"/>
    <w:rsid w:val="00332A6E"/>
    <w:rsid w:val="00333F18"/>
    <w:rsid w:val="00335407"/>
    <w:rsid w:val="00337829"/>
    <w:rsid w:val="00351CE7"/>
    <w:rsid w:val="0035529C"/>
    <w:rsid w:val="00384EB6"/>
    <w:rsid w:val="003A7D26"/>
    <w:rsid w:val="003B11FF"/>
    <w:rsid w:val="003B6338"/>
    <w:rsid w:val="003C649F"/>
    <w:rsid w:val="003D4C29"/>
    <w:rsid w:val="003D53AB"/>
    <w:rsid w:val="003D6BBF"/>
    <w:rsid w:val="003E0BA2"/>
    <w:rsid w:val="003E63A9"/>
    <w:rsid w:val="003F451F"/>
    <w:rsid w:val="003F5EC1"/>
    <w:rsid w:val="00404BD3"/>
    <w:rsid w:val="00407E8A"/>
    <w:rsid w:val="00426FBB"/>
    <w:rsid w:val="0043164D"/>
    <w:rsid w:val="004422E0"/>
    <w:rsid w:val="00453290"/>
    <w:rsid w:val="00454C0E"/>
    <w:rsid w:val="00454CE8"/>
    <w:rsid w:val="0046240C"/>
    <w:rsid w:val="00464701"/>
    <w:rsid w:val="004710AE"/>
    <w:rsid w:val="00471336"/>
    <w:rsid w:val="00473377"/>
    <w:rsid w:val="00487C28"/>
    <w:rsid w:val="00495268"/>
    <w:rsid w:val="004A60AE"/>
    <w:rsid w:val="004D049C"/>
    <w:rsid w:val="004D2C1D"/>
    <w:rsid w:val="004E0928"/>
    <w:rsid w:val="004E3281"/>
    <w:rsid w:val="004E4BCF"/>
    <w:rsid w:val="004F0B61"/>
    <w:rsid w:val="004F1EB4"/>
    <w:rsid w:val="004F2211"/>
    <w:rsid w:val="00506FCD"/>
    <w:rsid w:val="00510E65"/>
    <w:rsid w:val="005127D9"/>
    <w:rsid w:val="005172E3"/>
    <w:rsid w:val="00527EB5"/>
    <w:rsid w:val="00532BBA"/>
    <w:rsid w:val="00533EBF"/>
    <w:rsid w:val="005344CD"/>
    <w:rsid w:val="00534C09"/>
    <w:rsid w:val="005469ED"/>
    <w:rsid w:val="00552447"/>
    <w:rsid w:val="0055668B"/>
    <w:rsid w:val="00564DA2"/>
    <w:rsid w:val="005824FC"/>
    <w:rsid w:val="00585692"/>
    <w:rsid w:val="00587814"/>
    <w:rsid w:val="00587A62"/>
    <w:rsid w:val="00590627"/>
    <w:rsid w:val="005932D5"/>
    <w:rsid w:val="005A2A8B"/>
    <w:rsid w:val="005A559E"/>
    <w:rsid w:val="005A7E2E"/>
    <w:rsid w:val="005B62A3"/>
    <w:rsid w:val="005C0A6D"/>
    <w:rsid w:val="005C3F60"/>
    <w:rsid w:val="005D2E65"/>
    <w:rsid w:val="005D5557"/>
    <w:rsid w:val="005E2407"/>
    <w:rsid w:val="005E3650"/>
    <w:rsid w:val="005F0260"/>
    <w:rsid w:val="005F33E2"/>
    <w:rsid w:val="00600804"/>
    <w:rsid w:val="0060158B"/>
    <w:rsid w:val="006056FD"/>
    <w:rsid w:val="00607EBA"/>
    <w:rsid w:val="006121F3"/>
    <w:rsid w:val="00624C82"/>
    <w:rsid w:val="00624FAA"/>
    <w:rsid w:val="00626CE8"/>
    <w:rsid w:val="0062700E"/>
    <w:rsid w:val="00631168"/>
    <w:rsid w:val="00634D7C"/>
    <w:rsid w:val="00636451"/>
    <w:rsid w:val="006378E7"/>
    <w:rsid w:val="00642AC0"/>
    <w:rsid w:val="006447CB"/>
    <w:rsid w:val="006521D6"/>
    <w:rsid w:val="006545D8"/>
    <w:rsid w:val="00661157"/>
    <w:rsid w:val="006618C3"/>
    <w:rsid w:val="00665BC7"/>
    <w:rsid w:val="00680218"/>
    <w:rsid w:val="00681E51"/>
    <w:rsid w:val="00686FE8"/>
    <w:rsid w:val="00690111"/>
    <w:rsid w:val="006A0208"/>
    <w:rsid w:val="006B4C03"/>
    <w:rsid w:val="006D5291"/>
    <w:rsid w:val="006F2BB1"/>
    <w:rsid w:val="006F40ED"/>
    <w:rsid w:val="006F4D56"/>
    <w:rsid w:val="006F78B8"/>
    <w:rsid w:val="006F7E3A"/>
    <w:rsid w:val="00714DD7"/>
    <w:rsid w:val="007161BE"/>
    <w:rsid w:val="0072049C"/>
    <w:rsid w:val="007356A5"/>
    <w:rsid w:val="00750EDF"/>
    <w:rsid w:val="00757A3C"/>
    <w:rsid w:val="00774B6B"/>
    <w:rsid w:val="00780D99"/>
    <w:rsid w:val="00783C72"/>
    <w:rsid w:val="007933BF"/>
    <w:rsid w:val="0079367D"/>
    <w:rsid w:val="00796A1A"/>
    <w:rsid w:val="007A1649"/>
    <w:rsid w:val="007A24E9"/>
    <w:rsid w:val="007C0C1B"/>
    <w:rsid w:val="007C153C"/>
    <w:rsid w:val="007D13B8"/>
    <w:rsid w:val="007E0389"/>
    <w:rsid w:val="007E4018"/>
    <w:rsid w:val="007F04C6"/>
    <w:rsid w:val="007F3EF6"/>
    <w:rsid w:val="00801D1A"/>
    <w:rsid w:val="00804363"/>
    <w:rsid w:val="00805CC6"/>
    <w:rsid w:val="00832E1E"/>
    <w:rsid w:val="00840313"/>
    <w:rsid w:val="00842658"/>
    <w:rsid w:val="00844C54"/>
    <w:rsid w:val="00852E59"/>
    <w:rsid w:val="008531F6"/>
    <w:rsid w:val="0085727C"/>
    <w:rsid w:val="00864BB7"/>
    <w:rsid w:val="00871124"/>
    <w:rsid w:val="008911E7"/>
    <w:rsid w:val="00897193"/>
    <w:rsid w:val="008A2175"/>
    <w:rsid w:val="008A70DE"/>
    <w:rsid w:val="008B0624"/>
    <w:rsid w:val="008B450C"/>
    <w:rsid w:val="008C4B6B"/>
    <w:rsid w:val="008D46F4"/>
    <w:rsid w:val="008E2654"/>
    <w:rsid w:val="008E5267"/>
    <w:rsid w:val="008E5DA6"/>
    <w:rsid w:val="0090521A"/>
    <w:rsid w:val="00914EE3"/>
    <w:rsid w:val="00915133"/>
    <w:rsid w:val="00945444"/>
    <w:rsid w:val="00947BAE"/>
    <w:rsid w:val="0095630C"/>
    <w:rsid w:val="00963C12"/>
    <w:rsid w:val="00985B44"/>
    <w:rsid w:val="00990C4C"/>
    <w:rsid w:val="009B53FD"/>
    <w:rsid w:val="009C0234"/>
    <w:rsid w:val="009D0254"/>
    <w:rsid w:val="009D02A0"/>
    <w:rsid w:val="009E5F12"/>
    <w:rsid w:val="009E7EB7"/>
    <w:rsid w:val="009F28E0"/>
    <w:rsid w:val="00A17608"/>
    <w:rsid w:val="00A2000C"/>
    <w:rsid w:val="00A31244"/>
    <w:rsid w:val="00A312D8"/>
    <w:rsid w:val="00A35A86"/>
    <w:rsid w:val="00A45D0F"/>
    <w:rsid w:val="00A61279"/>
    <w:rsid w:val="00A62047"/>
    <w:rsid w:val="00A70EE7"/>
    <w:rsid w:val="00A72B4A"/>
    <w:rsid w:val="00A74858"/>
    <w:rsid w:val="00A74EBD"/>
    <w:rsid w:val="00A8340B"/>
    <w:rsid w:val="00AA4010"/>
    <w:rsid w:val="00AA45C5"/>
    <w:rsid w:val="00AA726F"/>
    <w:rsid w:val="00AC73F7"/>
    <w:rsid w:val="00AD3959"/>
    <w:rsid w:val="00AD70C7"/>
    <w:rsid w:val="00AE6FEC"/>
    <w:rsid w:val="00AF6208"/>
    <w:rsid w:val="00AF6B7F"/>
    <w:rsid w:val="00B0290E"/>
    <w:rsid w:val="00B02B94"/>
    <w:rsid w:val="00B06B2E"/>
    <w:rsid w:val="00B411D0"/>
    <w:rsid w:val="00B5072C"/>
    <w:rsid w:val="00B64F80"/>
    <w:rsid w:val="00B65D31"/>
    <w:rsid w:val="00B678C8"/>
    <w:rsid w:val="00B76BE3"/>
    <w:rsid w:val="00B9059F"/>
    <w:rsid w:val="00B92AA7"/>
    <w:rsid w:val="00B93D50"/>
    <w:rsid w:val="00BA1468"/>
    <w:rsid w:val="00BA1C71"/>
    <w:rsid w:val="00BC09B3"/>
    <w:rsid w:val="00BC3D9A"/>
    <w:rsid w:val="00BD0376"/>
    <w:rsid w:val="00BF469D"/>
    <w:rsid w:val="00C0100A"/>
    <w:rsid w:val="00C115A2"/>
    <w:rsid w:val="00C12621"/>
    <w:rsid w:val="00C13D6B"/>
    <w:rsid w:val="00C21E09"/>
    <w:rsid w:val="00C34B94"/>
    <w:rsid w:val="00C41AD6"/>
    <w:rsid w:val="00C43FFB"/>
    <w:rsid w:val="00C46384"/>
    <w:rsid w:val="00C60611"/>
    <w:rsid w:val="00C60F02"/>
    <w:rsid w:val="00C65EF1"/>
    <w:rsid w:val="00C73F78"/>
    <w:rsid w:val="00C813ED"/>
    <w:rsid w:val="00C9464F"/>
    <w:rsid w:val="00CA2840"/>
    <w:rsid w:val="00CA3CDA"/>
    <w:rsid w:val="00CB31A6"/>
    <w:rsid w:val="00CB6CB9"/>
    <w:rsid w:val="00CD6979"/>
    <w:rsid w:val="00CE354F"/>
    <w:rsid w:val="00CF16C6"/>
    <w:rsid w:val="00D03F00"/>
    <w:rsid w:val="00D1790E"/>
    <w:rsid w:val="00D17C13"/>
    <w:rsid w:val="00D23095"/>
    <w:rsid w:val="00D33D15"/>
    <w:rsid w:val="00D5253A"/>
    <w:rsid w:val="00D65461"/>
    <w:rsid w:val="00D66ABB"/>
    <w:rsid w:val="00D72B8D"/>
    <w:rsid w:val="00D75A42"/>
    <w:rsid w:val="00D8033C"/>
    <w:rsid w:val="00D8552A"/>
    <w:rsid w:val="00D9146A"/>
    <w:rsid w:val="00D9467E"/>
    <w:rsid w:val="00DB71FC"/>
    <w:rsid w:val="00DC1FCD"/>
    <w:rsid w:val="00DC466F"/>
    <w:rsid w:val="00DC7317"/>
    <w:rsid w:val="00DD3897"/>
    <w:rsid w:val="00DE395C"/>
    <w:rsid w:val="00E034BA"/>
    <w:rsid w:val="00E103E6"/>
    <w:rsid w:val="00E12686"/>
    <w:rsid w:val="00E14C4F"/>
    <w:rsid w:val="00E32E54"/>
    <w:rsid w:val="00E47EE6"/>
    <w:rsid w:val="00E5225D"/>
    <w:rsid w:val="00E542DB"/>
    <w:rsid w:val="00E62450"/>
    <w:rsid w:val="00E62F3D"/>
    <w:rsid w:val="00E6426D"/>
    <w:rsid w:val="00E70A62"/>
    <w:rsid w:val="00E722FB"/>
    <w:rsid w:val="00E74140"/>
    <w:rsid w:val="00E77899"/>
    <w:rsid w:val="00E80F46"/>
    <w:rsid w:val="00E86A51"/>
    <w:rsid w:val="00E87D60"/>
    <w:rsid w:val="00EA0E47"/>
    <w:rsid w:val="00EA18E2"/>
    <w:rsid w:val="00EC41EB"/>
    <w:rsid w:val="00EC422B"/>
    <w:rsid w:val="00EC787C"/>
    <w:rsid w:val="00ED6281"/>
    <w:rsid w:val="00EE6F74"/>
    <w:rsid w:val="00EF65B3"/>
    <w:rsid w:val="00F02E9D"/>
    <w:rsid w:val="00F0575E"/>
    <w:rsid w:val="00F16439"/>
    <w:rsid w:val="00F221BB"/>
    <w:rsid w:val="00F313AE"/>
    <w:rsid w:val="00F35F42"/>
    <w:rsid w:val="00F46F31"/>
    <w:rsid w:val="00F52C48"/>
    <w:rsid w:val="00F52F5B"/>
    <w:rsid w:val="00F54888"/>
    <w:rsid w:val="00F55E0E"/>
    <w:rsid w:val="00F60126"/>
    <w:rsid w:val="00F61250"/>
    <w:rsid w:val="00F91F01"/>
    <w:rsid w:val="00F967E9"/>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F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lang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customStyle="1" w:styleId="MediumGrid1-Accent21">
    <w:name w:val="Medium Grid 1 - Accent 21"/>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1">
    <w:name w:val="Unresolved Mention1"/>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styleId="NormalWeb">
    <w:name w:val="Normal (Web)"/>
    <w:basedOn w:val="Normal"/>
    <w:uiPriority w:val="99"/>
    <w:unhideWhenUsed/>
    <w:rsid w:val="00EC422B"/>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90724">
      <w:bodyDiv w:val="1"/>
      <w:marLeft w:val="0"/>
      <w:marRight w:val="0"/>
      <w:marTop w:val="0"/>
      <w:marBottom w:val="0"/>
      <w:divBdr>
        <w:top w:val="none" w:sz="0" w:space="0" w:color="auto"/>
        <w:left w:val="none" w:sz="0" w:space="0" w:color="auto"/>
        <w:bottom w:val="none" w:sz="0" w:space="0" w:color="auto"/>
        <w:right w:val="none" w:sz="0" w:space="0" w:color="auto"/>
      </w:divBdr>
      <w:divsChild>
        <w:div w:id="755975747">
          <w:marLeft w:val="0"/>
          <w:marRight w:val="0"/>
          <w:marTop w:val="0"/>
          <w:marBottom w:val="0"/>
          <w:divBdr>
            <w:top w:val="none" w:sz="0" w:space="0" w:color="auto"/>
            <w:left w:val="none" w:sz="0" w:space="0" w:color="auto"/>
            <w:bottom w:val="none" w:sz="0" w:space="0" w:color="auto"/>
            <w:right w:val="none" w:sz="0" w:space="0" w:color="auto"/>
          </w:divBdr>
          <w:divsChild>
            <w:div w:id="912589085">
              <w:marLeft w:val="0"/>
              <w:marRight w:val="0"/>
              <w:marTop w:val="0"/>
              <w:marBottom w:val="0"/>
              <w:divBdr>
                <w:top w:val="none" w:sz="0" w:space="0" w:color="auto"/>
                <w:left w:val="none" w:sz="0" w:space="0" w:color="auto"/>
                <w:bottom w:val="none" w:sz="0" w:space="0" w:color="auto"/>
                <w:right w:val="none" w:sz="0" w:space="0" w:color="auto"/>
              </w:divBdr>
              <w:divsChild>
                <w:div w:id="20608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9624">
      <w:bodyDiv w:val="1"/>
      <w:marLeft w:val="0"/>
      <w:marRight w:val="0"/>
      <w:marTop w:val="0"/>
      <w:marBottom w:val="0"/>
      <w:divBdr>
        <w:top w:val="none" w:sz="0" w:space="0" w:color="auto"/>
        <w:left w:val="none" w:sz="0" w:space="0" w:color="auto"/>
        <w:bottom w:val="none" w:sz="0" w:space="0" w:color="auto"/>
        <w:right w:val="none" w:sz="0" w:space="0" w:color="auto"/>
      </w:divBdr>
    </w:div>
    <w:div w:id="777527587">
      <w:bodyDiv w:val="1"/>
      <w:marLeft w:val="0"/>
      <w:marRight w:val="0"/>
      <w:marTop w:val="0"/>
      <w:marBottom w:val="0"/>
      <w:divBdr>
        <w:top w:val="none" w:sz="0" w:space="0" w:color="auto"/>
        <w:left w:val="none" w:sz="0" w:space="0" w:color="auto"/>
        <w:bottom w:val="none" w:sz="0" w:space="0" w:color="auto"/>
        <w:right w:val="none" w:sz="0" w:space="0" w:color="auto"/>
      </w:divBdr>
    </w:div>
    <w:div w:id="799764192">
      <w:bodyDiv w:val="1"/>
      <w:marLeft w:val="0"/>
      <w:marRight w:val="0"/>
      <w:marTop w:val="0"/>
      <w:marBottom w:val="0"/>
      <w:divBdr>
        <w:top w:val="none" w:sz="0" w:space="0" w:color="auto"/>
        <w:left w:val="none" w:sz="0" w:space="0" w:color="auto"/>
        <w:bottom w:val="none" w:sz="0" w:space="0" w:color="auto"/>
        <w:right w:val="none" w:sz="0" w:space="0" w:color="auto"/>
      </w:divBdr>
    </w:div>
    <w:div w:id="1153983712">
      <w:bodyDiv w:val="1"/>
      <w:marLeft w:val="0"/>
      <w:marRight w:val="0"/>
      <w:marTop w:val="0"/>
      <w:marBottom w:val="0"/>
      <w:divBdr>
        <w:top w:val="none" w:sz="0" w:space="0" w:color="auto"/>
        <w:left w:val="none" w:sz="0" w:space="0" w:color="auto"/>
        <w:bottom w:val="none" w:sz="0" w:space="0" w:color="auto"/>
        <w:right w:val="none" w:sz="0" w:space="0" w:color="auto"/>
      </w:divBdr>
      <w:divsChild>
        <w:div w:id="1500579519">
          <w:marLeft w:val="0"/>
          <w:marRight w:val="0"/>
          <w:marTop w:val="0"/>
          <w:marBottom w:val="0"/>
          <w:divBdr>
            <w:top w:val="none" w:sz="0" w:space="0" w:color="auto"/>
            <w:left w:val="none" w:sz="0" w:space="0" w:color="auto"/>
            <w:bottom w:val="none" w:sz="0" w:space="0" w:color="auto"/>
            <w:right w:val="none" w:sz="0" w:space="0" w:color="auto"/>
          </w:divBdr>
          <w:divsChild>
            <w:div w:id="2109079821">
              <w:marLeft w:val="0"/>
              <w:marRight w:val="0"/>
              <w:marTop w:val="0"/>
              <w:marBottom w:val="0"/>
              <w:divBdr>
                <w:top w:val="none" w:sz="0" w:space="0" w:color="auto"/>
                <w:left w:val="none" w:sz="0" w:space="0" w:color="auto"/>
                <w:bottom w:val="none" w:sz="0" w:space="0" w:color="auto"/>
                <w:right w:val="none" w:sz="0" w:space="0" w:color="auto"/>
              </w:divBdr>
              <w:divsChild>
                <w:div w:id="8538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6046">
      <w:bodyDiv w:val="1"/>
      <w:marLeft w:val="0"/>
      <w:marRight w:val="0"/>
      <w:marTop w:val="0"/>
      <w:marBottom w:val="0"/>
      <w:divBdr>
        <w:top w:val="none" w:sz="0" w:space="0" w:color="auto"/>
        <w:left w:val="none" w:sz="0" w:space="0" w:color="auto"/>
        <w:bottom w:val="none" w:sz="0" w:space="0" w:color="auto"/>
        <w:right w:val="none" w:sz="0" w:space="0" w:color="auto"/>
      </w:divBdr>
      <w:divsChild>
        <w:div w:id="1773864468">
          <w:marLeft w:val="0"/>
          <w:marRight w:val="0"/>
          <w:marTop w:val="0"/>
          <w:marBottom w:val="0"/>
          <w:divBdr>
            <w:top w:val="none" w:sz="0" w:space="0" w:color="auto"/>
            <w:left w:val="none" w:sz="0" w:space="0" w:color="auto"/>
            <w:bottom w:val="none" w:sz="0" w:space="0" w:color="auto"/>
            <w:right w:val="none" w:sz="0" w:space="0" w:color="auto"/>
          </w:divBdr>
          <w:divsChild>
            <w:div w:id="678432848">
              <w:marLeft w:val="0"/>
              <w:marRight w:val="0"/>
              <w:marTop w:val="0"/>
              <w:marBottom w:val="0"/>
              <w:divBdr>
                <w:top w:val="none" w:sz="0" w:space="0" w:color="auto"/>
                <w:left w:val="none" w:sz="0" w:space="0" w:color="auto"/>
                <w:bottom w:val="none" w:sz="0" w:space="0" w:color="auto"/>
                <w:right w:val="none" w:sz="0" w:space="0" w:color="auto"/>
              </w:divBdr>
              <w:divsChild>
                <w:div w:id="20537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4372">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10130718">
      <w:bodyDiv w:val="1"/>
      <w:marLeft w:val="0"/>
      <w:marRight w:val="0"/>
      <w:marTop w:val="0"/>
      <w:marBottom w:val="0"/>
      <w:divBdr>
        <w:top w:val="none" w:sz="0" w:space="0" w:color="auto"/>
        <w:left w:val="none" w:sz="0" w:space="0" w:color="auto"/>
        <w:bottom w:val="none" w:sz="0" w:space="0" w:color="auto"/>
        <w:right w:val="none" w:sz="0" w:space="0" w:color="auto"/>
      </w:divBdr>
    </w:div>
    <w:div w:id="2115591434">
      <w:bodyDiv w:val="1"/>
      <w:marLeft w:val="0"/>
      <w:marRight w:val="0"/>
      <w:marTop w:val="0"/>
      <w:marBottom w:val="0"/>
      <w:divBdr>
        <w:top w:val="none" w:sz="0" w:space="0" w:color="auto"/>
        <w:left w:val="none" w:sz="0" w:space="0" w:color="auto"/>
        <w:bottom w:val="none" w:sz="0" w:space="0" w:color="auto"/>
        <w:right w:val="none" w:sz="0" w:space="0" w:color="auto"/>
      </w:divBdr>
      <w:divsChild>
        <w:div w:id="1045717459">
          <w:marLeft w:val="0"/>
          <w:marRight w:val="0"/>
          <w:marTop w:val="0"/>
          <w:marBottom w:val="0"/>
          <w:divBdr>
            <w:top w:val="none" w:sz="0" w:space="0" w:color="auto"/>
            <w:left w:val="none" w:sz="0" w:space="0" w:color="auto"/>
            <w:bottom w:val="none" w:sz="0" w:space="0" w:color="auto"/>
            <w:right w:val="none" w:sz="0" w:space="0" w:color="auto"/>
          </w:divBdr>
          <w:divsChild>
            <w:div w:id="2026327704">
              <w:marLeft w:val="0"/>
              <w:marRight w:val="0"/>
              <w:marTop w:val="0"/>
              <w:marBottom w:val="0"/>
              <w:divBdr>
                <w:top w:val="none" w:sz="0" w:space="0" w:color="auto"/>
                <w:left w:val="none" w:sz="0" w:space="0" w:color="auto"/>
                <w:bottom w:val="none" w:sz="0" w:space="0" w:color="auto"/>
                <w:right w:val="none" w:sz="0" w:space="0" w:color="auto"/>
              </w:divBdr>
              <w:divsChild>
                <w:div w:id="13738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4307">
      <w:bodyDiv w:val="1"/>
      <w:marLeft w:val="0"/>
      <w:marRight w:val="0"/>
      <w:marTop w:val="0"/>
      <w:marBottom w:val="0"/>
      <w:divBdr>
        <w:top w:val="none" w:sz="0" w:space="0" w:color="auto"/>
        <w:left w:val="none" w:sz="0" w:space="0" w:color="auto"/>
        <w:bottom w:val="none" w:sz="0" w:space="0" w:color="auto"/>
        <w:right w:val="none" w:sz="0" w:space="0" w:color="auto"/>
      </w:divBdr>
      <w:divsChild>
        <w:div w:id="2107462178">
          <w:marLeft w:val="0"/>
          <w:marRight w:val="0"/>
          <w:marTop w:val="0"/>
          <w:marBottom w:val="0"/>
          <w:divBdr>
            <w:top w:val="none" w:sz="0" w:space="0" w:color="auto"/>
            <w:left w:val="none" w:sz="0" w:space="0" w:color="auto"/>
            <w:bottom w:val="none" w:sz="0" w:space="0" w:color="auto"/>
            <w:right w:val="none" w:sz="0" w:space="0" w:color="auto"/>
          </w:divBdr>
          <w:divsChild>
            <w:div w:id="2095736946">
              <w:marLeft w:val="0"/>
              <w:marRight w:val="0"/>
              <w:marTop w:val="0"/>
              <w:marBottom w:val="0"/>
              <w:divBdr>
                <w:top w:val="none" w:sz="0" w:space="0" w:color="auto"/>
                <w:left w:val="none" w:sz="0" w:space="0" w:color="auto"/>
                <w:bottom w:val="none" w:sz="0" w:space="0" w:color="auto"/>
                <w:right w:val="none" w:sz="0" w:space="0" w:color="auto"/>
              </w:divBdr>
              <w:divsChild>
                <w:div w:id="9345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mongabay.com/2018/12/global-%20agreement-on-conserved-areas-marks-new-era-of-conservation-comment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rksjournal.com/wp-content/uploads/2019/12/PARKS-25.2-Jonas-and-Jonas-10.2305-IUCN.CH_.2019.PARKS-25-2HJ.en_.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cn.org/commissions/commission-environmental-economic-and-social-policy/our-work/sustainable-use-and-livelih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BDA0-437C-9D41-BA09-EB6CB5F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C:\Users\cung\Documents\Templates\2011-2020_COP11 logo\templates\en\letter-en-undb-cop11-colour.dot</Template>
  <TotalTime>0</TotalTime>
  <Pages>9</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23083</CharactersWithSpaces>
  <SharedDoc>false</SharedDoc>
  <HLinks>
    <vt:vector size="54" baseType="variant">
      <vt:variant>
        <vt:i4>7405656</vt:i4>
      </vt:variant>
      <vt:variant>
        <vt:i4>12</vt:i4>
      </vt:variant>
      <vt:variant>
        <vt:i4>0</vt:i4>
      </vt:variant>
      <vt:variant>
        <vt:i4>5</vt:i4>
      </vt:variant>
      <vt:variant>
        <vt:lpwstr>mailto:secretariat@cbd.int</vt:lpwstr>
      </vt:variant>
      <vt:variant>
        <vt:lpwstr/>
      </vt:variant>
      <vt:variant>
        <vt:i4>1048618</vt:i4>
      </vt:variant>
      <vt:variant>
        <vt:i4>9</vt:i4>
      </vt:variant>
      <vt:variant>
        <vt:i4>0</vt:i4>
      </vt:variant>
      <vt:variant>
        <vt:i4>5</vt:i4>
      </vt:variant>
      <vt:variant>
        <vt:lpwstr>https://parksjournal.com/wp-content/uploads/2019/12/PARKS-25.2-Jonas-and-Jonas-10.2305-IUCN.CH_.2019.PARKS-25-2HJ.en_.pdf</vt:lpwstr>
      </vt:variant>
      <vt:variant>
        <vt:lpwstr/>
      </vt:variant>
      <vt:variant>
        <vt:i4>524295</vt:i4>
      </vt:variant>
      <vt:variant>
        <vt:i4>6</vt:i4>
      </vt:variant>
      <vt:variant>
        <vt:i4>0</vt:i4>
      </vt:variant>
      <vt:variant>
        <vt:i4>5</vt:i4>
      </vt:variant>
      <vt:variant>
        <vt:lpwstr>https://news.mongabay.com/2018/12/global- agreement-on-conserved-areas-marks-new-era-of-conservation-commentary/</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721023</vt:i4>
      </vt:variant>
      <vt:variant>
        <vt:i4>6</vt:i4>
      </vt:variant>
      <vt:variant>
        <vt:i4>0</vt:i4>
      </vt:variant>
      <vt:variant>
        <vt:i4>5</vt:i4>
      </vt:variant>
      <vt:variant>
        <vt:lpwstr>https://www.iucn.org/commissions/commission-environmental-economic-and-social-policy/our-work/sustainable-use-and-livelihoods</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3145776</vt:i4>
      </vt:variant>
      <vt:variant>
        <vt:i4>3</vt:i4>
      </vt:variant>
      <vt:variant>
        <vt:i4>0</vt:i4>
      </vt:variant>
      <vt:variant>
        <vt:i4>5</vt:i4>
      </vt:variant>
      <vt:variant>
        <vt:lpwstr>https://files.wri.org/s3fs-public/pdf/wrr05_lores.pdf</vt:lpwstr>
      </vt:variant>
      <vt:variant>
        <vt:lpwstr/>
      </vt:variant>
      <vt:variant>
        <vt:i4>524324</vt:i4>
      </vt:variant>
      <vt:variant>
        <vt:i4>0</vt:i4>
      </vt:variant>
      <vt:variant>
        <vt:i4>0</vt:i4>
      </vt:variant>
      <vt:variant>
        <vt:i4>5</vt:i4>
      </vt:variant>
      <vt:variant>
        <vt:lpwstr>http://documents1.worldbank.org/curated/en/995271468177530126/pdf/443000WP0BOX321onservation01PUBLIC1.pdf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2020-08-17T01:52:00Z</dcterms:created>
  <dcterms:modified xsi:type="dcterms:W3CDTF">2020-08-17T01:52:00Z</dcterms:modified>
</cp:coreProperties>
</file>