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2ED54F1E" w:rsidR="00236608" w:rsidRPr="00D367DF" w:rsidRDefault="00B6707E" w:rsidP="009251C2">
            <w:pPr>
              <w:rPr>
                <w:sz w:val="22"/>
                <w:szCs w:val="22"/>
              </w:rPr>
            </w:pPr>
            <w:r>
              <w:rPr>
                <w:sz w:val="22"/>
                <w:szCs w:val="22"/>
              </w:rPr>
              <w:t>Nolan</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1D97800C" w:rsidR="00236608" w:rsidRPr="00D367DF" w:rsidRDefault="00B6707E" w:rsidP="009251C2">
            <w:pPr>
              <w:rPr>
                <w:sz w:val="22"/>
                <w:szCs w:val="22"/>
              </w:rPr>
            </w:pPr>
            <w:r>
              <w:rPr>
                <w:sz w:val="22"/>
                <w:szCs w:val="22"/>
              </w:rPr>
              <w:t>Tony</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D367DF" w:rsidRDefault="00236608" w:rsidP="009251C2">
            <w:pPr>
              <w:rPr>
                <w:sz w:val="22"/>
                <w:szCs w:val="22"/>
              </w:rPr>
            </w:pP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7B007C24" w:rsidR="00236608" w:rsidRPr="00D367DF" w:rsidRDefault="00B6707E" w:rsidP="009251C2">
            <w:pPr>
              <w:rPr>
                <w:sz w:val="22"/>
                <w:szCs w:val="22"/>
              </w:rPr>
            </w:pPr>
            <w:r>
              <w:rPr>
                <w:sz w:val="22"/>
                <w:szCs w:val="22"/>
              </w:rPr>
              <w:t>Liverpool School of Tropical Medicine</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586E90DD" w14:textId="2ED5DFA4" w:rsidR="00D367DF" w:rsidRPr="00D367DF" w:rsidRDefault="00B6707E" w:rsidP="00D367DF">
            <w:pPr>
              <w:rPr>
                <w:sz w:val="22"/>
                <w:szCs w:val="22"/>
              </w:rPr>
            </w:pPr>
            <w:r>
              <w:rPr>
                <w:color w:val="202124"/>
                <w:sz w:val="22"/>
                <w:szCs w:val="22"/>
                <w:shd w:val="clear" w:color="auto" w:fill="FFFFFF"/>
              </w:rPr>
              <w:t>Pembroke Place, London Road, L3 5QA</w:t>
            </w:r>
          </w:p>
          <w:p w14:paraId="1BEACDEF" w14:textId="77777777" w:rsidR="00236608" w:rsidRPr="00D367DF" w:rsidRDefault="00236608" w:rsidP="009251C2">
            <w:pPr>
              <w:rPr>
                <w:sz w:val="22"/>
                <w:szCs w:val="22"/>
              </w:rPr>
            </w:pP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3FF577AF" w:rsidR="00236608" w:rsidRPr="00D367DF" w:rsidRDefault="00B6707E" w:rsidP="009251C2">
            <w:pPr>
              <w:rPr>
                <w:sz w:val="22"/>
                <w:szCs w:val="22"/>
              </w:rPr>
            </w:pPr>
            <w:r>
              <w:rPr>
                <w:sz w:val="22"/>
                <w:szCs w:val="22"/>
              </w:rPr>
              <w:t>Liverpool</w:t>
            </w:r>
            <w:r w:rsidR="00D367DF" w:rsidRPr="00D367DF">
              <w:rPr>
                <w:sz w:val="22"/>
                <w:szCs w:val="22"/>
              </w:rPr>
              <w:t xml:space="preserve"> </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002FAEFE" w:rsidR="00236608" w:rsidRPr="00D367DF" w:rsidRDefault="00D367DF" w:rsidP="009251C2">
            <w:pPr>
              <w:rPr>
                <w:sz w:val="22"/>
                <w:szCs w:val="22"/>
              </w:rPr>
            </w:pPr>
            <w:r w:rsidRPr="00D367DF">
              <w:rPr>
                <w:sz w:val="22"/>
                <w:szCs w:val="22"/>
              </w:rPr>
              <w:t xml:space="preserve">United </w:t>
            </w:r>
            <w:r w:rsidR="003C38E9" w:rsidRPr="00D367DF">
              <w:rPr>
                <w:sz w:val="22"/>
                <w:szCs w:val="22"/>
              </w:rPr>
              <w:t>Kingdom</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2E7B3C9A" w:rsidR="00236608" w:rsidRPr="00D367DF" w:rsidRDefault="00B6707E" w:rsidP="009251C2">
            <w:pPr>
              <w:rPr>
                <w:sz w:val="22"/>
                <w:szCs w:val="22"/>
              </w:rPr>
            </w:pPr>
            <w:r>
              <w:rPr>
                <w:sz w:val="22"/>
                <w:szCs w:val="22"/>
              </w:rPr>
              <w:t>tony.nolan@lstmed.ac.uk</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6153AF8D" w14:textId="77777777" w:rsidTr="009251C2">
        <w:trPr>
          <w:trHeight w:val="233"/>
        </w:trPr>
        <w:tc>
          <w:tcPr>
            <w:tcW w:w="818" w:type="dxa"/>
          </w:tcPr>
          <w:p w14:paraId="66AF3500" w14:textId="4848F1E3" w:rsidR="00236608" w:rsidRPr="000C0B6C" w:rsidRDefault="00F622E9" w:rsidP="009251C2">
            <w:r>
              <w:t>40</w:t>
            </w:r>
          </w:p>
        </w:tc>
        <w:tc>
          <w:tcPr>
            <w:tcW w:w="1231" w:type="dxa"/>
          </w:tcPr>
          <w:p w14:paraId="6A91318A" w14:textId="31746FF3" w:rsidR="00236608" w:rsidRPr="000C0B6C" w:rsidRDefault="00F622E9" w:rsidP="009251C2">
            <w:r>
              <w:t>139C</w:t>
            </w:r>
          </w:p>
        </w:tc>
        <w:tc>
          <w:tcPr>
            <w:tcW w:w="8139" w:type="dxa"/>
            <w:gridSpan w:val="2"/>
          </w:tcPr>
          <w:p w14:paraId="7EAA8DF7" w14:textId="5E17A92C" w:rsidR="00B6707E" w:rsidRPr="000C0B6C" w:rsidRDefault="00B6707E" w:rsidP="00B6707E">
            <w:r>
              <w:t xml:space="preserve">It is important to give context for the use of insecticides in the control of vectors of human and animal disease. In the case of malaria, control of its mosquito has been responsible for nearly all the historical gains in reducing the malaria burden. Most recently, the halving of the malaria burden this millennium is largely due to the use of insecticide-treated nets, a fact explicitly acknowledged by the WHO, which stresses the need for alternative control approaches, including genetic control of populations. Currently this context is missing from this section of the document. </w:t>
            </w:r>
          </w:p>
          <w:p w14:paraId="5F267497" w14:textId="653EEE59" w:rsidR="00E56109" w:rsidRPr="000C0B6C" w:rsidRDefault="00E56109" w:rsidP="009251C2"/>
        </w:tc>
      </w:tr>
      <w:tr w:rsidR="00236608" w:rsidRPr="000C0B6C" w14:paraId="6D0FC60A" w14:textId="77777777" w:rsidTr="009251C2">
        <w:trPr>
          <w:trHeight w:val="224"/>
        </w:trPr>
        <w:tc>
          <w:tcPr>
            <w:tcW w:w="818" w:type="dxa"/>
          </w:tcPr>
          <w:p w14:paraId="6282A73C" w14:textId="5A6D3DBB" w:rsidR="00236608" w:rsidRPr="000C0B6C" w:rsidRDefault="004064D0" w:rsidP="009251C2">
            <w:r>
              <w:t>75</w:t>
            </w:r>
          </w:p>
        </w:tc>
        <w:tc>
          <w:tcPr>
            <w:tcW w:w="1231" w:type="dxa"/>
          </w:tcPr>
          <w:p w14:paraId="4956A208" w14:textId="417E9238" w:rsidR="00236608" w:rsidRPr="000C0B6C" w:rsidRDefault="004064D0" w:rsidP="009251C2">
            <w:r>
              <w:t>Target 16</w:t>
            </w:r>
          </w:p>
        </w:tc>
        <w:tc>
          <w:tcPr>
            <w:tcW w:w="8139" w:type="dxa"/>
            <w:gridSpan w:val="2"/>
          </w:tcPr>
          <w:p w14:paraId="1B92E2B4" w14:textId="48913BA7" w:rsidR="00236608" w:rsidRPr="000C0B6C" w:rsidRDefault="00B6707E" w:rsidP="009251C2">
            <w:r>
              <w:t>It must surely be a pre-requisite to also consider potential benefits, and their scale, and not just risks per se.</w:t>
            </w:r>
            <w:r w:rsidR="004064D0">
              <w:t xml:space="preserve"> </w:t>
            </w:r>
          </w:p>
        </w:tc>
      </w:tr>
      <w:tr w:rsidR="00236608" w:rsidRPr="000C0B6C" w14:paraId="30930566" w14:textId="77777777" w:rsidTr="009251C2">
        <w:trPr>
          <w:trHeight w:val="224"/>
        </w:trPr>
        <w:tc>
          <w:tcPr>
            <w:tcW w:w="818" w:type="dxa"/>
          </w:tcPr>
          <w:p w14:paraId="7E88CD75" w14:textId="05644B4A" w:rsidR="00236608" w:rsidRPr="000C0B6C" w:rsidRDefault="004064D0" w:rsidP="009251C2">
            <w:r>
              <w:t>75</w:t>
            </w:r>
          </w:p>
        </w:tc>
        <w:tc>
          <w:tcPr>
            <w:tcW w:w="1231" w:type="dxa"/>
          </w:tcPr>
          <w:p w14:paraId="613F0F0B" w14:textId="67F656B5" w:rsidR="00236608" w:rsidRPr="000C0B6C" w:rsidRDefault="004064D0" w:rsidP="009251C2">
            <w:r>
              <w:t>251</w:t>
            </w:r>
          </w:p>
        </w:tc>
        <w:tc>
          <w:tcPr>
            <w:tcW w:w="8139" w:type="dxa"/>
            <w:gridSpan w:val="2"/>
          </w:tcPr>
          <w:p w14:paraId="4B30F77B" w14:textId="4BD57F22" w:rsidR="00236608" w:rsidRPr="000C0B6C" w:rsidRDefault="004064D0" w:rsidP="009251C2">
            <w:r>
              <w:t xml:space="preserve">We welcome the text proposition “provisions to facilitate access to environmentally safe biotechnologies for the conservation and sustainable use of biodiversity” but would welcome the promotion of innovation and research in this field as the challenge is not only for some parties to “access” those biotechnologies but for those to be developed, </w:t>
            </w:r>
            <w:r w:rsidR="002445A1">
              <w:t>evaluated,</w:t>
            </w:r>
            <w:r>
              <w:t xml:space="preserve"> and then implemented. The need for innovation is </w:t>
            </w:r>
            <w:r w:rsidR="002445A1">
              <w:t>widely accepted, and as pointed in the recent IUCN report on synthetic biology and conservation</w:t>
            </w:r>
            <w:r w:rsidR="002445A1">
              <w:rPr>
                <w:rStyle w:val="FootnoteReference"/>
              </w:rPr>
              <w:footnoteReference w:id="1"/>
            </w:r>
            <w:r w:rsidR="002445A1">
              <w:t xml:space="preserve">, additional research is needed in this field to better understand the potential opportunities and risks. </w:t>
            </w:r>
          </w:p>
        </w:tc>
      </w:tr>
      <w:tr w:rsidR="00236608" w:rsidRPr="000C0B6C" w14:paraId="7A865B83" w14:textId="77777777" w:rsidTr="009251C2">
        <w:trPr>
          <w:trHeight w:val="224"/>
        </w:trPr>
        <w:tc>
          <w:tcPr>
            <w:tcW w:w="818" w:type="dxa"/>
          </w:tcPr>
          <w:p w14:paraId="48F7EE30" w14:textId="12A6548F" w:rsidR="00236608" w:rsidRPr="000C0B6C" w:rsidRDefault="00F622E9" w:rsidP="009251C2">
            <w:r>
              <w:t>76</w:t>
            </w:r>
          </w:p>
        </w:tc>
        <w:tc>
          <w:tcPr>
            <w:tcW w:w="1231" w:type="dxa"/>
          </w:tcPr>
          <w:p w14:paraId="6A798625" w14:textId="35950383" w:rsidR="00236608" w:rsidRPr="000C0B6C" w:rsidRDefault="002445A1" w:rsidP="009251C2">
            <w:r>
              <w:t>255</w:t>
            </w:r>
          </w:p>
        </w:tc>
        <w:tc>
          <w:tcPr>
            <w:tcW w:w="8139" w:type="dxa"/>
            <w:gridSpan w:val="2"/>
          </w:tcPr>
          <w:p w14:paraId="531C2A0F" w14:textId="1F9C64A6" w:rsidR="00236608" w:rsidRPr="000C0B6C" w:rsidRDefault="00B6707E" w:rsidP="009251C2">
            <w:r>
              <w:t xml:space="preserve">Again the wording here only emphasizes “potential adverse </w:t>
            </w:r>
            <w:proofErr w:type="gramStart"/>
            <w:r>
              <w:t>impacts”</w:t>
            </w:r>
            <w:r w:rsidR="002445A1">
              <w:t xml:space="preserve"> </w:t>
            </w:r>
            <w:r>
              <w:t xml:space="preserve"> -</w:t>
            </w:r>
            <w:proofErr w:type="gramEnd"/>
            <w:r>
              <w:t xml:space="preserve"> these cannot and should not be considered in isolation from a proper appraisal of the potential benefits. To not do so is to be inconsistent with, and at odds with, the</w:t>
            </w:r>
            <w:r w:rsidR="002445A1">
              <w:t xml:space="preserve"> existing CBD decision text</w:t>
            </w:r>
            <w:r w:rsidR="00F07C23">
              <w:t>.</w:t>
            </w:r>
          </w:p>
        </w:tc>
      </w:tr>
      <w:tr w:rsidR="00B6707E" w:rsidRPr="000C0B6C" w14:paraId="73FD340A" w14:textId="77777777" w:rsidTr="009251C2">
        <w:trPr>
          <w:trHeight w:val="224"/>
        </w:trPr>
        <w:tc>
          <w:tcPr>
            <w:tcW w:w="818" w:type="dxa"/>
          </w:tcPr>
          <w:p w14:paraId="37288C1C" w14:textId="6ECE89A3" w:rsidR="00B6707E" w:rsidRPr="000C0B6C" w:rsidRDefault="00B6707E" w:rsidP="009251C2">
            <w:r>
              <w:lastRenderedPageBreak/>
              <w:t>76</w:t>
            </w:r>
          </w:p>
        </w:tc>
        <w:tc>
          <w:tcPr>
            <w:tcW w:w="1231" w:type="dxa"/>
          </w:tcPr>
          <w:p w14:paraId="2993E983" w14:textId="38ECDC23" w:rsidR="00B6707E" w:rsidRPr="000C0B6C" w:rsidRDefault="00B6707E" w:rsidP="009251C2">
            <w:r>
              <w:t>260</w:t>
            </w:r>
          </w:p>
        </w:tc>
        <w:tc>
          <w:tcPr>
            <w:tcW w:w="8139" w:type="dxa"/>
            <w:gridSpan w:val="2"/>
          </w:tcPr>
          <w:p w14:paraId="2A720A2D" w14:textId="430247E8" w:rsidR="00B6707E" w:rsidRPr="000C0B6C" w:rsidRDefault="00D450E3" w:rsidP="009251C2">
            <w:r>
              <w:t>Capacity building had a strong emphasis</w:t>
            </w:r>
            <w:r w:rsidR="00B6707E">
              <w:t xml:space="preserve"> during the informal SBSTTA</w:t>
            </w:r>
            <w:r>
              <w:t xml:space="preserve"> as well as</w:t>
            </w:r>
            <w:r w:rsidR="00B6707E">
              <w:t xml:space="preserve"> in the report on the Cartagena Protocol implementation</w:t>
            </w:r>
            <w:r>
              <w:t>. Capacity building, and support in this aspect</w:t>
            </w:r>
            <w:r w:rsidR="0057742A">
              <w:t>,</w:t>
            </w:r>
            <w:r>
              <w:t xml:space="preserve"> should be integrated when designing and considering a monitoring framework.</w:t>
            </w:r>
          </w:p>
        </w:tc>
      </w:tr>
      <w:tr w:rsidR="00B6707E" w:rsidRPr="000C0B6C" w14:paraId="435624C6" w14:textId="77777777" w:rsidTr="009251C2">
        <w:trPr>
          <w:trHeight w:val="224"/>
        </w:trPr>
        <w:tc>
          <w:tcPr>
            <w:tcW w:w="818" w:type="dxa"/>
          </w:tcPr>
          <w:p w14:paraId="112D65BF" w14:textId="5270341D" w:rsidR="00B6707E" w:rsidRPr="000C0B6C" w:rsidRDefault="00B6707E" w:rsidP="009251C2"/>
        </w:tc>
        <w:tc>
          <w:tcPr>
            <w:tcW w:w="1231" w:type="dxa"/>
          </w:tcPr>
          <w:p w14:paraId="15A50A76" w14:textId="358C12DA" w:rsidR="00B6707E" w:rsidRPr="000C0B6C" w:rsidRDefault="00B6707E" w:rsidP="009251C2"/>
        </w:tc>
        <w:tc>
          <w:tcPr>
            <w:tcW w:w="8139" w:type="dxa"/>
            <w:gridSpan w:val="2"/>
          </w:tcPr>
          <w:p w14:paraId="778EFB93" w14:textId="59BC18A0" w:rsidR="00B6707E" w:rsidRPr="000C0B6C" w:rsidRDefault="00B6707E" w:rsidP="009251C2"/>
        </w:tc>
      </w:tr>
      <w:tr w:rsidR="00B6707E" w:rsidRPr="000C0B6C" w14:paraId="1FCC3F88" w14:textId="77777777" w:rsidTr="009251C2">
        <w:trPr>
          <w:trHeight w:val="224"/>
        </w:trPr>
        <w:tc>
          <w:tcPr>
            <w:tcW w:w="818" w:type="dxa"/>
          </w:tcPr>
          <w:p w14:paraId="7F4E8176" w14:textId="77777777" w:rsidR="00B6707E" w:rsidRPr="000C0B6C" w:rsidRDefault="00B6707E" w:rsidP="009251C2"/>
        </w:tc>
        <w:tc>
          <w:tcPr>
            <w:tcW w:w="1231" w:type="dxa"/>
          </w:tcPr>
          <w:p w14:paraId="01C993F1" w14:textId="77777777" w:rsidR="00B6707E" w:rsidRPr="000C0B6C" w:rsidRDefault="00B6707E" w:rsidP="009251C2"/>
        </w:tc>
        <w:tc>
          <w:tcPr>
            <w:tcW w:w="8139" w:type="dxa"/>
            <w:gridSpan w:val="2"/>
          </w:tcPr>
          <w:p w14:paraId="2D3D32A2" w14:textId="77777777" w:rsidR="00B6707E" w:rsidRPr="000C0B6C" w:rsidRDefault="00B6707E" w:rsidP="009251C2"/>
        </w:tc>
      </w:tr>
      <w:tr w:rsidR="00B6707E" w:rsidRPr="000C0B6C" w14:paraId="00DA4A24" w14:textId="77777777" w:rsidTr="009251C2">
        <w:trPr>
          <w:trHeight w:val="224"/>
        </w:trPr>
        <w:tc>
          <w:tcPr>
            <w:tcW w:w="818" w:type="dxa"/>
          </w:tcPr>
          <w:p w14:paraId="0BF9A4EA" w14:textId="77777777" w:rsidR="00B6707E" w:rsidRPr="000C0B6C" w:rsidRDefault="00B6707E" w:rsidP="009251C2"/>
        </w:tc>
        <w:tc>
          <w:tcPr>
            <w:tcW w:w="1231" w:type="dxa"/>
          </w:tcPr>
          <w:p w14:paraId="03384ADA" w14:textId="77777777" w:rsidR="00B6707E" w:rsidRPr="000C0B6C" w:rsidRDefault="00B6707E" w:rsidP="009251C2"/>
        </w:tc>
        <w:tc>
          <w:tcPr>
            <w:tcW w:w="8139" w:type="dxa"/>
            <w:gridSpan w:val="2"/>
          </w:tcPr>
          <w:p w14:paraId="219C3642" w14:textId="77777777" w:rsidR="00B6707E" w:rsidRPr="000C0B6C" w:rsidRDefault="00B6707E" w:rsidP="009251C2"/>
        </w:tc>
      </w:tr>
      <w:tr w:rsidR="00B6707E" w:rsidRPr="000C0B6C" w14:paraId="0D3F0894" w14:textId="77777777" w:rsidTr="009251C2">
        <w:trPr>
          <w:trHeight w:val="224"/>
        </w:trPr>
        <w:tc>
          <w:tcPr>
            <w:tcW w:w="818" w:type="dxa"/>
          </w:tcPr>
          <w:p w14:paraId="021FCAB6" w14:textId="77777777" w:rsidR="00B6707E" w:rsidRPr="000C0B6C" w:rsidRDefault="00B6707E" w:rsidP="009251C2"/>
        </w:tc>
        <w:tc>
          <w:tcPr>
            <w:tcW w:w="1231" w:type="dxa"/>
          </w:tcPr>
          <w:p w14:paraId="18B05321" w14:textId="77777777" w:rsidR="00B6707E" w:rsidRPr="000C0B6C" w:rsidRDefault="00B6707E" w:rsidP="009251C2"/>
        </w:tc>
        <w:tc>
          <w:tcPr>
            <w:tcW w:w="8139" w:type="dxa"/>
            <w:gridSpan w:val="2"/>
          </w:tcPr>
          <w:p w14:paraId="3F71D682" w14:textId="77777777" w:rsidR="00B6707E" w:rsidRPr="000C0B6C" w:rsidRDefault="00B6707E" w:rsidP="009251C2"/>
        </w:tc>
      </w:tr>
      <w:tr w:rsidR="00B6707E" w:rsidRPr="000C0B6C" w14:paraId="1BEC6B92" w14:textId="77777777" w:rsidTr="009251C2">
        <w:trPr>
          <w:trHeight w:val="224"/>
        </w:trPr>
        <w:tc>
          <w:tcPr>
            <w:tcW w:w="818" w:type="dxa"/>
          </w:tcPr>
          <w:p w14:paraId="3428EEEB" w14:textId="77777777" w:rsidR="00B6707E" w:rsidRPr="000C0B6C" w:rsidRDefault="00B6707E" w:rsidP="009251C2"/>
        </w:tc>
        <w:tc>
          <w:tcPr>
            <w:tcW w:w="1231" w:type="dxa"/>
          </w:tcPr>
          <w:p w14:paraId="216280D8" w14:textId="77777777" w:rsidR="00B6707E" w:rsidRPr="000C0B6C" w:rsidRDefault="00B6707E" w:rsidP="009251C2"/>
        </w:tc>
        <w:tc>
          <w:tcPr>
            <w:tcW w:w="8139" w:type="dxa"/>
            <w:gridSpan w:val="2"/>
          </w:tcPr>
          <w:p w14:paraId="5AF59F48" w14:textId="77777777" w:rsidR="00B6707E" w:rsidRPr="000C0B6C" w:rsidRDefault="00B6707E" w:rsidP="009251C2"/>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10"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912E32" w14:textId="77777777" w:rsidR="00AF7D4C" w:rsidRDefault="00AF7D4C" w:rsidP="00E56109">
      <w:r>
        <w:separator/>
      </w:r>
    </w:p>
  </w:endnote>
  <w:endnote w:type="continuationSeparator" w:id="0">
    <w:p w14:paraId="01F53CB6" w14:textId="77777777" w:rsidR="00AF7D4C" w:rsidRDefault="00AF7D4C" w:rsidP="00E56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FC8765" w14:textId="77777777" w:rsidR="00AF7D4C" w:rsidRDefault="00AF7D4C" w:rsidP="00E56109">
      <w:r>
        <w:separator/>
      </w:r>
    </w:p>
  </w:footnote>
  <w:footnote w:type="continuationSeparator" w:id="0">
    <w:p w14:paraId="27968A3D" w14:textId="77777777" w:rsidR="00AF7D4C" w:rsidRDefault="00AF7D4C" w:rsidP="00E56109">
      <w:r>
        <w:continuationSeparator/>
      </w:r>
    </w:p>
  </w:footnote>
  <w:footnote w:id="1">
    <w:p w14:paraId="190A5F9A" w14:textId="7C545EB2" w:rsidR="002445A1" w:rsidRPr="002445A1" w:rsidRDefault="002445A1">
      <w:pPr>
        <w:pStyle w:val="FootnoteText"/>
        <w:rPr>
          <w:lang w:val="en-GB"/>
        </w:rPr>
      </w:pPr>
      <w:r>
        <w:rPr>
          <w:rStyle w:val="FootnoteReference"/>
        </w:rPr>
        <w:footnoteRef/>
      </w:r>
      <w:r>
        <w:t xml:space="preserve"> </w:t>
      </w:r>
      <w:hyperlink r:id="rId1" w:history="1">
        <w:r w:rsidR="00F07C23" w:rsidRPr="007D02E0">
          <w:rPr>
            <w:rStyle w:val="Hyperlink"/>
          </w:rPr>
          <w:t>https://portals.iucn.org/library/node/48408</w:t>
        </w:r>
      </w:hyperlink>
      <w:r w:rsidR="00F07C23">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154B3D"/>
    <w:rsid w:val="001C2BDB"/>
    <w:rsid w:val="001D6DD0"/>
    <w:rsid w:val="00236608"/>
    <w:rsid w:val="002445A1"/>
    <w:rsid w:val="00334544"/>
    <w:rsid w:val="00365D04"/>
    <w:rsid w:val="003B08FB"/>
    <w:rsid w:val="003C38E9"/>
    <w:rsid w:val="004056FD"/>
    <w:rsid w:val="004064D0"/>
    <w:rsid w:val="00504926"/>
    <w:rsid w:val="0053118E"/>
    <w:rsid w:val="005324AB"/>
    <w:rsid w:val="0057742A"/>
    <w:rsid w:val="006060BF"/>
    <w:rsid w:val="006125AA"/>
    <w:rsid w:val="006D6F86"/>
    <w:rsid w:val="007761AE"/>
    <w:rsid w:val="00790F3D"/>
    <w:rsid w:val="007B19AC"/>
    <w:rsid w:val="007B362C"/>
    <w:rsid w:val="008C7855"/>
    <w:rsid w:val="008E7015"/>
    <w:rsid w:val="00976DCD"/>
    <w:rsid w:val="009D52BD"/>
    <w:rsid w:val="00A51FA4"/>
    <w:rsid w:val="00AF4AD0"/>
    <w:rsid w:val="00AF7D4C"/>
    <w:rsid w:val="00B51493"/>
    <w:rsid w:val="00B6707E"/>
    <w:rsid w:val="00BD481F"/>
    <w:rsid w:val="00BE0816"/>
    <w:rsid w:val="00BF1008"/>
    <w:rsid w:val="00C8384E"/>
    <w:rsid w:val="00D367DF"/>
    <w:rsid w:val="00D450E3"/>
    <w:rsid w:val="00D93CCA"/>
    <w:rsid w:val="00DB20C0"/>
    <w:rsid w:val="00E56109"/>
    <w:rsid w:val="00F07C23"/>
    <w:rsid w:val="00F25D89"/>
    <w:rsid w:val="00F622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ADC06C56-F243-3446-A90E-CEDEDF77A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styleId="UnresolvedMention">
    <w:name w:val="Unresolved Mention"/>
    <w:basedOn w:val="DefaultParagraphFont"/>
    <w:uiPriority w:val="99"/>
    <w:semiHidden/>
    <w:unhideWhenUsed/>
    <w:rsid w:val="00E56109"/>
    <w:rPr>
      <w:color w:val="605E5C"/>
      <w:shd w:val="clear" w:color="auto" w:fill="E1DFDD"/>
    </w:rPr>
  </w:style>
  <w:style w:type="paragraph" w:styleId="FootnoteText">
    <w:name w:val="footnote text"/>
    <w:basedOn w:val="Normal"/>
    <w:link w:val="FootnoteTextChar"/>
    <w:uiPriority w:val="99"/>
    <w:semiHidden/>
    <w:unhideWhenUsed/>
    <w:rsid w:val="00E56109"/>
    <w:rPr>
      <w:sz w:val="20"/>
      <w:szCs w:val="20"/>
    </w:rPr>
  </w:style>
  <w:style w:type="character" w:customStyle="1" w:styleId="FootnoteTextChar">
    <w:name w:val="Footnote Text Char"/>
    <w:basedOn w:val="DefaultParagraphFont"/>
    <w:link w:val="FootnoteText"/>
    <w:uiPriority w:val="99"/>
    <w:semiHidden/>
    <w:rsid w:val="00E56109"/>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E561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2009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secretariat@cbd.int"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portals.iucn.org/library/node/48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F11B75-68E6-0D4E-B5F3-1AF2CDD9929F}">
  <ds:schemaRefs>
    <ds:schemaRef ds:uri="http://schemas.openxmlformats.org/officeDocument/2006/bibliography"/>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446</Words>
  <Characters>2383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Tony Nolan</cp:lastModifiedBy>
  <cp:revision>3</cp:revision>
  <dcterms:created xsi:type="dcterms:W3CDTF">2021-04-23T19:51:00Z</dcterms:created>
  <dcterms:modified xsi:type="dcterms:W3CDTF">2021-04-23T19:51:00Z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