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62FF" w14:textId="4CC367F5" w:rsidR="00301386" w:rsidRPr="00442B3C" w:rsidRDefault="00C04C5A" w:rsidP="00A41520">
      <w:pPr>
        <w:rPr>
          <w:b/>
          <w:bCs/>
          <w:sz w:val="24"/>
          <w:szCs w:val="24"/>
          <w:lang w:val="en-GB"/>
        </w:rPr>
      </w:pPr>
      <w:r w:rsidRPr="00442B3C">
        <w:rPr>
          <w:b/>
          <w:bCs/>
          <w:sz w:val="24"/>
          <w:szCs w:val="24"/>
          <w:lang w:val="en-GB"/>
        </w:rPr>
        <w:t xml:space="preserve">ICC comments on </w:t>
      </w:r>
      <w:r w:rsidR="00E51E35" w:rsidRPr="00442B3C">
        <w:rPr>
          <w:b/>
          <w:bCs/>
          <w:sz w:val="24"/>
          <w:szCs w:val="24"/>
          <w:lang w:val="en-GB"/>
        </w:rPr>
        <w:t>ABS-related indicators in</w:t>
      </w:r>
      <w:r w:rsidR="007F1B26" w:rsidRPr="00442B3C">
        <w:rPr>
          <w:b/>
          <w:bCs/>
          <w:sz w:val="24"/>
          <w:szCs w:val="24"/>
          <w:lang w:val="en-GB"/>
        </w:rPr>
        <w:t xml:space="preserve"> CBD d</w:t>
      </w:r>
      <w:r w:rsidRPr="00442B3C">
        <w:rPr>
          <w:b/>
          <w:bCs/>
          <w:sz w:val="24"/>
          <w:szCs w:val="24"/>
          <w:lang w:val="en-GB"/>
        </w:rPr>
        <w:t>raft monitoring framework for the post-2020 global biodiversity framework for review</w:t>
      </w:r>
      <w:r w:rsidR="004477B5" w:rsidRPr="00442B3C">
        <w:rPr>
          <w:b/>
          <w:bCs/>
          <w:sz w:val="24"/>
          <w:szCs w:val="24"/>
          <w:lang w:val="en-GB"/>
        </w:rPr>
        <w:t xml:space="preserve"> </w:t>
      </w:r>
    </w:p>
    <w:p w14:paraId="58EFD35B" w14:textId="00C9A520" w:rsidR="00973F0C" w:rsidRPr="001259FF" w:rsidRDefault="00973F0C" w:rsidP="009B0E32">
      <w:pPr>
        <w:rPr>
          <w:lang w:val="en-GB"/>
        </w:rPr>
      </w:pPr>
      <w:r>
        <w:rPr>
          <w:lang w:val="en-GB"/>
        </w:rPr>
        <w:t>B</w:t>
      </w:r>
      <w:r w:rsidR="00B34519">
        <w:rPr>
          <w:lang w:val="en-GB"/>
        </w:rPr>
        <w:t xml:space="preserve">elow </w:t>
      </w:r>
      <w:r>
        <w:rPr>
          <w:lang w:val="en-GB"/>
        </w:rPr>
        <w:t xml:space="preserve">are </w:t>
      </w:r>
      <w:r w:rsidR="00B34519">
        <w:rPr>
          <w:lang w:val="en-GB"/>
        </w:rPr>
        <w:t xml:space="preserve">general comments by </w:t>
      </w:r>
      <w:r w:rsidR="00305D7D">
        <w:rPr>
          <w:lang w:val="en-GB"/>
        </w:rPr>
        <w:t>the International Chamber of Commerce (</w:t>
      </w:r>
      <w:r w:rsidR="00B34519">
        <w:rPr>
          <w:lang w:val="en-GB"/>
        </w:rPr>
        <w:t>ICC</w:t>
      </w:r>
      <w:r w:rsidR="00305D7D">
        <w:rPr>
          <w:lang w:val="en-GB"/>
        </w:rPr>
        <w:t>)</w:t>
      </w:r>
      <w:r w:rsidR="00B34519">
        <w:rPr>
          <w:lang w:val="en-GB"/>
        </w:rPr>
        <w:t xml:space="preserve"> on the indicators </w:t>
      </w:r>
      <w:r w:rsidR="00305D7D">
        <w:rPr>
          <w:lang w:val="en-GB"/>
        </w:rPr>
        <w:t>for the target</w:t>
      </w:r>
      <w:r w:rsidR="000A2E22">
        <w:rPr>
          <w:lang w:val="en-GB"/>
        </w:rPr>
        <w:t xml:space="preserve"> 12</w:t>
      </w:r>
      <w:r w:rsidR="00305D7D">
        <w:rPr>
          <w:lang w:val="en-GB"/>
        </w:rPr>
        <w:t xml:space="preserve"> relating to Access and Benefit Sharing </w:t>
      </w:r>
      <w:r w:rsidR="00D32AF0">
        <w:rPr>
          <w:lang w:val="en-GB"/>
        </w:rPr>
        <w:t xml:space="preserve">in response to </w:t>
      </w:r>
      <w:r w:rsidR="001259FF">
        <w:rPr>
          <w:lang w:val="en-GB"/>
        </w:rPr>
        <w:t xml:space="preserve">the </w:t>
      </w:r>
      <w:r w:rsidR="00E135D1">
        <w:rPr>
          <w:lang w:val="en-GB"/>
        </w:rPr>
        <w:t>invitation to p</w:t>
      </w:r>
      <w:r w:rsidR="001259FF" w:rsidRPr="001259FF">
        <w:rPr>
          <w:lang w:val="en-GB"/>
        </w:rPr>
        <w:t>eer review draft documents for the twenty-fourth meeting of the Subsidiary Body on Scientific, Technical and Technological Advice (SBSTTA 24)</w:t>
      </w:r>
      <w:r w:rsidR="00E135D1">
        <w:rPr>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096"/>
        <w:gridCol w:w="1920"/>
        <w:gridCol w:w="2810"/>
        <w:gridCol w:w="8556"/>
      </w:tblGrid>
      <w:tr w:rsidR="002F1224" w:rsidRPr="00A41520" w14:paraId="0DB4853A" w14:textId="77777777" w:rsidTr="00C541E9">
        <w:trPr>
          <w:trHeight w:val="224"/>
        </w:trPr>
        <w:tc>
          <w:tcPr>
            <w:tcW w:w="327" w:type="pct"/>
            <w:shd w:val="clear" w:color="auto" w:fill="D9D9D9" w:themeFill="background1" w:themeFillShade="D9"/>
          </w:tcPr>
          <w:p w14:paraId="172FBAE6" w14:textId="77777777" w:rsidR="002F1224" w:rsidRPr="00A41520" w:rsidRDefault="002F1224" w:rsidP="00A41520">
            <w:pPr>
              <w:rPr>
                <w:lang w:val="en-US"/>
              </w:rPr>
            </w:pPr>
          </w:p>
        </w:tc>
        <w:tc>
          <w:tcPr>
            <w:tcW w:w="356" w:type="pct"/>
            <w:shd w:val="clear" w:color="auto" w:fill="D9D9D9" w:themeFill="background1" w:themeFillShade="D9"/>
          </w:tcPr>
          <w:p w14:paraId="1D21C354" w14:textId="4AF70DE6" w:rsidR="002F1224" w:rsidRPr="007F1B26" w:rsidRDefault="007B081C" w:rsidP="00A41520">
            <w:pPr>
              <w:rPr>
                <w:b/>
                <w:bCs/>
                <w:lang w:val="en-US"/>
              </w:rPr>
            </w:pPr>
            <w:r w:rsidRPr="007F1B26">
              <w:rPr>
                <w:b/>
                <w:bCs/>
                <w:lang w:val="en-US"/>
              </w:rPr>
              <w:t>Page</w:t>
            </w:r>
          </w:p>
        </w:tc>
        <w:tc>
          <w:tcPr>
            <w:tcW w:w="624" w:type="pct"/>
            <w:shd w:val="clear" w:color="auto" w:fill="D9D9D9" w:themeFill="background1" w:themeFillShade="D9"/>
          </w:tcPr>
          <w:p w14:paraId="334F22B7" w14:textId="35D443B8" w:rsidR="002F1224" w:rsidRPr="007F1B26" w:rsidRDefault="002F1224" w:rsidP="00A41520">
            <w:pPr>
              <w:rPr>
                <w:b/>
                <w:bCs/>
                <w:lang w:val="en-US"/>
              </w:rPr>
            </w:pPr>
            <w:r w:rsidRPr="007F1B26">
              <w:rPr>
                <w:b/>
                <w:bCs/>
                <w:lang w:val="en-US"/>
              </w:rPr>
              <w:t xml:space="preserve">Target </w:t>
            </w:r>
          </w:p>
        </w:tc>
        <w:tc>
          <w:tcPr>
            <w:tcW w:w="913" w:type="pct"/>
            <w:shd w:val="clear" w:color="auto" w:fill="D9D9D9" w:themeFill="background1" w:themeFillShade="D9"/>
          </w:tcPr>
          <w:p w14:paraId="7DF39EF8" w14:textId="130F0B28" w:rsidR="002F1224" w:rsidRPr="007F1B26" w:rsidRDefault="002F1224" w:rsidP="00A41520">
            <w:pPr>
              <w:rPr>
                <w:b/>
                <w:bCs/>
                <w:lang w:val="en-US"/>
              </w:rPr>
            </w:pPr>
            <w:r w:rsidRPr="007F1B26">
              <w:rPr>
                <w:b/>
                <w:bCs/>
                <w:lang w:val="en-US"/>
              </w:rPr>
              <w:t>Row</w:t>
            </w:r>
          </w:p>
        </w:tc>
        <w:tc>
          <w:tcPr>
            <w:tcW w:w="2780" w:type="pct"/>
            <w:shd w:val="clear" w:color="auto" w:fill="D9D9D9" w:themeFill="background1" w:themeFillShade="D9"/>
          </w:tcPr>
          <w:p w14:paraId="06267DCB" w14:textId="5F7CBE7E" w:rsidR="002F1224" w:rsidRPr="007F1B26" w:rsidRDefault="00B80D01" w:rsidP="00E94F39">
            <w:pPr>
              <w:tabs>
                <w:tab w:val="left" w:pos="4460"/>
              </w:tabs>
              <w:rPr>
                <w:b/>
                <w:bCs/>
                <w:lang w:val="en-GB"/>
              </w:rPr>
            </w:pPr>
            <w:r w:rsidRPr="007F1B26">
              <w:rPr>
                <w:b/>
                <w:bCs/>
                <w:lang w:val="en-GB"/>
              </w:rPr>
              <w:t>ICC Comments</w:t>
            </w:r>
            <w:r w:rsidR="007F1B26" w:rsidRPr="007F1B26">
              <w:rPr>
                <w:b/>
                <w:bCs/>
                <w:lang w:val="en-GB"/>
              </w:rPr>
              <w:t xml:space="preserve"> </w:t>
            </w:r>
            <w:r w:rsidR="00E94F39" w:rsidRPr="007F1B26">
              <w:rPr>
                <w:b/>
                <w:bCs/>
                <w:lang w:val="en-GB"/>
              </w:rPr>
              <w:tab/>
            </w:r>
          </w:p>
        </w:tc>
      </w:tr>
      <w:tr w:rsidR="00335433" w:rsidRPr="009B0E32" w14:paraId="34356FC8" w14:textId="77777777" w:rsidTr="00C541E9">
        <w:trPr>
          <w:trHeight w:val="224"/>
        </w:trPr>
        <w:tc>
          <w:tcPr>
            <w:tcW w:w="327" w:type="pct"/>
          </w:tcPr>
          <w:p w14:paraId="77CBB1B2" w14:textId="77777777" w:rsidR="00335433" w:rsidRPr="00A41520" w:rsidRDefault="00335433" w:rsidP="00A41520">
            <w:pPr>
              <w:rPr>
                <w:lang w:val="en-US"/>
              </w:rPr>
            </w:pPr>
          </w:p>
        </w:tc>
        <w:tc>
          <w:tcPr>
            <w:tcW w:w="356" w:type="pct"/>
          </w:tcPr>
          <w:p w14:paraId="5C6CDF31" w14:textId="77777777" w:rsidR="00335433" w:rsidRPr="00A41520" w:rsidRDefault="00335433" w:rsidP="00A41520">
            <w:pPr>
              <w:rPr>
                <w:lang w:val="en-US"/>
              </w:rPr>
            </w:pPr>
          </w:p>
        </w:tc>
        <w:tc>
          <w:tcPr>
            <w:tcW w:w="624" w:type="pct"/>
          </w:tcPr>
          <w:p w14:paraId="05945CB7" w14:textId="27B57E65" w:rsidR="008D60E1" w:rsidRDefault="00DB4A63" w:rsidP="00A41520">
            <w:pPr>
              <w:rPr>
                <w:lang w:val="en-GB"/>
              </w:rPr>
            </w:pPr>
            <w:r w:rsidRPr="00DB4A63">
              <w:rPr>
                <w:lang w:val="en-GB"/>
              </w:rPr>
              <w:t>T</w:t>
            </w:r>
            <w:r w:rsidR="008D60E1">
              <w:rPr>
                <w:lang w:val="en-GB"/>
              </w:rPr>
              <w:t xml:space="preserve"> </w:t>
            </w:r>
            <w:r w:rsidRPr="00DB4A63">
              <w:rPr>
                <w:lang w:val="en-GB"/>
              </w:rPr>
              <w:t>1</w:t>
            </w:r>
            <w:r>
              <w:rPr>
                <w:lang w:val="en-GB"/>
              </w:rPr>
              <w:t>2</w:t>
            </w:r>
          </w:p>
          <w:p w14:paraId="57BB396F" w14:textId="5EDDFF34" w:rsidR="00335433" w:rsidRPr="00A41520" w:rsidRDefault="00335433" w:rsidP="00A41520">
            <w:pPr>
              <w:rPr>
                <w:lang w:val="en-US"/>
              </w:rPr>
            </w:pPr>
            <w:r w:rsidRPr="007131C3">
              <w:rPr>
                <w:lang w:val="en-GB"/>
              </w:rPr>
              <w:t>By 2030, increase by [X] benefits shared for the conservation and sustainable use of biodiversity through ensuring access to and the fair and equitable sharing of benefits arising from utilization of genetic resources and associated traditional knowledge</w:t>
            </w:r>
          </w:p>
        </w:tc>
        <w:tc>
          <w:tcPr>
            <w:tcW w:w="913" w:type="pct"/>
          </w:tcPr>
          <w:p w14:paraId="449740F9" w14:textId="77777777" w:rsidR="00335433" w:rsidRPr="00A41520" w:rsidRDefault="00335433" w:rsidP="00A41520">
            <w:pPr>
              <w:rPr>
                <w:lang w:val="en-US"/>
              </w:rPr>
            </w:pPr>
          </w:p>
        </w:tc>
        <w:tc>
          <w:tcPr>
            <w:tcW w:w="2780" w:type="pct"/>
          </w:tcPr>
          <w:p w14:paraId="79A46EA4" w14:textId="77777777" w:rsidR="00335433" w:rsidRDefault="00335433" w:rsidP="00A41520">
            <w:pPr>
              <w:rPr>
                <w:lang w:val="en-GB"/>
              </w:rPr>
            </w:pPr>
          </w:p>
        </w:tc>
      </w:tr>
      <w:tr w:rsidR="003D2B52" w:rsidRPr="009B0E32" w14:paraId="7F270C5B" w14:textId="77777777" w:rsidTr="00C541E9">
        <w:trPr>
          <w:trHeight w:val="224"/>
        </w:trPr>
        <w:tc>
          <w:tcPr>
            <w:tcW w:w="327" w:type="pct"/>
          </w:tcPr>
          <w:p w14:paraId="16066C90" w14:textId="77777777" w:rsidR="00A41520" w:rsidRPr="00A41520" w:rsidRDefault="00A41520" w:rsidP="00A41520">
            <w:pPr>
              <w:rPr>
                <w:lang w:val="en-US"/>
              </w:rPr>
            </w:pPr>
            <w:r w:rsidRPr="00A41520">
              <w:rPr>
                <w:lang w:val="en-US"/>
              </w:rPr>
              <w:t>2</w:t>
            </w:r>
          </w:p>
        </w:tc>
        <w:tc>
          <w:tcPr>
            <w:tcW w:w="356" w:type="pct"/>
          </w:tcPr>
          <w:p w14:paraId="0F7F9540" w14:textId="77777777" w:rsidR="00A41520" w:rsidRPr="00A41520" w:rsidRDefault="00A41520" w:rsidP="00A41520">
            <w:pPr>
              <w:rPr>
                <w:lang w:val="en-US"/>
              </w:rPr>
            </w:pPr>
            <w:r w:rsidRPr="00A41520">
              <w:rPr>
                <w:lang w:val="en-US"/>
              </w:rPr>
              <w:t>22</w:t>
            </w:r>
          </w:p>
        </w:tc>
        <w:tc>
          <w:tcPr>
            <w:tcW w:w="624" w:type="pct"/>
          </w:tcPr>
          <w:p w14:paraId="30F21348" w14:textId="77777777" w:rsidR="00A41520" w:rsidRDefault="00A41520" w:rsidP="00A41520">
            <w:pPr>
              <w:rPr>
                <w:lang w:val="en-US"/>
              </w:rPr>
            </w:pPr>
            <w:r w:rsidRPr="00A41520">
              <w:rPr>
                <w:lang w:val="en-US"/>
              </w:rPr>
              <w:t>T 12.1</w:t>
            </w:r>
          </w:p>
          <w:p w14:paraId="2C8D6FEC" w14:textId="0D552967" w:rsidR="002874FB" w:rsidRPr="00A41520" w:rsidRDefault="002874FB" w:rsidP="00A41520">
            <w:pPr>
              <w:rPr>
                <w:lang w:val="en-US"/>
              </w:rPr>
            </w:pPr>
            <w:r w:rsidRPr="007131C3">
              <w:rPr>
                <w:lang w:val="en-GB"/>
              </w:rPr>
              <w:t>Access to genetic resources</w:t>
            </w:r>
          </w:p>
        </w:tc>
        <w:tc>
          <w:tcPr>
            <w:tcW w:w="913" w:type="pct"/>
          </w:tcPr>
          <w:p w14:paraId="4EAF1072" w14:textId="77777777" w:rsidR="00A41520" w:rsidRDefault="00A41520" w:rsidP="00A41520">
            <w:pPr>
              <w:rPr>
                <w:lang w:val="en-US"/>
              </w:rPr>
            </w:pPr>
            <w:r w:rsidRPr="00A41520">
              <w:rPr>
                <w:lang w:val="en-US"/>
              </w:rPr>
              <w:t>141-144</w:t>
            </w:r>
          </w:p>
          <w:p w14:paraId="092FA538" w14:textId="77777777" w:rsidR="00547B46" w:rsidRDefault="008F4B36" w:rsidP="00E74368">
            <w:pPr>
              <w:spacing w:after="0"/>
              <w:rPr>
                <w:lang w:val="en-GB"/>
              </w:rPr>
            </w:pPr>
            <w:r w:rsidRPr="00547B46">
              <w:rPr>
                <w:i/>
                <w:iCs/>
                <w:lang w:val="en-GB"/>
              </w:rPr>
              <w:t>Monito</w:t>
            </w:r>
            <w:r w:rsidR="00547B46" w:rsidRPr="00547B46">
              <w:rPr>
                <w:i/>
                <w:iCs/>
                <w:lang w:val="en-GB"/>
              </w:rPr>
              <w:t>r</w:t>
            </w:r>
            <w:r w:rsidRPr="00547B46">
              <w:rPr>
                <w:i/>
                <w:iCs/>
                <w:lang w:val="en-GB"/>
              </w:rPr>
              <w:t xml:space="preserve">ing </w:t>
            </w:r>
            <w:r w:rsidR="00547B46" w:rsidRPr="00547B46">
              <w:rPr>
                <w:i/>
                <w:iCs/>
                <w:lang w:val="en-GB"/>
              </w:rPr>
              <w:t>ele</w:t>
            </w:r>
            <w:r w:rsidRPr="00547B46">
              <w:rPr>
                <w:i/>
                <w:iCs/>
                <w:lang w:val="en-GB"/>
              </w:rPr>
              <w:t>ments</w:t>
            </w:r>
            <w:r w:rsidRPr="00547B46">
              <w:rPr>
                <w:lang w:val="en-GB"/>
              </w:rPr>
              <w:t xml:space="preserve"> : </w:t>
            </w:r>
          </w:p>
          <w:p w14:paraId="707C44F5" w14:textId="6AD1AEE6" w:rsidR="008F4B36" w:rsidRPr="00547B46" w:rsidRDefault="008F4B36" w:rsidP="00E74368">
            <w:pPr>
              <w:spacing w:after="0"/>
              <w:rPr>
                <w:lang w:val="en-GB"/>
              </w:rPr>
            </w:pPr>
            <w:r w:rsidRPr="00547B46">
              <w:rPr>
                <w:lang w:val="en-GB"/>
              </w:rPr>
              <w:t>Trends in access</w:t>
            </w:r>
          </w:p>
          <w:p w14:paraId="50377B4A" w14:textId="77777777" w:rsidR="00E74368" w:rsidRDefault="00E74368" w:rsidP="00E74368">
            <w:pPr>
              <w:spacing w:after="0"/>
              <w:rPr>
                <w:i/>
                <w:iCs/>
                <w:lang w:val="en-GB"/>
              </w:rPr>
            </w:pPr>
          </w:p>
          <w:p w14:paraId="068D03A6" w14:textId="24363FBA" w:rsidR="00547B46" w:rsidRDefault="00547B46" w:rsidP="00E74368">
            <w:pPr>
              <w:spacing w:after="0"/>
              <w:rPr>
                <w:lang w:val="en-GB"/>
              </w:rPr>
            </w:pPr>
            <w:r w:rsidRPr="00547B46">
              <w:rPr>
                <w:i/>
                <w:iCs/>
                <w:lang w:val="en-GB"/>
              </w:rPr>
              <w:t>Indicators</w:t>
            </w:r>
            <w:r>
              <w:rPr>
                <w:lang w:val="en-GB"/>
              </w:rPr>
              <w:t xml:space="preserve">: </w:t>
            </w:r>
          </w:p>
          <w:p w14:paraId="07244DB1" w14:textId="55B46B35" w:rsidR="00B80D01" w:rsidRDefault="003D2B52" w:rsidP="003D2B52">
            <w:pPr>
              <w:pBdr>
                <w:bottom w:val="single" w:sz="6" w:space="1" w:color="auto"/>
              </w:pBdr>
              <w:spacing w:after="0"/>
              <w:rPr>
                <w:lang w:val="en-GB"/>
              </w:rPr>
            </w:pPr>
            <w:r w:rsidRPr="003D2B52">
              <w:rPr>
                <w:lang w:val="en-GB"/>
              </w:rPr>
              <w:t xml:space="preserve">- </w:t>
            </w:r>
            <w:r w:rsidR="00B80D01" w:rsidRPr="007131C3">
              <w:rPr>
                <w:lang w:val="en-GB"/>
              </w:rPr>
              <w:t xml:space="preserve">Total number of transfers of crop material from the </w:t>
            </w:r>
            <w:r w:rsidR="00B80D01" w:rsidRPr="007131C3">
              <w:rPr>
                <w:lang w:val="en-GB"/>
              </w:rPr>
              <w:lastRenderedPageBreak/>
              <w:t>Multilateral System of the International Treaty on Plant Genetic Resources for Food and Agriculture (ITPGRFA) received in a country</w:t>
            </w:r>
            <w:r w:rsidR="007F3ADC" w:rsidRPr="007F3ADC">
              <w:rPr>
                <w:lang w:val="en-GB"/>
              </w:rPr>
              <w:t>.</w:t>
            </w:r>
          </w:p>
          <w:p w14:paraId="0581C6DF" w14:textId="77777777" w:rsidR="003D2B52" w:rsidRDefault="003D2B52" w:rsidP="003D2B52">
            <w:pPr>
              <w:pBdr>
                <w:bottom w:val="single" w:sz="6" w:space="1" w:color="auto"/>
              </w:pBdr>
              <w:spacing w:after="0"/>
              <w:rPr>
                <w:lang w:val="en-GB"/>
              </w:rPr>
            </w:pPr>
          </w:p>
          <w:p w14:paraId="4E440337" w14:textId="779BA157" w:rsidR="003D2B52" w:rsidRPr="007131C3" w:rsidRDefault="003D2B52" w:rsidP="003D2B52">
            <w:pPr>
              <w:pBdr>
                <w:bottom w:val="single" w:sz="6" w:space="1" w:color="auto"/>
              </w:pBdr>
              <w:spacing w:after="0"/>
              <w:rPr>
                <w:lang w:val="en-GB"/>
              </w:rPr>
            </w:pPr>
            <w:r w:rsidRPr="003D2B52">
              <w:rPr>
                <w:lang w:val="en-GB"/>
              </w:rPr>
              <w:t>-</w:t>
            </w:r>
            <w:r w:rsidR="007F3ADC" w:rsidRPr="007131C3">
              <w:rPr>
                <w:lang w:val="en-GB"/>
              </w:rPr>
              <w:t>Total number of permits or their equivalent granted for access to genetic resources</w:t>
            </w:r>
          </w:p>
          <w:p w14:paraId="28898802" w14:textId="77777777" w:rsidR="003D2B52" w:rsidRPr="007131C3" w:rsidRDefault="003D2B52" w:rsidP="003D2B52">
            <w:pPr>
              <w:pBdr>
                <w:bottom w:val="single" w:sz="6" w:space="1" w:color="auto"/>
              </w:pBdr>
              <w:spacing w:after="0"/>
              <w:rPr>
                <w:lang w:val="en-GB"/>
              </w:rPr>
            </w:pPr>
          </w:p>
          <w:p w14:paraId="2064CC84" w14:textId="77777777" w:rsidR="003D2B52" w:rsidRPr="007131C3" w:rsidRDefault="003D2B52" w:rsidP="003D2B52">
            <w:pPr>
              <w:pBdr>
                <w:bottom w:val="single" w:sz="6" w:space="1" w:color="auto"/>
              </w:pBdr>
              <w:rPr>
                <w:lang w:val="en-GB"/>
              </w:rPr>
            </w:pPr>
            <w:r w:rsidRPr="003D2B52">
              <w:rPr>
                <w:lang w:val="en-GB"/>
              </w:rPr>
              <w:t xml:space="preserve">- </w:t>
            </w:r>
            <w:r w:rsidR="0075479A" w:rsidRPr="007131C3">
              <w:rPr>
                <w:lang w:val="en-GB"/>
              </w:rPr>
              <w:t>Total number of internationally recognized certificates of compliance published in the ABS Clearing -House</w:t>
            </w:r>
          </w:p>
          <w:p w14:paraId="0C6D538F" w14:textId="77777777" w:rsidR="003D2B52" w:rsidRPr="007131C3" w:rsidRDefault="003D2B52" w:rsidP="003D2B52">
            <w:pPr>
              <w:pBdr>
                <w:bottom w:val="single" w:sz="6" w:space="1" w:color="auto"/>
              </w:pBdr>
              <w:rPr>
                <w:lang w:val="en-GB"/>
              </w:rPr>
            </w:pPr>
            <w:r w:rsidRPr="003D2B52">
              <w:rPr>
                <w:lang w:val="en-GB"/>
              </w:rPr>
              <w:t xml:space="preserve">- </w:t>
            </w:r>
            <w:r w:rsidR="009A60CE" w:rsidRPr="007131C3">
              <w:rPr>
                <w:lang w:val="en-GB"/>
              </w:rPr>
              <w:t>Number of countries that require prior informed consent that have published legislative, administrative or policy measures on access and benefit-sharing in the ABS Clearing -House.</w:t>
            </w:r>
          </w:p>
          <w:p w14:paraId="490B8900" w14:textId="12022DA5" w:rsidR="00B80D01" w:rsidRPr="00A41520" w:rsidRDefault="00C20C1E" w:rsidP="003D2B52">
            <w:pPr>
              <w:pBdr>
                <w:bottom w:val="single" w:sz="6" w:space="1" w:color="auto"/>
              </w:pBdr>
              <w:rPr>
                <w:lang w:val="en-GB"/>
              </w:rPr>
            </w:pPr>
            <w:r w:rsidRPr="00C20C1E">
              <w:rPr>
                <w:lang w:val="en-GB"/>
              </w:rPr>
              <w:t xml:space="preserve">- </w:t>
            </w:r>
            <w:r w:rsidR="00E94F39" w:rsidRPr="007131C3">
              <w:rPr>
                <w:lang w:val="en-GB"/>
              </w:rPr>
              <w:t>Number of countries that require prior informed consent that have published information on ABS procedures in the ABS Clearing -Hous</w:t>
            </w:r>
            <w:r w:rsidRPr="00C20C1E">
              <w:rPr>
                <w:lang w:val="en-GB"/>
              </w:rPr>
              <w:t>e</w:t>
            </w:r>
          </w:p>
        </w:tc>
        <w:tc>
          <w:tcPr>
            <w:tcW w:w="2780" w:type="pct"/>
          </w:tcPr>
          <w:p w14:paraId="6499955C" w14:textId="77777777" w:rsidR="003642A9" w:rsidRDefault="003642A9" w:rsidP="00A41520">
            <w:pPr>
              <w:rPr>
                <w:lang w:val="en-GB"/>
              </w:rPr>
            </w:pPr>
          </w:p>
          <w:p w14:paraId="031236DA" w14:textId="7303CB74" w:rsidR="0050708E" w:rsidRPr="003642A9" w:rsidRDefault="0050708E" w:rsidP="00A41520">
            <w:pPr>
              <w:rPr>
                <w:i/>
                <w:iCs/>
                <w:lang w:val="en-GB"/>
              </w:rPr>
            </w:pPr>
            <w:r>
              <w:rPr>
                <w:lang w:val="en-GB"/>
              </w:rPr>
              <w:t xml:space="preserve">As a general comment, we would like to state that the ABS related indicators </w:t>
            </w:r>
            <w:r w:rsidR="005615D8" w:rsidRPr="00925BC2">
              <w:rPr>
                <w:lang w:val="en-GB"/>
              </w:rPr>
              <w:t>on access</w:t>
            </w:r>
            <w:r w:rsidR="005615D8" w:rsidRPr="003642A9">
              <w:rPr>
                <w:lang w:val="en-GB"/>
              </w:rPr>
              <w:t xml:space="preserve"> </w:t>
            </w:r>
            <w:r w:rsidR="00A91CD0" w:rsidRPr="003642A9">
              <w:rPr>
                <w:lang w:val="en-GB"/>
              </w:rPr>
              <w:t>should focus</w:t>
            </w:r>
            <w:r w:rsidRPr="003642A9">
              <w:rPr>
                <w:lang w:val="en-GB"/>
              </w:rPr>
              <w:t xml:space="preserve"> </w:t>
            </w:r>
            <w:r w:rsidR="00A91CD0" w:rsidRPr="003642A9">
              <w:rPr>
                <w:lang w:val="en-GB"/>
              </w:rPr>
              <w:t>on the</w:t>
            </w:r>
            <w:r w:rsidRPr="003642A9">
              <w:rPr>
                <w:lang w:val="en-GB"/>
              </w:rPr>
              <w:t xml:space="preserve"> improved implementation and compliance with the Nagoya Protocol</w:t>
            </w:r>
            <w:r w:rsidR="00A91CD0" w:rsidRPr="003642A9">
              <w:rPr>
                <w:lang w:val="en-GB"/>
              </w:rPr>
              <w:t xml:space="preserve"> </w:t>
            </w:r>
            <w:r w:rsidR="005615D8" w:rsidRPr="00925BC2">
              <w:rPr>
                <w:lang w:val="en-GB"/>
              </w:rPr>
              <w:t>provisions on access</w:t>
            </w:r>
            <w:r w:rsidR="005615D8" w:rsidRPr="003642A9">
              <w:rPr>
                <w:lang w:val="en-GB"/>
              </w:rPr>
              <w:t xml:space="preserve"> </w:t>
            </w:r>
            <w:r w:rsidR="00A91CD0" w:rsidRPr="003642A9">
              <w:rPr>
                <w:lang w:val="en-GB"/>
              </w:rPr>
              <w:t>by the Parties</w:t>
            </w:r>
            <w:r w:rsidR="003642A9">
              <w:rPr>
                <w:lang w:val="en-GB"/>
              </w:rPr>
              <w:t>,</w:t>
            </w:r>
            <w:r w:rsidR="00A91CD0" w:rsidRPr="003642A9">
              <w:rPr>
                <w:lang w:val="en-GB"/>
              </w:rPr>
              <w:t xml:space="preserve"> </w:t>
            </w:r>
            <w:r w:rsidRPr="003642A9">
              <w:rPr>
                <w:lang w:val="en-GB"/>
              </w:rPr>
              <w:t xml:space="preserve">and </w:t>
            </w:r>
            <w:r w:rsidR="005615D8" w:rsidRPr="00925BC2">
              <w:rPr>
                <w:lang w:val="en-GB"/>
              </w:rPr>
              <w:t xml:space="preserve">encourage </w:t>
            </w:r>
            <w:r w:rsidRPr="003642A9">
              <w:rPr>
                <w:lang w:val="en-GB"/>
              </w:rPr>
              <w:t xml:space="preserve">rules, interpretations or implementation on a national or regional level </w:t>
            </w:r>
            <w:r w:rsidR="005615D8" w:rsidRPr="00925BC2">
              <w:rPr>
                <w:lang w:val="en-GB"/>
              </w:rPr>
              <w:t xml:space="preserve">that </w:t>
            </w:r>
            <w:r w:rsidR="005615D8" w:rsidRPr="003642A9">
              <w:rPr>
                <w:lang w:val="en-GB"/>
              </w:rPr>
              <w:t xml:space="preserve">comply </w:t>
            </w:r>
            <w:r w:rsidRPr="003642A9">
              <w:rPr>
                <w:lang w:val="en-GB"/>
              </w:rPr>
              <w:t>with the obligations o</w:t>
            </w:r>
            <w:r w:rsidR="00A91CD0" w:rsidRPr="003642A9">
              <w:rPr>
                <w:lang w:val="en-GB"/>
              </w:rPr>
              <w:t>f</w:t>
            </w:r>
            <w:r w:rsidRPr="003642A9">
              <w:rPr>
                <w:lang w:val="en-GB"/>
              </w:rPr>
              <w:t xml:space="preserve"> </w:t>
            </w:r>
            <w:r w:rsidR="00A91CD0" w:rsidRPr="003642A9">
              <w:rPr>
                <w:lang w:val="en-GB"/>
              </w:rPr>
              <w:t>a</w:t>
            </w:r>
            <w:r w:rsidRPr="003642A9">
              <w:rPr>
                <w:lang w:val="en-GB"/>
              </w:rPr>
              <w:t xml:space="preserve"> Part</w:t>
            </w:r>
            <w:r w:rsidR="00A91CD0" w:rsidRPr="003642A9">
              <w:rPr>
                <w:lang w:val="en-GB"/>
              </w:rPr>
              <w:t>y</w:t>
            </w:r>
            <w:r w:rsidRPr="003642A9">
              <w:rPr>
                <w:lang w:val="en-GB"/>
              </w:rPr>
              <w:t xml:space="preserve"> to the Nagoya Protocol pursuant to Article 6.3 a) </w:t>
            </w:r>
            <w:r w:rsidRPr="003642A9">
              <w:rPr>
                <w:i/>
                <w:iCs/>
                <w:lang w:val="en-GB"/>
              </w:rPr>
              <w:t xml:space="preserve">to provide for legal certainty, clarity and transparency of their domestic ABS legislation  and b) provide for fair and non-arbitrary rules and procedures </w:t>
            </w:r>
            <w:r w:rsidRPr="003642A9">
              <w:rPr>
                <w:i/>
                <w:iCs/>
                <w:lang w:val="en-GB"/>
              </w:rPr>
              <w:lastRenderedPageBreak/>
              <w:t xml:space="preserve">on accessing genetic resources. </w:t>
            </w:r>
            <w:r w:rsidR="005615D8" w:rsidRPr="00925BC2">
              <w:rPr>
                <w:lang w:val="en-GB"/>
              </w:rPr>
              <w:t>Unfortunately this is currently not the case in many countries</w:t>
            </w:r>
            <w:r w:rsidR="005615D8" w:rsidRPr="003642A9">
              <w:rPr>
                <w:lang w:val="en-GB"/>
              </w:rPr>
              <w:t>.</w:t>
            </w:r>
            <w:r w:rsidR="005615D8">
              <w:rPr>
                <w:i/>
                <w:iCs/>
                <w:lang w:val="en-GB"/>
              </w:rPr>
              <w:t xml:space="preserve"> </w:t>
            </w:r>
          </w:p>
          <w:p w14:paraId="5A939DCA" w14:textId="3CB711DE" w:rsidR="00A41520" w:rsidRPr="00A41520" w:rsidRDefault="00A41520" w:rsidP="00A41520">
            <w:pPr>
              <w:rPr>
                <w:lang w:val="en-GB"/>
              </w:rPr>
            </w:pPr>
            <w:r w:rsidRPr="00A41520">
              <w:rPr>
                <w:lang w:val="en-GB"/>
              </w:rPr>
              <w:t>The indicators on access</w:t>
            </w:r>
            <w:r w:rsidR="00DD0B96">
              <w:rPr>
                <w:lang w:val="en-GB"/>
              </w:rPr>
              <w:t xml:space="preserve"> (Target 12.1)</w:t>
            </w:r>
            <w:r w:rsidRPr="00A41520">
              <w:rPr>
                <w:lang w:val="en-GB"/>
              </w:rPr>
              <w:t xml:space="preserve"> </w:t>
            </w:r>
            <w:r w:rsidR="00DD0B96">
              <w:rPr>
                <w:lang w:val="en-GB"/>
              </w:rPr>
              <w:t>are</w:t>
            </w:r>
            <w:r w:rsidRPr="00A41520">
              <w:rPr>
                <w:lang w:val="en-GB"/>
              </w:rPr>
              <w:t xml:space="preserve"> focus</w:t>
            </w:r>
            <w:r w:rsidR="00DD0B96">
              <w:rPr>
                <w:lang w:val="en-GB"/>
              </w:rPr>
              <w:t>sed</w:t>
            </w:r>
            <w:r w:rsidRPr="00A41520">
              <w:rPr>
                <w:lang w:val="en-GB"/>
              </w:rPr>
              <w:t xml:space="preserve"> on the number of permits granted (and/or IRCCs published), and the number of countries that require prior informed consent and that have published legislative, administrative and policy measures.  </w:t>
            </w:r>
          </w:p>
          <w:p w14:paraId="1D903437" w14:textId="1FF10103" w:rsidR="00A41520" w:rsidRPr="00A41520" w:rsidRDefault="00A41520" w:rsidP="00A41520">
            <w:pPr>
              <w:rPr>
                <w:lang w:val="en-GB"/>
              </w:rPr>
            </w:pPr>
            <w:r w:rsidRPr="00A41520">
              <w:rPr>
                <w:lang w:val="en-GB"/>
              </w:rPr>
              <w:t xml:space="preserve">These indicators assume that regulating access is the default situation and it is recommended that countries regulate access. </w:t>
            </w:r>
            <w:r w:rsidR="00DD0B96">
              <w:rPr>
                <w:lang w:val="en-GB"/>
              </w:rPr>
              <w:t xml:space="preserve"> This also assumes that regulating access will contribute to the benefit sharing goals (Goal C) of the GBF.</w:t>
            </w:r>
            <w:r w:rsidRPr="00A41520">
              <w:rPr>
                <w:lang w:val="en-GB"/>
              </w:rPr>
              <w:t xml:space="preserve">  This however goes against the sovereign rights of countries whether they decide to regulate access or not</w:t>
            </w:r>
            <w:r w:rsidR="00DD0B96">
              <w:rPr>
                <w:lang w:val="en-GB"/>
              </w:rPr>
              <w:t>, and does not reflect the range of approaches that may be adopted by countries.</w:t>
            </w:r>
            <w:r w:rsidRPr="00A41520">
              <w:rPr>
                <w:lang w:val="en-GB"/>
              </w:rPr>
              <w:t xml:space="preserve">  It is perfectly legitimate for a country to decide not to control access and to focus on the creation of value via unencumbered use of its genetic resources. Many countries grant access without requiring prior informed consent; this contribution to access to genetic resources should also be </w:t>
            </w:r>
            <w:r w:rsidR="00DD0B96">
              <w:rPr>
                <w:lang w:val="en-GB"/>
              </w:rPr>
              <w:t>captured</w:t>
            </w:r>
            <w:r w:rsidRPr="00A41520">
              <w:rPr>
                <w:lang w:val="en-GB"/>
              </w:rPr>
              <w:t xml:space="preserve"> in the </w:t>
            </w:r>
            <w:r w:rsidR="00DD0B96">
              <w:rPr>
                <w:lang w:val="en-GB"/>
              </w:rPr>
              <w:t>indicators</w:t>
            </w:r>
            <w:r w:rsidRPr="00A41520">
              <w:rPr>
                <w:lang w:val="en-GB"/>
              </w:rPr>
              <w:t xml:space="preserve">.     </w:t>
            </w:r>
          </w:p>
          <w:p w14:paraId="095895EF" w14:textId="0BFF0B34" w:rsidR="00A41520" w:rsidRPr="00A41520" w:rsidRDefault="00A41520" w:rsidP="00B41EE6">
            <w:pPr>
              <w:rPr>
                <w:lang w:val="en-GB"/>
              </w:rPr>
            </w:pPr>
            <w:r w:rsidRPr="00A41520">
              <w:rPr>
                <w:lang w:val="en-GB"/>
              </w:rPr>
              <w:t>The current indicator</w:t>
            </w:r>
            <w:r w:rsidR="00DD0B96">
              <w:rPr>
                <w:lang w:val="en-GB"/>
              </w:rPr>
              <w:t>s</w:t>
            </w:r>
            <w:r w:rsidRPr="00A41520">
              <w:rPr>
                <w:lang w:val="en-GB"/>
              </w:rPr>
              <w:t xml:space="preserve"> measure</w:t>
            </w:r>
            <w:r w:rsidR="00BD5037">
              <w:rPr>
                <w:lang w:val="en-GB"/>
              </w:rPr>
              <w:t xml:space="preserve"> or consider</w:t>
            </w:r>
            <w:r w:rsidRPr="00A41520">
              <w:rPr>
                <w:lang w:val="en-GB"/>
              </w:rPr>
              <w:t xml:space="preserve"> the number of </w:t>
            </w:r>
            <w:r w:rsidR="00BD5037">
              <w:rPr>
                <w:lang w:val="en-GB"/>
              </w:rPr>
              <w:t>transactions</w:t>
            </w:r>
            <w:r w:rsidRPr="00A41520">
              <w:rPr>
                <w:lang w:val="en-GB"/>
              </w:rPr>
              <w:t xml:space="preserve"> or bureaucracy, whereby more bureaucracy </w:t>
            </w:r>
            <w:r w:rsidR="00DD0B96">
              <w:rPr>
                <w:lang w:val="en-GB"/>
              </w:rPr>
              <w:t>will</w:t>
            </w:r>
            <w:r w:rsidR="00BD5037">
              <w:rPr>
                <w:lang w:val="en-GB"/>
              </w:rPr>
              <w:t xml:space="preserve"> be qualified</w:t>
            </w:r>
            <w:r w:rsidRPr="00A41520">
              <w:rPr>
                <w:lang w:val="en-GB"/>
              </w:rPr>
              <w:t xml:space="preserve"> as success for the parameter ‘access’</w:t>
            </w:r>
            <w:r w:rsidRPr="00B41EE6">
              <w:rPr>
                <w:color w:val="000000" w:themeColor="text1"/>
                <w:lang w:val="en-GB"/>
              </w:rPr>
              <w:t xml:space="preserve">.  </w:t>
            </w:r>
            <w:r w:rsidR="005615D8" w:rsidRPr="00B41EE6">
              <w:rPr>
                <w:color w:val="000000" w:themeColor="text1"/>
                <w:lang w:val="en-GB"/>
              </w:rPr>
              <w:t xml:space="preserve">Experience has shown that increased bureaucratic measures in fact discourage or prevent access thereby decreasing the potential to create benefits to be shared.  </w:t>
            </w:r>
            <w:r w:rsidR="00DD0B96" w:rsidRPr="00B41EE6">
              <w:rPr>
                <w:color w:val="000000" w:themeColor="text1"/>
                <w:lang w:val="en-GB"/>
              </w:rPr>
              <w:t xml:space="preserve">Instead of solely including </w:t>
            </w:r>
            <w:r w:rsidR="00DD0B96">
              <w:rPr>
                <w:lang w:val="en-GB"/>
              </w:rPr>
              <w:t xml:space="preserve">quantitative indicators measuring number of permits and access regulations, the focus should be on </w:t>
            </w:r>
            <w:r w:rsidR="004477B5">
              <w:rPr>
                <w:lang w:val="en-GB"/>
              </w:rPr>
              <w:t xml:space="preserve">effective access to ensure </w:t>
            </w:r>
            <w:r w:rsidR="00DD0B96" w:rsidRPr="00B41EE6">
              <w:rPr>
                <w:b/>
                <w:bCs/>
                <w:lang w:val="en-GB"/>
              </w:rPr>
              <w:t>value creation</w:t>
            </w:r>
            <w:r w:rsidR="00DD0B96">
              <w:rPr>
                <w:b/>
                <w:bCs/>
                <w:lang w:val="en-GB"/>
              </w:rPr>
              <w:t xml:space="preserve">. </w:t>
            </w:r>
            <w:r w:rsidR="00DD0B96">
              <w:rPr>
                <w:lang w:val="en-GB"/>
              </w:rPr>
              <w:t>We recommend prioritising qualitative indicators focussed on</w:t>
            </w:r>
            <w:r w:rsidR="004477B5">
              <w:rPr>
                <w:lang w:val="en-GB"/>
              </w:rPr>
              <w:t xml:space="preserve"> such</w:t>
            </w:r>
            <w:r w:rsidR="00DD0B96">
              <w:rPr>
                <w:lang w:val="en-GB"/>
              </w:rPr>
              <w:t xml:space="preserve"> </w:t>
            </w:r>
            <w:r w:rsidR="004477B5">
              <w:rPr>
                <w:lang w:val="en-GB"/>
              </w:rPr>
              <w:t xml:space="preserve">effective access </w:t>
            </w:r>
            <w:r w:rsidR="00131964">
              <w:rPr>
                <w:lang w:val="en-GB"/>
              </w:rPr>
              <w:t xml:space="preserve">which </w:t>
            </w:r>
            <w:r w:rsidR="004477B5">
              <w:rPr>
                <w:lang w:val="en-GB"/>
              </w:rPr>
              <w:t>enabl</w:t>
            </w:r>
            <w:r w:rsidR="00131964">
              <w:rPr>
                <w:lang w:val="en-GB"/>
              </w:rPr>
              <w:t>es</w:t>
            </w:r>
            <w:r w:rsidR="004477B5">
              <w:rPr>
                <w:lang w:val="en-GB"/>
              </w:rPr>
              <w:t xml:space="preserve"> </w:t>
            </w:r>
            <w:r w:rsidR="00DD0B96">
              <w:rPr>
                <w:lang w:val="en-GB"/>
              </w:rPr>
              <w:t>the productive use of genetic resources</w:t>
            </w:r>
            <w:r w:rsidR="00131964">
              <w:rPr>
                <w:lang w:val="en-GB"/>
              </w:rPr>
              <w:t>.</w:t>
            </w:r>
            <w:r w:rsidR="00DD0B96">
              <w:rPr>
                <w:lang w:val="en-GB"/>
              </w:rPr>
              <w:t xml:space="preserve">  </w:t>
            </w:r>
            <w:r w:rsidRPr="00A41520">
              <w:rPr>
                <w:lang w:val="en-GB"/>
              </w:rPr>
              <w:t xml:space="preserve"> </w:t>
            </w:r>
          </w:p>
          <w:p w14:paraId="0F62C5FC" w14:textId="7B17CB8E" w:rsidR="00830ED4" w:rsidRDefault="00A41520" w:rsidP="00A41520">
            <w:pPr>
              <w:rPr>
                <w:lang w:val="en-GB"/>
              </w:rPr>
            </w:pPr>
            <w:r w:rsidRPr="00A41520">
              <w:rPr>
                <w:lang w:val="en-GB"/>
              </w:rPr>
              <w:t xml:space="preserve">Since legal certainty is of key importance for users and for the creation of value in the context of biodiversity, target </w:t>
            </w:r>
            <w:r w:rsidR="00830ED4">
              <w:rPr>
                <w:lang w:val="en-GB"/>
              </w:rPr>
              <w:t xml:space="preserve">12.1 </w:t>
            </w:r>
            <w:r w:rsidRPr="00A41520">
              <w:rPr>
                <w:lang w:val="en-GB"/>
              </w:rPr>
              <w:t xml:space="preserve">could be reformulated </w:t>
            </w:r>
            <w:r w:rsidR="00DB4A63">
              <w:rPr>
                <w:lang w:val="en-GB"/>
              </w:rPr>
              <w:t xml:space="preserve">to: </w:t>
            </w:r>
            <w:r w:rsidRPr="00A41520">
              <w:rPr>
                <w:lang w:val="en-GB"/>
              </w:rPr>
              <w:t>“</w:t>
            </w:r>
            <w:r w:rsidR="00830ED4">
              <w:rPr>
                <w:lang w:val="en-GB"/>
              </w:rPr>
              <w:t>A</w:t>
            </w:r>
            <w:r w:rsidRPr="00A41520">
              <w:rPr>
                <w:lang w:val="en-GB"/>
              </w:rPr>
              <w:t xml:space="preserve">ll countries have established whether and which access measures apply”. </w:t>
            </w:r>
          </w:p>
          <w:p w14:paraId="17290949" w14:textId="0DB5B80F" w:rsidR="00A41520" w:rsidRPr="00A41520" w:rsidRDefault="00293C6F" w:rsidP="00A41520">
            <w:pPr>
              <w:rPr>
                <w:lang w:val="en-GB"/>
              </w:rPr>
            </w:pPr>
            <w:r>
              <w:rPr>
                <w:lang w:val="en-GB"/>
              </w:rPr>
              <w:t>For those countries wh</w:t>
            </w:r>
            <w:r w:rsidR="008D60E1">
              <w:rPr>
                <w:lang w:val="en-GB"/>
              </w:rPr>
              <w:t>ich</w:t>
            </w:r>
            <w:r>
              <w:rPr>
                <w:lang w:val="en-GB"/>
              </w:rPr>
              <w:t xml:space="preserve"> have implemented access measures, the following elements could be added as indicators to ensure the proper functioning of these measures</w:t>
            </w:r>
            <w:r w:rsidR="00A41520" w:rsidRPr="00A41520">
              <w:rPr>
                <w:lang w:val="en-GB"/>
              </w:rPr>
              <w:t xml:space="preserve">: </w:t>
            </w:r>
          </w:p>
          <w:p w14:paraId="1C55F07E" w14:textId="4A7C37BF" w:rsidR="00A41520" w:rsidRPr="00B33548" w:rsidRDefault="00A41520" w:rsidP="008D60E1">
            <w:pPr>
              <w:numPr>
                <w:ilvl w:val="0"/>
                <w:numId w:val="2"/>
              </w:numPr>
              <w:rPr>
                <w:color w:val="000000" w:themeColor="text1"/>
                <w:lang w:val="en-GB"/>
              </w:rPr>
            </w:pPr>
            <w:r w:rsidRPr="003226FD">
              <w:rPr>
                <w:lang w:val="en-GB"/>
              </w:rPr>
              <w:t xml:space="preserve">The </w:t>
            </w:r>
            <w:r w:rsidRPr="00B33548">
              <w:rPr>
                <w:color w:val="000000" w:themeColor="text1"/>
                <w:lang w:val="en-GB"/>
              </w:rPr>
              <w:t xml:space="preserve">ratio of requested and granted access requests </w:t>
            </w:r>
          </w:p>
          <w:p w14:paraId="3CFB9B09" w14:textId="3E58D08C" w:rsidR="00CF3CF3" w:rsidRPr="00B33548" w:rsidRDefault="00A41520" w:rsidP="00B33548">
            <w:pPr>
              <w:pStyle w:val="ListParagraph"/>
              <w:numPr>
                <w:ilvl w:val="0"/>
                <w:numId w:val="2"/>
              </w:numPr>
              <w:rPr>
                <w:lang w:val="en-GB"/>
              </w:rPr>
            </w:pPr>
            <w:r w:rsidRPr="00B33548">
              <w:rPr>
                <w:color w:val="000000" w:themeColor="text1"/>
                <w:lang w:val="en-GB"/>
              </w:rPr>
              <w:lastRenderedPageBreak/>
              <w:t>The number of access permits granted within a reasonable timeframe</w:t>
            </w:r>
            <w:r w:rsidR="00CF3CF3" w:rsidRPr="00B33548">
              <w:rPr>
                <w:color w:val="000000" w:themeColor="text1"/>
                <w:lang w:val="en-GB"/>
              </w:rPr>
              <w:t>, also taking into consideration the elements</w:t>
            </w:r>
            <w:r w:rsidR="00CF3CF3" w:rsidRPr="00B33548">
              <w:rPr>
                <w:lang w:val="en-GB"/>
              </w:rPr>
              <w:t xml:space="preserve"> listed in row 149, </w:t>
            </w:r>
            <w:proofErr w:type="spellStart"/>
            <w:r w:rsidR="00CF3CF3" w:rsidRPr="00B33548">
              <w:rPr>
                <w:lang w:val="en-GB"/>
              </w:rPr>
              <w:t>i.a.</w:t>
            </w:r>
            <w:proofErr w:type="spellEnd"/>
            <w:r w:rsidR="00CF3CF3" w:rsidRPr="00B33548">
              <w:rPr>
                <w:lang w:val="en-GB"/>
              </w:rPr>
              <w:t xml:space="preserve"> the number of access permits </w:t>
            </w:r>
            <w:r w:rsidR="005E3C04" w:rsidRPr="00B33548">
              <w:rPr>
                <w:lang w:val="en-GB"/>
              </w:rPr>
              <w:t xml:space="preserve">whose conditions </w:t>
            </w:r>
            <w:r w:rsidR="00CF3CF3" w:rsidRPr="00B33548">
              <w:rPr>
                <w:lang w:val="en-GB"/>
              </w:rPr>
              <w:t xml:space="preserve">enabled the actual use of genetic resources in R&amp;D projects; </w:t>
            </w:r>
          </w:p>
          <w:p w14:paraId="5F032843" w14:textId="72594774" w:rsidR="007B77F1" w:rsidRDefault="007B77F1" w:rsidP="00A41520">
            <w:pPr>
              <w:numPr>
                <w:ilvl w:val="0"/>
                <w:numId w:val="2"/>
              </w:numPr>
              <w:rPr>
                <w:lang w:val="en-GB"/>
              </w:rPr>
            </w:pPr>
            <w:r>
              <w:rPr>
                <w:lang w:val="en-GB"/>
              </w:rPr>
              <w:t xml:space="preserve">The number of </w:t>
            </w:r>
            <w:r w:rsidR="00CF3CF3">
              <w:rPr>
                <w:lang w:val="en-GB"/>
              </w:rPr>
              <w:t xml:space="preserve">access </w:t>
            </w:r>
            <w:r>
              <w:rPr>
                <w:lang w:val="en-GB"/>
              </w:rPr>
              <w:t>permits granted to public institutions and private organisations</w:t>
            </w:r>
            <w:r w:rsidR="00B33548">
              <w:rPr>
                <w:lang w:val="en-GB"/>
              </w:rPr>
              <w:t>.</w:t>
            </w:r>
          </w:p>
          <w:p w14:paraId="2E03BAAB" w14:textId="692A3056" w:rsidR="009A38BA" w:rsidRDefault="00A41520" w:rsidP="009A38BA">
            <w:pPr>
              <w:rPr>
                <w:lang w:val="en-GB"/>
              </w:rPr>
            </w:pPr>
            <w:r w:rsidRPr="00A41520">
              <w:rPr>
                <w:lang w:val="en-GB"/>
              </w:rPr>
              <w:t xml:space="preserve">In this regard reference is also made to the need for a fair, equitable and balanced application of ABS requirements, to achieve the objectives of research and training as defined in </w:t>
            </w:r>
            <w:r w:rsidR="00965478">
              <w:rPr>
                <w:lang w:val="en-GB"/>
              </w:rPr>
              <w:t>A</w:t>
            </w:r>
            <w:r w:rsidRPr="00A41520">
              <w:rPr>
                <w:lang w:val="en-GB"/>
              </w:rPr>
              <w:t>rticle 12</w:t>
            </w:r>
            <w:r w:rsidR="00965478">
              <w:rPr>
                <w:lang w:val="en-GB"/>
              </w:rPr>
              <w:t xml:space="preserve"> of the CBD </w:t>
            </w:r>
            <w:r w:rsidRPr="00A41520">
              <w:rPr>
                <w:lang w:val="en-GB"/>
              </w:rPr>
              <w:t xml:space="preserve"> “</w:t>
            </w:r>
            <w:r w:rsidRPr="00A41520">
              <w:rPr>
                <w:i/>
                <w:iCs/>
                <w:lang w:val="en-GB"/>
              </w:rPr>
              <w:t xml:space="preserve">to promote and cooperate in scientific advances </w:t>
            </w:r>
            <w:r w:rsidR="00CF3CF3">
              <w:rPr>
                <w:i/>
                <w:iCs/>
                <w:lang w:val="en-GB"/>
              </w:rPr>
              <w:t>of</w:t>
            </w:r>
            <w:r w:rsidRPr="00A41520">
              <w:rPr>
                <w:i/>
                <w:iCs/>
                <w:lang w:val="en-GB"/>
              </w:rPr>
              <w:t xml:space="preserve"> biological diversity research, to develop programs for scientific and technical education, and to promote technology transfer, collaboration and capacity building</w:t>
            </w:r>
            <w:r w:rsidR="00E10D73">
              <w:rPr>
                <w:i/>
                <w:iCs/>
                <w:lang w:val="en-GB"/>
              </w:rPr>
              <w:t>”</w:t>
            </w:r>
            <w:r w:rsidRPr="00A41520">
              <w:rPr>
                <w:lang w:val="en-GB"/>
              </w:rPr>
              <w:t xml:space="preserve">.  ABS frameworks should be proportionate and supportive of research and development.   </w:t>
            </w:r>
            <w:r w:rsidR="009A38BA">
              <w:rPr>
                <w:lang w:val="en-GB"/>
              </w:rPr>
              <w:t xml:space="preserve">A review mechanism should be applied to evaluate and ensure that the implementation of domestic ABS measures is not restricting access and having unintended consequences such as limiting or deterring research and development activities.  </w:t>
            </w:r>
          </w:p>
          <w:p w14:paraId="14440FBA" w14:textId="7D4F0774" w:rsidR="00A41520" w:rsidRDefault="00A41520" w:rsidP="00A41520">
            <w:pPr>
              <w:rPr>
                <w:lang w:val="en-GB"/>
              </w:rPr>
            </w:pPr>
            <w:r w:rsidRPr="00A41520">
              <w:rPr>
                <w:lang w:val="en-GB"/>
              </w:rPr>
              <w:t xml:space="preserve">These elements should be taken into consideration and result in </w:t>
            </w:r>
            <w:r w:rsidR="00BD5037">
              <w:rPr>
                <w:lang w:val="en-GB"/>
              </w:rPr>
              <w:t>a more meaningful set of</w:t>
            </w:r>
            <w:r w:rsidRPr="00A41520">
              <w:rPr>
                <w:lang w:val="en-GB"/>
              </w:rPr>
              <w:t xml:space="preserve"> indicators to assess the actual ABS frameworks of the countries.</w:t>
            </w:r>
          </w:p>
          <w:p w14:paraId="58884760" w14:textId="679AB6C8" w:rsidR="00A41520" w:rsidRPr="00A41520" w:rsidRDefault="007B77F1" w:rsidP="00C0183B">
            <w:pPr>
              <w:rPr>
                <w:lang w:val="en-GB"/>
              </w:rPr>
            </w:pPr>
            <w:r>
              <w:rPr>
                <w:lang w:val="en-GB"/>
              </w:rPr>
              <w:t>Albeit that coherence between different legal instruments dealing with genetic resources is important, it is important to recognise that the ITPGRFA is to be regarded as a specialised legal instrument, operating under its own (multilateral) legal concepts and principles. The elements looked at here are focused on the CBD and the Nagoya Protocol.  For completeness with</w:t>
            </w:r>
            <w:r w:rsidR="00E878C3">
              <w:rPr>
                <w:lang w:val="en-GB"/>
              </w:rPr>
              <w:t xml:space="preserve"> regard to the indicator re the ITPGRFA</w:t>
            </w:r>
            <w:r>
              <w:rPr>
                <w:lang w:val="en-GB"/>
              </w:rPr>
              <w:t xml:space="preserve"> as included</w:t>
            </w:r>
            <w:r w:rsidR="00E878C3">
              <w:rPr>
                <w:lang w:val="en-GB"/>
              </w:rPr>
              <w:t xml:space="preserve"> </w:t>
            </w:r>
            <w:r w:rsidR="007936AE">
              <w:rPr>
                <w:lang w:val="en-GB"/>
              </w:rPr>
              <w:t>i.e.</w:t>
            </w:r>
            <w:r w:rsidR="00E878C3">
              <w:rPr>
                <w:lang w:val="en-GB"/>
              </w:rPr>
              <w:t xml:space="preserve"> </w:t>
            </w:r>
            <w:r>
              <w:rPr>
                <w:lang w:val="en-GB"/>
              </w:rPr>
              <w:t>‘</w:t>
            </w:r>
            <w:r w:rsidR="00E878C3">
              <w:rPr>
                <w:lang w:val="en-GB"/>
              </w:rPr>
              <w:t>the</w:t>
            </w:r>
            <w:r w:rsidR="007936AE">
              <w:rPr>
                <w:lang w:val="en-GB"/>
              </w:rPr>
              <w:t xml:space="preserve"> total</w:t>
            </w:r>
            <w:r w:rsidR="00E878C3">
              <w:rPr>
                <w:lang w:val="en-GB"/>
              </w:rPr>
              <w:t xml:space="preserve"> number of transfers from the MLS received by a country</w:t>
            </w:r>
            <w:r>
              <w:rPr>
                <w:lang w:val="en-GB"/>
              </w:rPr>
              <w:t>’</w:t>
            </w:r>
            <w:r w:rsidR="00E878C3">
              <w:rPr>
                <w:lang w:val="en-GB"/>
              </w:rPr>
              <w:t xml:space="preserve">, </w:t>
            </w:r>
            <w:r w:rsidR="00AE7DBC">
              <w:rPr>
                <w:lang w:val="en-GB"/>
              </w:rPr>
              <w:t>we would like to</w:t>
            </w:r>
            <w:r w:rsidR="00E878C3">
              <w:rPr>
                <w:lang w:val="en-GB"/>
              </w:rPr>
              <w:t xml:space="preserve"> poin</w:t>
            </w:r>
            <w:r w:rsidR="00C0183B">
              <w:rPr>
                <w:lang w:val="en-GB"/>
              </w:rPr>
              <w:t>t</w:t>
            </w:r>
            <w:r w:rsidR="00E878C3">
              <w:rPr>
                <w:lang w:val="en-GB"/>
              </w:rPr>
              <w:t xml:space="preserve"> out that this indicator does not take into due consideration the access of PGRFA </w:t>
            </w:r>
            <w:r>
              <w:rPr>
                <w:lang w:val="en-GB"/>
              </w:rPr>
              <w:t>from</w:t>
            </w:r>
            <w:r w:rsidR="00E878C3">
              <w:rPr>
                <w:lang w:val="en-GB"/>
              </w:rPr>
              <w:t xml:space="preserve"> non-parties, nor does it consider that the vast majority of transfers are between the CG centres.  In addition, also the transfer to users of the private sector does not seem to be considered.</w:t>
            </w:r>
            <w:r>
              <w:rPr>
                <w:lang w:val="en-GB"/>
              </w:rPr>
              <w:t xml:space="preserve"> Furthermore, it does not assess</w:t>
            </w:r>
            <w:r w:rsidR="00DD0B96">
              <w:rPr>
                <w:lang w:val="en-GB"/>
              </w:rPr>
              <w:t xml:space="preserve"> the amount of material that should be transferred under the MLS, but actually is not.</w:t>
            </w:r>
            <w:r>
              <w:rPr>
                <w:lang w:val="en-GB"/>
              </w:rPr>
              <w:t xml:space="preserve"> </w:t>
            </w:r>
            <w:r w:rsidR="00E878C3">
              <w:rPr>
                <w:lang w:val="en-GB"/>
              </w:rPr>
              <w:t xml:space="preserve"> </w:t>
            </w:r>
            <w:r w:rsidR="007936AE">
              <w:rPr>
                <w:lang w:val="en-GB"/>
              </w:rPr>
              <w:t xml:space="preserve">The transfer and use of PGRFA has a multi-layered character which should be duly regarded. </w:t>
            </w:r>
            <w:r w:rsidR="0096099C">
              <w:rPr>
                <w:lang w:val="en-GB"/>
              </w:rPr>
              <w:t xml:space="preserve"> </w:t>
            </w:r>
          </w:p>
        </w:tc>
      </w:tr>
      <w:tr w:rsidR="003D2B52" w:rsidRPr="009B0E32" w14:paraId="2BD129BA" w14:textId="77777777" w:rsidTr="00C541E9">
        <w:trPr>
          <w:trHeight w:val="224"/>
        </w:trPr>
        <w:tc>
          <w:tcPr>
            <w:tcW w:w="327" w:type="pct"/>
          </w:tcPr>
          <w:p w14:paraId="18120123" w14:textId="77777777" w:rsidR="00A41520" w:rsidRPr="00A41520" w:rsidRDefault="00A41520" w:rsidP="00A41520">
            <w:pPr>
              <w:rPr>
                <w:lang w:val="en-US"/>
              </w:rPr>
            </w:pPr>
            <w:r w:rsidRPr="00A41520">
              <w:rPr>
                <w:lang w:val="en-US"/>
              </w:rPr>
              <w:lastRenderedPageBreak/>
              <w:t>2</w:t>
            </w:r>
          </w:p>
        </w:tc>
        <w:tc>
          <w:tcPr>
            <w:tcW w:w="356" w:type="pct"/>
          </w:tcPr>
          <w:p w14:paraId="05C25BC8" w14:textId="77777777" w:rsidR="00A41520" w:rsidRPr="00A41520" w:rsidRDefault="00A41520" w:rsidP="00A41520">
            <w:pPr>
              <w:rPr>
                <w:lang w:val="en-US"/>
              </w:rPr>
            </w:pPr>
            <w:r w:rsidRPr="00A41520">
              <w:rPr>
                <w:lang w:val="en-US"/>
              </w:rPr>
              <w:t>23</w:t>
            </w:r>
          </w:p>
        </w:tc>
        <w:tc>
          <w:tcPr>
            <w:tcW w:w="624" w:type="pct"/>
          </w:tcPr>
          <w:p w14:paraId="32761C3D" w14:textId="77777777" w:rsidR="00A41520" w:rsidRDefault="00A41520" w:rsidP="00A41520">
            <w:pPr>
              <w:rPr>
                <w:lang w:val="en-US"/>
              </w:rPr>
            </w:pPr>
            <w:r w:rsidRPr="00A41520">
              <w:rPr>
                <w:lang w:val="en-US"/>
              </w:rPr>
              <w:t>T12.2</w:t>
            </w:r>
          </w:p>
          <w:p w14:paraId="0C47C6C0" w14:textId="4BB3869A" w:rsidR="001D1AB0" w:rsidRPr="00A41520" w:rsidRDefault="001D1AB0" w:rsidP="00A41520">
            <w:pPr>
              <w:rPr>
                <w:lang w:val="en-US"/>
              </w:rPr>
            </w:pPr>
            <w:r w:rsidRPr="007131C3">
              <w:rPr>
                <w:lang w:val="en-GB"/>
              </w:rPr>
              <w:lastRenderedPageBreak/>
              <w:t>Benefit shared from the use of genetic resources</w:t>
            </w:r>
          </w:p>
        </w:tc>
        <w:tc>
          <w:tcPr>
            <w:tcW w:w="913" w:type="pct"/>
          </w:tcPr>
          <w:p w14:paraId="461FDEB9" w14:textId="77777777" w:rsidR="00A41520" w:rsidRDefault="00A41520" w:rsidP="00A41520">
            <w:pPr>
              <w:rPr>
                <w:lang w:val="en-US"/>
              </w:rPr>
            </w:pPr>
            <w:r w:rsidRPr="00A41520">
              <w:rPr>
                <w:lang w:val="en-US"/>
              </w:rPr>
              <w:lastRenderedPageBreak/>
              <w:t>146</w:t>
            </w:r>
          </w:p>
          <w:p w14:paraId="5FAE94C5" w14:textId="77777777" w:rsidR="009A3BC8" w:rsidRDefault="006B4D16" w:rsidP="009A3BC8">
            <w:pPr>
              <w:spacing w:after="0"/>
              <w:rPr>
                <w:lang w:val="en-US"/>
              </w:rPr>
            </w:pPr>
            <w:r w:rsidRPr="0048371B">
              <w:rPr>
                <w:i/>
                <w:iCs/>
                <w:lang w:val="en-US"/>
              </w:rPr>
              <w:lastRenderedPageBreak/>
              <w:t>Mo</w:t>
            </w:r>
            <w:r w:rsidR="0048371B" w:rsidRPr="0048371B">
              <w:rPr>
                <w:i/>
                <w:iCs/>
                <w:lang w:val="en-US"/>
              </w:rPr>
              <w:t>nitoring element</w:t>
            </w:r>
            <w:r w:rsidR="0048371B">
              <w:rPr>
                <w:lang w:val="en-US"/>
              </w:rPr>
              <w:t xml:space="preserve">:  </w:t>
            </w:r>
          </w:p>
          <w:p w14:paraId="6A80D50B" w14:textId="5544CBD5" w:rsidR="006B4D16" w:rsidRPr="00925BC2" w:rsidRDefault="007444C2" w:rsidP="00925BC2">
            <w:pPr>
              <w:spacing w:after="0"/>
              <w:rPr>
                <w:lang w:val="en-GB"/>
              </w:rPr>
            </w:pPr>
            <w:r w:rsidRPr="00BD5037">
              <w:rPr>
                <w:lang w:val="en-GB"/>
              </w:rPr>
              <w:t xml:space="preserve">- </w:t>
            </w:r>
            <w:r w:rsidR="0048371B" w:rsidRPr="007131C3">
              <w:rPr>
                <w:lang w:val="en-GB"/>
              </w:rPr>
              <w:t>Trends in the benefits from the access to genetic resources shared</w:t>
            </w:r>
          </w:p>
          <w:p w14:paraId="6056B79F" w14:textId="77777777" w:rsidR="009A3BC8" w:rsidRPr="00BD5037" w:rsidRDefault="009A3BC8" w:rsidP="009A3BC8">
            <w:pPr>
              <w:spacing w:after="0"/>
              <w:rPr>
                <w:lang w:val="en-GB"/>
              </w:rPr>
            </w:pPr>
          </w:p>
          <w:p w14:paraId="1525DF88" w14:textId="77777777" w:rsidR="003D2776" w:rsidRDefault="0048371B" w:rsidP="003D2776">
            <w:pPr>
              <w:spacing w:after="0"/>
            </w:pPr>
            <w:r w:rsidRPr="0048371B">
              <w:rPr>
                <w:i/>
                <w:iCs/>
              </w:rPr>
              <w:t>Indicator</w:t>
            </w:r>
            <w:r>
              <w:t> :</w:t>
            </w:r>
          </w:p>
          <w:p w14:paraId="38A064FB" w14:textId="68FD2A63" w:rsidR="0048371B" w:rsidRPr="00A41520" w:rsidRDefault="0048371B" w:rsidP="003D2776">
            <w:pPr>
              <w:spacing w:after="0"/>
            </w:pPr>
            <w:proofErr w:type="spellStart"/>
            <w:r>
              <w:t>Currently</w:t>
            </w:r>
            <w:proofErr w:type="spellEnd"/>
            <w:r>
              <w:t xml:space="preserve"> non</w:t>
            </w:r>
            <w:r w:rsidR="003D2776">
              <w:t>e</w:t>
            </w:r>
            <w:r>
              <w:t xml:space="preserve"> </w:t>
            </w:r>
          </w:p>
        </w:tc>
        <w:tc>
          <w:tcPr>
            <w:tcW w:w="2780" w:type="pct"/>
          </w:tcPr>
          <w:p w14:paraId="3279E9BD" w14:textId="77777777" w:rsidR="00C0183B" w:rsidRDefault="00C0183B" w:rsidP="00A41520">
            <w:pPr>
              <w:rPr>
                <w:lang w:val="en-US"/>
              </w:rPr>
            </w:pPr>
          </w:p>
          <w:p w14:paraId="7C4EB19E" w14:textId="05D4405B" w:rsidR="00A41520" w:rsidRDefault="00A41520" w:rsidP="00A41520">
            <w:pPr>
              <w:rPr>
                <w:i/>
                <w:iCs/>
                <w:lang w:val="en-US"/>
              </w:rPr>
            </w:pPr>
            <w:r w:rsidRPr="00A41520">
              <w:rPr>
                <w:lang w:val="en-US"/>
              </w:rPr>
              <w:lastRenderedPageBreak/>
              <w:t xml:space="preserve">Suggestion </w:t>
            </w:r>
            <w:r w:rsidR="005E3C04">
              <w:rPr>
                <w:lang w:val="en-US"/>
              </w:rPr>
              <w:t xml:space="preserve">that the </w:t>
            </w:r>
            <w:r w:rsidR="003D2776">
              <w:rPr>
                <w:lang w:val="en-US"/>
              </w:rPr>
              <w:t>indicator</w:t>
            </w:r>
            <w:r w:rsidR="005E3C04">
              <w:rPr>
                <w:lang w:val="en-US"/>
              </w:rPr>
              <w:t xml:space="preserve">s should measure the </w:t>
            </w:r>
            <w:r w:rsidRPr="00F427F8">
              <w:rPr>
                <w:lang w:val="en-US"/>
              </w:rPr>
              <w:t>amount of the value created from</w:t>
            </w:r>
            <w:r w:rsidR="007B77F1" w:rsidRPr="00F427F8">
              <w:rPr>
                <w:lang w:val="en-US"/>
              </w:rPr>
              <w:t xml:space="preserve"> the utilization of</w:t>
            </w:r>
            <w:r w:rsidRPr="00F427F8">
              <w:rPr>
                <w:lang w:val="en-US"/>
              </w:rPr>
              <w:t xml:space="preserve"> genetic resources, that contributes to benefit-sharing objectives (which may comprise capacity building for R&amp;D or value chains or any parameter in </w:t>
            </w:r>
            <w:r w:rsidR="007B77F1" w:rsidRPr="00F427F8">
              <w:rPr>
                <w:lang w:val="en-US"/>
              </w:rPr>
              <w:t xml:space="preserve">the </w:t>
            </w:r>
            <w:r w:rsidRPr="00F427F8">
              <w:rPr>
                <w:lang w:val="en-US"/>
              </w:rPr>
              <w:t xml:space="preserve">Nagoya Protocol </w:t>
            </w:r>
            <w:r w:rsidR="007B77F1" w:rsidRPr="00F427F8">
              <w:rPr>
                <w:lang w:val="en-US"/>
              </w:rPr>
              <w:t>A</w:t>
            </w:r>
            <w:r w:rsidRPr="00F427F8">
              <w:rPr>
                <w:lang w:val="en-US"/>
              </w:rPr>
              <w:t>nnex</w:t>
            </w:r>
            <w:r w:rsidR="00882108">
              <w:rPr>
                <w:lang w:val="en-US"/>
              </w:rPr>
              <w:t>)</w:t>
            </w:r>
            <w:r w:rsidRPr="00F427F8">
              <w:rPr>
                <w:lang w:val="en-US"/>
              </w:rPr>
              <w:t>. Contribution</w:t>
            </w:r>
            <w:r w:rsidR="007B77F1" w:rsidRPr="00F427F8">
              <w:rPr>
                <w:lang w:val="en-US"/>
              </w:rPr>
              <w:t>s</w:t>
            </w:r>
            <w:r w:rsidRPr="00F427F8">
              <w:rPr>
                <w:lang w:val="en-US"/>
              </w:rPr>
              <w:t xml:space="preserve"> can be in the form of monetary and/or non-monetary shared benefits. It can be via ABS redistribution mechanisms, and/or via other mechanisms</w:t>
            </w:r>
            <w:r w:rsidR="007B77F1">
              <w:rPr>
                <w:i/>
                <w:iCs/>
                <w:lang w:val="en-US"/>
              </w:rPr>
              <w:t>.</w:t>
            </w:r>
          </w:p>
          <w:p w14:paraId="206E12F2" w14:textId="515354F0" w:rsidR="005E3C04" w:rsidRPr="00925BC2" w:rsidRDefault="005E3C04" w:rsidP="00A41520">
            <w:pPr>
              <w:rPr>
                <w:lang w:val="en-US"/>
              </w:rPr>
            </w:pPr>
            <w:r>
              <w:rPr>
                <w:lang w:val="en-GB"/>
              </w:rPr>
              <w:t xml:space="preserve">Specific indicators could include: </w:t>
            </w:r>
            <w:r w:rsidRPr="00A41520">
              <w:rPr>
                <w:lang w:val="en-GB"/>
              </w:rPr>
              <w:t>number (value) of R&amp;D projects set</w:t>
            </w:r>
            <w:r w:rsidR="00621D7B">
              <w:rPr>
                <w:lang w:val="en-GB"/>
              </w:rPr>
              <w:t xml:space="preserve"> </w:t>
            </w:r>
            <w:r w:rsidRPr="00A41520">
              <w:rPr>
                <w:lang w:val="en-GB"/>
              </w:rPr>
              <w:t>up in the provider country, number (value) of infrastructure/labs set</w:t>
            </w:r>
            <w:r w:rsidR="00621D7B">
              <w:rPr>
                <w:lang w:val="en-GB"/>
              </w:rPr>
              <w:t xml:space="preserve"> </w:t>
            </w:r>
            <w:r w:rsidRPr="00A41520">
              <w:rPr>
                <w:lang w:val="en-GB"/>
              </w:rPr>
              <w:t xml:space="preserve">up in provider country, number of </w:t>
            </w:r>
            <w:r w:rsidRPr="00CE0DE7">
              <w:rPr>
                <w:lang w:val="en-GB"/>
              </w:rPr>
              <w:t xml:space="preserve">accessions deposited in international databases by each and every country, </w:t>
            </w:r>
            <w:r w:rsidR="00D26715" w:rsidRPr="00CE0DE7">
              <w:rPr>
                <w:lang w:val="en-GB"/>
              </w:rPr>
              <w:t xml:space="preserve">use of information in international databases </w:t>
            </w:r>
            <w:r w:rsidR="00D00C56" w:rsidRPr="00CE0DE7">
              <w:rPr>
                <w:lang w:val="en-GB"/>
              </w:rPr>
              <w:t>by researchers in different countries,</w:t>
            </w:r>
            <w:r w:rsidR="00D00C56">
              <w:rPr>
                <w:lang w:val="en-GB"/>
              </w:rPr>
              <w:t xml:space="preserve"> </w:t>
            </w:r>
            <w:r w:rsidR="00D26715">
              <w:rPr>
                <w:lang w:val="en-GB"/>
              </w:rPr>
              <w:t xml:space="preserve"> </w:t>
            </w:r>
            <w:r w:rsidRPr="00A41520">
              <w:rPr>
                <w:lang w:val="en-GB"/>
              </w:rPr>
              <w:t>number of best practices</w:t>
            </w:r>
            <w:r>
              <w:rPr>
                <w:lang w:val="en-GB"/>
              </w:rPr>
              <w:t xml:space="preserve"> and/or</w:t>
            </w:r>
            <w:r w:rsidRPr="00A41520">
              <w:rPr>
                <w:lang w:val="en-GB"/>
              </w:rPr>
              <w:t xml:space="preserve"> standards developed  (this is related to the fact that capacity building should be explicitly addressed and a qualitative indicator should be developed in relation thereto</w:t>
            </w:r>
            <w:r w:rsidR="00087F51">
              <w:rPr>
                <w:lang w:val="en-GB"/>
              </w:rPr>
              <w:t>).</w:t>
            </w:r>
          </w:p>
          <w:p w14:paraId="720102B1" w14:textId="77777777" w:rsidR="00A41520" w:rsidRPr="00A41520" w:rsidRDefault="00A41520" w:rsidP="00A41520">
            <w:pPr>
              <w:rPr>
                <w:lang w:val="en-US"/>
              </w:rPr>
            </w:pPr>
          </w:p>
        </w:tc>
      </w:tr>
      <w:tr w:rsidR="003D2B52" w:rsidRPr="009B0E32" w14:paraId="7361B68A" w14:textId="77777777" w:rsidTr="00C541E9">
        <w:trPr>
          <w:trHeight w:val="224"/>
        </w:trPr>
        <w:tc>
          <w:tcPr>
            <w:tcW w:w="327" w:type="pct"/>
          </w:tcPr>
          <w:p w14:paraId="123A8DEE" w14:textId="77777777" w:rsidR="00A41520" w:rsidRPr="00A41520" w:rsidRDefault="00A41520" w:rsidP="00A41520">
            <w:pPr>
              <w:rPr>
                <w:lang w:val="en-US"/>
              </w:rPr>
            </w:pPr>
            <w:r w:rsidRPr="00A41520">
              <w:rPr>
                <w:lang w:val="en-US"/>
              </w:rPr>
              <w:lastRenderedPageBreak/>
              <w:t>2</w:t>
            </w:r>
          </w:p>
        </w:tc>
        <w:tc>
          <w:tcPr>
            <w:tcW w:w="356" w:type="pct"/>
          </w:tcPr>
          <w:p w14:paraId="6B639044" w14:textId="77777777" w:rsidR="00A41520" w:rsidRPr="00A41520" w:rsidRDefault="00A41520" w:rsidP="00A41520">
            <w:pPr>
              <w:rPr>
                <w:lang w:val="en-US"/>
              </w:rPr>
            </w:pPr>
            <w:r w:rsidRPr="00A41520">
              <w:rPr>
                <w:lang w:val="en-US"/>
              </w:rPr>
              <w:t>23</w:t>
            </w:r>
          </w:p>
        </w:tc>
        <w:tc>
          <w:tcPr>
            <w:tcW w:w="624" w:type="pct"/>
          </w:tcPr>
          <w:p w14:paraId="65A2725E" w14:textId="77777777" w:rsidR="00A41520" w:rsidRPr="00A41520" w:rsidRDefault="00A41520" w:rsidP="00A41520">
            <w:pPr>
              <w:rPr>
                <w:lang w:val="en-US"/>
              </w:rPr>
            </w:pPr>
            <w:r w:rsidRPr="00A41520">
              <w:rPr>
                <w:lang w:val="en-US"/>
              </w:rPr>
              <w:t>T12.2</w:t>
            </w:r>
          </w:p>
        </w:tc>
        <w:tc>
          <w:tcPr>
            <w:tcW w:w="913" w:type="pct"/>
          </w:tcPr>
          <w:p w14:paraId="44F770C3" w14:textId="77777777" w:rsidR="00A41520" w:rsidRDefault="00A41520" w:rsidP="00A41520">
            <w:pPr>
              <w:rPr>
                <w:lang w:val="en-US"/>
              </w:rPr>
            </w:pPr>
            <w:r w:rsidRPr="00A41520">
              <w:rPr>
                <w:lang w:val="en-US"/>
              </w:rPr>
              <w:t>147-148</w:t>
            </w:r>
          </w:p>
          <w:p w14:paraId="3C4CB2F2" w14:textId="77777777" w:rsidR="009A3BC8" w:rsidRDefault="009A3BC8" w:rsidP="009A3BC8">
            <w:pPr>
              <w:spacing w:after="0"/>
              <w:rPr>
                <w:lang w:val="en-US"/>
              </w:rPr>
            </w:pPr>
            <w:r w:rsidRPr="0048371B">
              <w:rPr>
                <w:i/>
                <w:iCs/>
                <w:lang w:val="en-US"/>
              </w:rPr>
              <w:t>Monitoring element</w:t>
            </w:r>
            <w:r>
              <w:rPr>
                <w:lang w:val="en-US"/>
              </w:rPr>
              <w:t xml:space="preserve">:  </w:t>
            </w:r>
          </w:p>
          <w:p w14:paraId="62424E46" w14:textId="00D5C480" w:rsidR="009A3BC8" w:rsidRDefault="007444C2" w:rsidP="009A3BC8">
            <w:pPr>
              <w:spacing w:after="0"/>
              <w:rPr>
                <w:lang w:val="en-GB"/>
              </w:rPr>
            </w:pPr>
            <w:r w:rsidRPr="007444C2">
              <w:rPr>
                <w:lang w:val="en-GB"/>
              </w:rPr>
              <w:t xml:space="preserve">- </w:t>
            </w:r>
            <w:r w:rsidR="009A3BC8" w:rsidRPr="007131C3">
              <w:rPr>
                <w:lang w:val="en-GB"/>
              </w:rPr>
              <w:t>Trends in the number of countries that have adopted legislative, administrative or policy frameworks to ensure fair and equitable sharing of benefits</w:t>
            </w:r>
            <w:r w:rsidR="00C86A22" w:rsidRPr="00C86A22">
              <w:rPr>
                <w:lang w:val="en-GB"/>
              </w:rPr>
              <w:t>.</w:t>
            </w:r>
          </w:p>
          <w:p w14:paraId="3649146B" w14:textId="77777777" w:rsidR="00C86A22" w:rsidRDefault="00C86A22" w:rsidP="009A3BC8">
            <w:pPr>
              <w:spacing w:after="0"/>
              <w:rPr>
                <w:lang w:val="en-GB"/>
              </w:rPr>
            </w:pPr>
          </w:p>
          <w:p w14:paraId="1FCB122A" w14:textId="7D624823" w:rsidR="00C86A22" w:rsidRDefault="00C86A22" w:rsidP="009A3BC8">
            <w:pPr>
              <w:spacing w:after="0"/>
              <w:rPr>
                <w:lang w:val="en-GB"/>
              </w:rPr>
            </w:pPr>
            <w:r w:rsidRPr="00C86A22">
              <w:rPr>
                <w:i/>
                <w:iCs/>
                <w:lang w:val="en-GB"/>
              </w:rPr>
              <w:t>Indicators</w:t>
            </w:r>
            <w:r>
              <w:rPr>
                <w:lang w:val="en-GB"/>
              </w:rPr>
              <w:t>:</w:t>
            </w:r>
          </w:p>
          <w:p w14:paraId="7C8AD138" w14:textId="07536615" w:rsidR="00C20C1E" w:rsidRPr="007131C3" w:rsidRDefault="007444C2" w:rsidP="00C20C1E">
            <w:pPr>
              <w:pBdr>
                <w:bottom w:val="single" w:sz="6" w:space="1" w:color="auto"/>
              </w:pBdr>
              <w:spacing w:after="0"/>
              <w:rPr>
                <w:lang w:val="en-GB"/>
              </w:rPr>
            </w:pPr>
            <w:r w:rsidRPr="007444C2">
              <w:rPr>
                <w:lang w:val="en-GB"/>
              </w:rPr>
              <w:t xml:space="preserve">- </w:t>
            </w:r>
            <w:r w:rsidR="00C86A22" w:rsidRPr="007131C3">
              <w:rPr>
                <w:lang w:val="en-GB"/>
              </w:rPr>
              <w:t>Number of countries that have legislative, administrative and policy frameworks or measures reported to the ABS Clearing-House</w:t>
            </w:r>
          </w:p>
          <w:p w14:paraId="50084AAA" w14:textId="77777777" w:rsidR="007444C2" w:rsidRPr="007131C3" w:rsidRDefault="007444C2" w:rsidP="00C20C1E">
            <w:pPr>
              <w:pBdr>
                <w:bottom w:val="single" w:sz="6" w:space="1" w:color="auto"/>
              </w:pBdr>
              <w:spacing w:after="0"/>
              <w:rPr>
                <w:lang w:val="en-GB"/>
              </w:rPr>
            </w:pPr>
          </w:p>
          <w:p w14:paraId="240A6F1F" w14:textId="7E502769" w:rsidR="00C86A22" w:rsidRPr="00A41520" w:rsidRDefault="007444C2" w:rsidP="00C20C1E">
            <w:pPr>
              <w:pBdr>
                <w:bottom w:val="single" w:sz="6" w:space="1" w:color="auto"/>
              </w:pBdr>
              <w:spacing w:after="0"/>
              <w:rPr>
                <w:lang w:val="en-GB"/>
              </w:rPr>
            </w:pPr>
            <w:r w:rsidRPr="007444C2">
              <w:rPr>
                <w:lang w:val="en-GB"/>
              </w:rPr>
              <w:lastRenderedPageBreak/>
              <w:t>-</w:t>
            </w:r>
            <w:r>
              <w:rPr>
                <w:lang w:val="en-GB"/>
              </w:rPr>
              <w:t xml:space="preserve"> </w:t>
            </w:r>
            <w:r w:rsidR="00610D45" w:rsidRPr="007131C3">
              <w:rPr>
                <w:lang w:val="en-GB"/>
              </w:rPr>
              <w:t>Number of countries that have adopted legislative, administrative and policy frameworks to ensure fair and equitable sharing of benefits (SDG Indicator 15.6.1)</w:t>
            </w:r>
          </w:p>
        </w:tc>
        <w:tc>
          <w:tcPr>
            <w:tcW w:w="2780" w:type="pct"/>
          </w:tcPr>
          <w:p w14:paraId="3F55AC1D" w14:textId="73D41E89" w:rsidR="00A41520" w:rsidRPr="000D3128" w:rsidRDefault="00A41520" w:rsidP="00A41520">
            <w:pPr>
              <w:rPr>
                <w:lang w:val="en-GB"/>
              </w:rPr>
            </w:pPr>
            <w:r w:rsidRPr="00A41520">
              <w:rPr>
                <w:lang w:val="en-GB"/>
              </w:rPr>
              <w:lastRenderedPageBreak/>
              <w:t xml:space="preserve">As is the case for the indicators re access, the indicators on  benefit sharing </w:t>
            </w:r>
            <w:r w:rsidR="00882108" w:rsidRPr="00A41520">
              <w:rPr>
                <w:lang w:val="en-GB"/>
              </w:rPr>
              <w:t xml:space="preserve">also </w:t>
            </w:r>
            <w:r w:rsidRPr="00A41520">
              <w:rPr>
                <w:lang w:val="en-GB"/>
              </w:rPr>
              <w:t xml:space="preserve">focus on the number of countries that have adopted and published legislative, administrative and policy measures.  </w:t>
            </w:r>
            <w:r w:rsidR="007328AB">
              <w:rPr>
                <w:lang w:val="en-GB"/>
              </w:rPr>
              <w:t>Thus again, t</w:t>
            </w:r>
            <w:r w:rsidRPr="00A41520">
              <w:rPr>
                <w:lang w:val="en-GB"/>
              </w:rPr>
              <w:t xml:space="preserve">his indicator </w:t>
            </w:r>
            <w:r w:rsidR="00BD5037">
              <w:rPr>
                <w:lang w:val="en-GB"/>
              </w:rPr>
              <w:t>conside</w:t>
            </w:r>
            <w:r w:rsidR="007328AB">
              <w:rPr>
                <w:lang w:val="en-GB"/>
              </w:rPr>
              <w:t>rs</w:t>
            </w:r>
            <w:r w:rsidRPr="00A41520">
              <w:rPr>
                <w:lang w:val="en-GB"/>
              </w:rPr>
              <w:t xml:space="preserve"> the number of measures or bureaucracy, as </w:t>
            </w:r>
            <w:r w:rsidR="00BD5037">
              <w:rPr>
                <w:lang w:val="en-GB"/>
              </w:rPr>
              <w:t>parameter</w:t>
            </w:r>
            <w:r w:rsidR="00D40ECE">
              <w:rPr>
                <w:lang w:val="en-GB"/>
              </w:rPr>
              <w:t>s of</w:t>
            </w:r>
            <w:r w:rsidR="00D40ECE" w:rsidRPr="00A41520">
              <w:rPr>
                <w:lang w:val="en-GB"/>
              </w:rPr>
              <w:t xml:space="preserve"> success</w:t>
            </w:r>
            <w:r w:rsidRPr="00A41520">
              <w:rPr>
                <w:lang w:val="en-GB"/>
              </w:rPr>
              <w:t>.  The focus should be on efficacy</w:t>
            </w:r>
            <w:r w:rsidR="007328AB">
              <w:rPr>
                <w:lang w:val="en-GB"/>
              </w:rPr>
              <w:t xml:space="preserve"> </w:t>
            </w:r>
            <w:r w:rsidR="00D40ECE" w:rsidRPr="000D3128">
              <w:rPr>
                <w:lang w:val="en-GB"/>
              </w:rPr>
              <w:t xml:space="preserve">and effectiveness </w:t>
            </w:r>
            <w:r w:rsidR="007328AB" w:rsidRPr="000D3128">
              <w:rPr>
                <w:lang w:val="en-GB"/>
              </w:rPr>
              <w:t>e.g.</w:t>
            </w:r>
            <w:r w:rsidR="00D40ECE" w:rsidRPr="000D3128">
              <w:rPr>
                <w:lang w:val="en-GB"/>
              </w:rPr>
              <w:t xml:space="preserve"> </w:t>
            </w:r>
            <w:r w:rsidRPr="000D3128">
              <w:rPr>
                <w:lang w:val="en-GB"/>
              </w:rPr>
              <w:t>workable policies and regulations</w:t>
            </w:r>
            <w:r w:rsidR="00C560BF" w:rsidRPr="000D3128">
              <w:rPr>
                <w:lang w:val="en-GB"/>
              </w:rPr>
              <w:t xml:space="preserve"> and impact.</w:t>
            </w:r>
            <w:r w:rsidRPr="000D3128">
              <w:rPr>
                <w:lang w:val="en-GB"/>
              </w:rPr>
              <w:t xml:space="preserve">. </w:t>
            </w:r>
          </w:p>
          <w:p w14:paraId="4A45FEB9" w14:textId="085EBE26" w:rsidR="00A41520" w:rsidRPr="00A41520" w:rsidRDefault="00D517F6" w:rsidP="00A41520">
            <w:pPr>
              <w:rPr>
                <w:lang w:val="en-GB"/>
              </w:rPr>
            </w:pPr>
            <w:r w:rsidRPr="000D3128">
              <w:rPr>
                <w:lang w:val="en-GB"/>
              </w:rPr>
              <w:t>We reiterate t</w:t>
            </w:r>
            <w:r w:rsidR="00A41520" w:rsidRPr="000D3128">
              <w:rPr>
                <w:lang w:val="en-GB"/>
              </w:rPr>
              <w:t>he comments made above relat</w:t>
            </w:r>
            <w:r w:rsidR="00EE571E" w:rsidRPr="000D3128">
              <w:rPr>
                <w:lang w:val="en-GB"/>
              </w:rPr>
              <w:t>ing</w:t>
            </w:r>
            <w:r w:rsidR="00A41520" w:rsidRPr="000D3128">
              <w:rPr>
                <w:lang w:val="en-GB"/>
              </w:rPr>
              <w:t xml:space="preserve"> to the erroneous assumption that regulating ABS is a positive indication </w:t>
            </w:r>
            <w:r w:rsidR="00874A4B" w:rsidRPr="000D3128">
              <w:rPr>
                <w:lang w:val="en-GB"/>
              </w:rPr>
              <w:t xml:space="preserve">of value creation </w:t>
            </w:r>
            <w:r w:rsidR="00A41520" w:rsidRPr="000D3128">
              <w:rPr>
                <w:lang w:val="en-GB"/>
              </w:rPr>
              <w:t>per</w:t>
            </w:r>
            <w:r w:rsidR="00A41520" w:rsidRPr="00A41520">
              <w:rPr>
                <w:lang w:val="en-GB"/>
              </w:rPr>
              <w:t xml:space="preserve"> se (thereby also negating the sovereign right of a country not to regulate ABS)</w:t>
            </w:r>
            <w:r w:rsidR="00BD411F">
              <w:rPr>
                <w:lang w:val="en-GB"/>
              </w:rPr>
              <w:t>.</w:t>
            </w:r>
            <w:r w:rsidR="00A41520" w:rsidRPr="00A41520">
              <w:rPr>
                <w:lang w:val="en-GB"/>
              </w:rPr>
              <w:t xml:space="preserve">  </w:t>
            </w:r>
          </w:p>
          <w:p w14:paraId="7CA2C3D7" w14:textId="59E35BD8" w:rsidR="00A41520" w:rsidRPr="00A41520" w:rsidRDefault="00A41520" w:rsidP="00A41520">
            <w:pPr>
              <w:rPr>
                <w:lang w:val="en-GB"/>
              </w:rPr>
            </w:pPr>
            <w:r w:rsidRPr="000D3128">
              <w:rPr>
                <w:lang w:val="en-GB"/>
              </w:rPr>
              <w:t>As pointed out above, since the focus should be on value creation, it is recommend</w:t>
            </w:r>
            <w:r w:rsidR="007328AB" w:rsidRPr="000D3128">
              <w:rPr>
                <w:lang w:val="en-GB"/>
              </w:rPr>
              <w:t>ed</w:t>
            </w:r>
            <w:r w:rsidRPr="000D3128">
              <w:rPr>
                <w:lang w:val="en-GB"/>
              </w:rPr>
              <w:t xml:space="preserve"> to also define qualitative indicator</w:t>
            </w:r>
            <w:r w:rsidR="00BD5037" w:rsidRPr="000D3128">
              <w:rPr>
                <w:lang w:val="en-GB"/>
              </w:rPr>
              <w:t xml:space="preserve">s </w:t>
            </w:r>
            <w:r w:rsidRPr="000D3128">
              <w:rPr>
                <w:lang w:val="en-GB"/>
              </w:rPr>
              <w:t>related to the use of genetic resources and the value of the innovation resulting therefrom</w:t>
            </w:r>
            <w:r w:rsidR="00BF106A" w:rsidRPr="000D3128">
              <w:rPr>
                <w:lang w:val="en-GB"/>
              </w:rPr>
              <w:t xml:space="preserve"> for society</w:t>
            </w:r>
            <w:r w:rsidRPr="000D3128">
              <w:rPr>
                <w:lang w:val="en-GB"/>
              </w:rPr>
              <w:t>.</w:t>
            </w:r>
            <w:r w:rsidRPr="00A41520">
              <w:rPr>
                <w:lang w:val="en-GB"/>
              </w:rPr>
              <w:t xml:space="preserve"> </w:t>
            </w:r>
          </w:p>
          <w:p w14:paraId="33531E8D" w14:textId="03410CFA" w:rsidR="00A41520" w:rsidRPr="00A41520" w:rsidRDefault="00A41520" w:rsidP="00A41520">
            <w:pPr>
              <w:rPr>
                <w:lang w:val="en-US"/>
              </w:rPr>
            </w:pPr>
            <w:r w:rsidRPr="00A41520">
              <w:rPr>
                <w:lang w:val="en-US"/>
              </w:rPr>
              <w:t xml:space="preserve">Suggestion to merge and re-formulate row 143,144,145,147,148 into a transparency indicator: </w:t>
            </w:r>
            <w:r w:rsidRPr="00A41520">
              <w:rPr>
                <w:i/>
                <w:iCs/>
                <w:lang w:val="en-US"/>
              </w:rPr>
              <w:t xml:space="preserve">Number of countries </w:t>
            </w:r>
            <w:r w:rsidR="00874A4B" w:rsidRPr="009C13BB">
              <w:rPr>
                <w:i/>
                <w:iCs/>
                <w:lang w:val="en-US"/>
              </w:rPr>
              <w:t>for which</w:t>
            </w:r>
            <w:r w:rsidR="00874A4B" w:rsidRPr="00A41520">
              <w:rPr>
                <w:i/>
                <w:iCs/>
                <w:lang w:val="en-US"/>
              </w:rPr>
              <w:t xml:space="preserve"> </w:t>
            </w:r>
            <w:r w:rsidRPr="00A41520">
              <w:rPr>
                <w:i/>
                <w:iCs/>
                <w:lang w:val="en-US"/>
              </w:rPr>
              <w:t>the ABS-CH has the complete and up-to-date set of laws and requirements relevant to ABS.</w:t>
            </w:r>
            <w:r w:rsidRPr="00A41520">
              <w:rPr>
                <w:lang w:val="en-US"/>
              </w:rPr>
              <w:t xml:space="preserve"> </w:t>
            </w:r>
          </w:p>
          <w:p w14:paraId="16C7D766" w14:textId="77777777" w:rsidR="00A41520" w:rsidRPr="00A41520" w:rsidRDefault="00A41520" w:rsidP="00A41520">
            <w:pPr>
              <w:rPr>
                <w:lang w:val="en-US"/>
              </w:rPr>
            </w:pPr>
          </w:p>
          <w:p w14:paraId="0B9F252C" w14:textId="77777777" w:rsidR="00A41520" w:rsidRPr="00A41520" w:rsidRDefault="00A41520" w:rsidP="00A41520">
            <w:pPr>
              <w:rPr>
                <w:lang w:val="en-GB"/>
              </w:rPr>
            </w:pPr>
          </w:p>
        </w:tc>
      </w:tr>
      <w:tr w:rsidR="003D2B52" w:rsidRPr="009B0E32" w14:paraId="747344AE" w14:textId="77777777" w:rsidTr="00C541E9">
        <w:trPr>
          <w:trHeight w:val="224"/>
        </w:trPr>
        <w:tc>
          <w:tcPr>
            <w:tcW w:w="327" w:type="pct"/>
          </w:tcPr>
          <w:p w14:paraId="06A4B6C2" w14:textId="77777777" w:rsidR="00A41520" w:rsidRPr="00A41520" w:rsidRDefault="00A41520" w:rsidP="00A41520">
            <w:pPr>
              <w:rPr>
                <w:lang w:val="en-US"/>
              </w:rPr>
            </w:pPr>
            <w:r w:rsidRPr="00A41520">
              <w:rPr>
                <w:lang w:val="en-US"/>
              </w:rPr>
              <w:lastRenderedPageBreak/>
              <w:t>2</w:t>
            </w:r>
          </w:p>
        </w:tc>
        <w:tc>
          <w:tcPr>
            <w:tcW w:w="356" w:type="pct"/>
          </w:tcPr>
          <w:p w14:paraId="7803F63B" w14:textId="77777777" w:rsidR="00A41520" w:rsidRPr="00A41520" w:rsidRDefault="00A41520" w:rsidP="00A41520">
            <w:pPr>
              <w:rPr>
                <w:lang w:val="en-US"/>
              </w:rPr>
            </w:pPr>
            <w:r w:rsidRPr="00A41520">
              <w:rPr>
                <w:lang w:val="en-US"/>
              </w:rPr>
              <w:t>23</w:t>
            </w:r>
          </w:p>
        </w:tc>
        <w:tc>
          <w:tcPr>
            <w:tcW w:w="624" w:type="pct"/>
          </w:tcPr>
          <w:p w14:paraId="4B0A39C2" w14:textId="77777777" w:rsidR="00A41520" w:rsidRPr="00A41520" w:rsidRDefault="00A41520" w:rsidP="00A41520">
            <w:pPr>
              <w:rPr>
                <w:lang w:val="en-US"/>
              </w:rPr>
            </w:pPr>
            <w:r w:rsidRPr="00A41520">
              <w:rPr>
                <w:lang w:val="en-US"/>
              </w:rPr>
              <w:t>T12.2</w:t>
            </w:r>
          </w:p>
        </w:tc>
        <w:tc>
          <w:tcPr>
            <w:tcW w:w="913" w:type="pct"/>
          </w:tcPr>
          <w:p w14:paraId="059A6844" w14:textId="77777777" w:rsidR="00A41520" w:rsidRDefault="00A41520" w:rsidP="00A41520">
            <w:pPr>
              <w:rPr>
                <w:lang w:val="en-US"/>
              </w:rPr>
            </w:pPr>
            <w:r w:rsidRPr="00A41520">
              <w:rPr>
                <w:lang w:val="en-US"/>
              </w:rPr>
              <w:t>149</w:t>
            </w:r>
          </w:p>
          <w:p w14:paraId="6DEC98FF" w14:textId="3AD04AB8" w:rsidR="007528A5" w:rsidRPr="007444C2" w:rsidRDefault="007528A5" w:rsidP="00235033">
            <w:pPr>
              <w:spacing w:after="0"/>
              <w:rPr>
                <w:i/>
                <w:iCs/>
                <w:lang w:val="en-GB"/>
              </w:rPr>
            </w:pPr>
            <w:r w:rsidRPr="007444C2">
              <w:rPr>
                <w:i/>
                <w:iCs/>
                <w:lang w:val="en-GB"/>
              </w:rPr>
              <w:t>Monitoring element :</w:t>
            </w:r>
          </w:p>
          <w:p w14:paraId="2294868D" w14:textId="6FACDC0B" w:rsidR="007528A5" w:rsidRPr="007131C3" w:rsidRDefault="007444C2" w:rsidP="00235033">
            <w:pPr>
              <w:spacing w:after="0"/>
              <w:rPr>
                <w:lang w:val="en-GB"/>
              </w:rPr>
            </w:pPr>
            <w:r w:rsidRPr="007444C2">
              <w:rPr>
                <w:lang w:val="en-GB"/>
              </w:rPr>
              <w:t xml:space="preserve">- </w:t>
            </w:r>
            <w:r w:rsidR="007528A5" w:rsidRPr="007131C3">
              <w:rPr>
                <w:lang w:val="en-GB"/>
              </w:rPr>
              <w:t>Trends in the contribution of benefits to conservation and sustainable use</w:t>
            </w:r>
          </w:p>
          <w:p w14:paraId="45B6A4B4" w14:textId="77777777" w:rsidR="007528A5" w:rsidRPr="007131C3" w:rsidRDefault="007528A5" w:rsidP="00A41520">
            <w:pPr>
              <w:rPr>
                <w:lang w:val="en-GB"/>
              </w:rPr>
            </w:pPr>
          </w:p>
          <w:p w14:paraId="72012000" w14:textId="113F0005" w:rsidR="007528A5" w:rsidRPr="00235033" w:rsidRDefault="007528A5" w:rsidP="00235033">
            <w:pPr>
              <w:spacing w:after="0"/>
              <w:rPr>
                <w:lang w:val="en-GB"/>
              </w:rPr>
            </w:pPr>
            <w:r w:rsidRPr="00235033">
              <w:rPr>
                <w:i/>
                <w:iCs/>
                <w:lang w:val="en-GB"/>
              </w:rPr>
              <w:t>Indicators</w:t>
            </w:r>
            <w:r w:rsidRPr="00235033">
              <w:rPr>
                <w:lang w:val="en-GB"/>
              </w:rPr>
              <w:t> :</w:t>
            </w:r>
          </w:p>
          <w:p w14:paraId="35058E56" w14:textId="432E0D2E" w:rsidR="007528A5" w:rsidRPr="007131C3" w:rsidRDefault="007444C2" w:rsidP="00235033">
            <w:pPr>
              <w:spacing w:after="0"/>
              <w:rPr>
                <w:lang w:val="en-GB"/>
              </w:rPr>
            </w:pPr>
            <w:r w:rsidRPr="007444C2">
              <w:rPr>
                <w:lang w:val="en-GB"/>
              </w:rPr>
              <w:t xml:space="preserve">- </w:t>
            </w:r>
            <w:r w:rsidR="00235033" w:rsidRPr="007131C3">
              <w:rPr>
                <w:lang w:val="en-GB"/>
              </w:rPr>
              <w:t>Estimated % of monetary and non- monetary benefits directed towards conservation and sustainable use of biodiversity</w:t>
            </w:r>
          </w:p>
          <w:p w14:paraId="625698EC" w14:textId="31160689" w:rsidR="00ED23E1" w:rsidRPr="00A41520" w:rsidRDefault="00ED23E1" w:rsidP="00235033">
            <w:pPr>
              <w:spacing w:after="0"/>
              <w:rPr>
                <w:lang w:val="en-GB"/>
              </w:rPr>
            </w:pPr>
          </w:p>
        </w:tc>
        <w:tc>
          <w:tcPr>
            <w:tcW w:w="2780" w:type="pct"/>
          </w:tcPr>
          <w:p w14:paraId="7625A729" w14:textId="77777777" w:rsidR="009C13BB" w:rsidRDefault="009C13BB" w:rsidP="00A41520">
            <w:pPr>
              <w:rPr>
                <w:lang w:val="en-GB"/>
              </w:rPr>
            </w:pPr>
          </w:p>
          <w:p w14:paraId="2F358095" w14:textId="719B840C" w:rsidR="00A41520" w:rsidRPr="00A41520" w:rsidRDefault="00A41520" w:rsidP="00A41520">
            <w:pPr>
              <w:rPr>
                <w:lang w:val="en-GB"/>
              </w:rPr>
            </w:pPr>
            <w:r w:rsidRPr="00A41520">
              <w:rPr>
                <w:lang w:val="en-GB"/>
              </w:rPr>
              <w:t xml:space="preserve">The indicator on the actual benefits rightfully refers to monetary and non-monetary benefits (thereby acknowledging that to assess the real value the two need to be considered in a comprehensive manner).  </w:t>
            </w:r>
          </w:p>
          <w:p w14:paraId="40459379" w14:textId="2FEE37B4" w:rsidR="00A41520" w:rsidRPr="00A41520" w:rsidRDefault="00A41520" w:rsidP="00A41520">
            <w:pPr>
              <w:rPr>
                <w:lang w:val="en-GB"/>
              </w:rPr>
            </w:pPr>
            <w:r w:rsidRPr="00A41520">
              <w:rPr>
                <w:lang w:val="en-GB"/>
              </w:rPr>
              <w:t>This indicator should</w:t>
            </w:r>
            <w:r w:rsidR="007328AB">
              <w:rPr>
                <w:lang w:val="en-GB"/>
              </w:rPr>
              <w:t xml:space="preserve"> also</w:t>
            </w:r>
            <w:r w:rsidRPr="00A41520">
              <w:rPr>
                <w:lang w:val="en-GB"/>
              </w:rPr>
              <w:t xml:space="preserve"> reflect the complexity of socio-economic and scientific benefits created.  It is therefore important to note that the indicators need to be further refined and should provide tools for a meaningful comprehensive assessment.  The following elements should be addressed:</w:t>
            </w:r>
          </w:p>
          <w:p w14:paraId="0F57837A" w14:textId="5CC27251" w:rsidR="00A41520" w:rsidRPr="00A41520" w:rsidRDefault="00A41520" w:rsidP="00803AA3">
            <w:pPr>
              <w:numPr>
                <w:ilvl w:val="1"/>
                <w:numId w:val="1"/>
              </w:numPr>
              <w:ind w:left="533" w:hanging="437"/>
              <w:rPr>
                <w:lang w:val="en-GB"/>
              </w:rPr>
            </w:pPr>
            <w:r w:rsidRPr="00A41520">
              <w:rPr>
                <w:lang w:val="en-GB"/>
              </w:rPr>
              <w:t>The indicators should not be vague and general</w:t>
            </w:r>
            <w:r w:rsidR="00BD411F">
              <w:rPr>
                <w:lang w:val="en-GB"/>
              </w:rPr>
              <w:t>.</w:t>
            </w:r>
            <w:r w:rsidRPr="00A41520">
              <w:rPr>
                <w:lang w:val="en-GB"/>
              </w:rPr>
              <w:t xml:space="preserve"> </w:t>
            </w:r>
          </w:p>
          <w:p w14:paraId="2B5B87DC" w14:textId="651E76DA" w:rsidR="00A41520" w:rsidRPr="00406B5C" w:rsidRDefault="00A41520" w:rsidP="00803AA3">
            <w:pPr>
              <w:numPr>
                <w:ilvl w:val="1"/>
                <w:numId w:val="1"/>
              </w:numPr>
              <w:ind w:left="533" w:hanging="437"/>
              <w:rPr>
                <w:lang w:val="en-GB"/>
              </w:rPr>
            </w:pPr>
            <w:r w:rsidRPr="00406B5C">
              <w:rPr>
                <w:lang w:val="en-GB"/>
              </w:rPr>
              <w:t>The indicators should not solely focus on sharing from user</w:t>
            </w:r>
            <w:r w:rsidR="00BF106A" w:rsidRPr="00406B5C">
              <w:rPr>
                <w:lang w:val="en-GB"/>
              </w:rPr>
              <w:t>s</w:t>
            </w:r>
            <w:r w:rsidRPr="00406B5C">
              <w:rPr>
                <w:lang w:val="en-GB"/>
              </w:rPr>
              <w:t xml:space="preserve"> to provider countries, </w:t>
            </w:r>
            <w:r w:rsidR="009509B9" w:rsidRPr="00406B5C">
              <w:rPr>
                <w:lang w:val="en-GB"/>
              </w:rPr>
              <w:t>but</w:t>
            </w:r>
            <w:r w:rsidRPr="00406B5C">
              <w:rPr>
                <w:lang w:val="en-GB"/>
              </w:rPr>
              <w:t xml:space="preserve"> </w:t>
            </w:r>
            <w:r w:rsidR="00BF106A" w:rsidRPr="00406B5C">
              <w:rPr>
                <w:lang w:val="en-GB"/>
              </w:rPr>
              <w:t xml:space="preserve">recognize </w:t>
            </w:r>
            <w:r w:rsidRPr="00406B5C">
              <w:rPr>
                <w:lang w:val="en-GB"/>
              </w:rPr>
              <w:t xml:space="preserve">the actual value created </w:t>
            </w:r>
            <w:r w:rsidR="00BF106A" w:rsidRPr="00406B5C">
              <w:rPr>
                <w:lang w:val="en-GB"/>
              </w:rPr>
              <w:t>within countries from utilisation of genetic resources</w:t>
            </w:r>
            <w:r w:rsidR="00BD411F">
              <w:rPr>
                <w:lang w:val="en-GB"/>
              </w:rPr>
              <w:t>.</w:t>
            </w:r>
            <w:r w:rsidR="00BF106A" w:rsidRPr="00406B5C">
              <w:rPr>
                <w:lang w:val="en-GB"/>
              </w:rPr>
              <w:t xml:space="preserve">  </w:t>
            </w:r>
          </w:p>
          <w:p w14:paraId="7177C0A9" w14:textId="1483562F" w:rsidR="00A41520" w:rsidRPr="00A41520" w:rsidRDefault="00A41520" w:rsidP="00803AA3">
            <w:pPr>
              <w:numPr>
                <w:ilvl w:val="1"/>
                <w:numId w:val="1"/>
              </w:numPr>
              <w:ind w:left="533" w:hanging="437"/>
              <w:rPr>
                <w:b/>
                <w:bCs/>
                <w:lang w:val="en-GB"/>
              </w:rPr>
            </w:pPr>
            <w:r w:rsidRPr="00A41520">
              <w:rPr>
                <w:b/>
                <w:bCs/>
                <w:lang w:val="en-GB"/>
              </w:rPr>
              <w:t xml:space="preserve">The indicators should not be purely quantitative (number of or a percentage) and also include </w:t>
            </w:r>
            <w:r w:rsidRPr="0046417D">
              <w:rPr>
                <w:b/>
                <w:bCs/>
                <w:lang w:val="en-GB"/>
              </w:rPr>
              <w:t xml:space="preserve">key qualitative (value) elements.  This would enable </w:t>
            </w:r>
            <w:r w:rsidR="00BF106A" w:rsidRPr="0046417D">
              <w:rPr>
                <w:b/>
                <w:bCs/>
                <w:lang w:val="en-GB"/>
              </w:rPr>
              <w:t xml:space="preserve"> a more complete </w:t>
            </w:r>
            <w:r w:rsidRPr="0046417D">
              <w:rPr>
                <w:b/>
                <w:bCs/>
                <w:lang w:val="en-GB"/>
              </w:rPr>
              <w:t>assessment of the real value (economic impact assessment criteria for provider countries</w:t>
            </w:r>
            <w:r w:rsidRPr="00A41520">
              <w:rPr>
                <w:b/>
                <w:bCs/>
                <w:lang w:val="en-GB"/>
              </w:rPr>
              <w:t xml:space="preserve"> might be useful).</w:t>
            </w:r>
            <w:r w:rsidR="00874A4B" w:rsidRPr="002D38F2">
              <w:rPr>
                <w:b/>
                <w:bCs/>
                <w:highlight w:val="yellow"/>
                <w:lang w:val="en-GB"/>
              </w:rPr>
              <w:t xml:space="preserve"> </w:t>
            </w:r>
          </w:p>
          <w:p w14:paraId="1A270703" w14:textId="77777777" w:rsidR="00A41520" w:rsidRPr="00A41520" w:rsidRDefault="00A41520" w:rsidP="00803AA3">
            <w:pPr>
              <w:numPr>
                <w:ilvl w:val="1"/>
                <w:numId w:val="1"/>
              </w:numPr>
              <w:ind w:left="533" w:hanging="437"/>
              <w:rPr>
                <w:lang w:val="en-GB"/>
              </w:rPr>
            </w:pPr>
            <w:r w:rsidRPr="00A41520">
              <w:rPr>
                <w:lang w:val="en-GB"/>
              </w:rPr>
              <w:t>The actual value, including socio-economic value or benefits resulting from innovative products, i.e. re food security or human health should be explicitly included.</w:t>
            </w:r>
          </w:p>
          <w:p w14:paraId="6644BC0E" w14:textId="1FFC82E0" w:rsidR="00A41520" w:rsidRPr="00D04BEF" w:rsidRDefault="00A41520" w:rsidP="00803AA3">
            <w:pPr>
              <w:numPr>
                <w:ilvl w:val="1"/>
                <w:numId w:val="1"/>
              </w:numPr>
              <w:ind w:left="533" w:hanging="437"/>
              <w:rPr>
                <w:lang w:val="en-GB"/>
              </w:rPr>
            </w:pPr>
            <w:r w:rsidRPr="00925BC2">
              <w:rPr>
                <w:lang w:val="en-GB"/>
              </w:rPr>
              <w:t xml:space="preserve">The non-monetary benefits resulting from “open access </w:t>
            </w:r>
            <w:r w:rsidRPr="009632DA">
              <w:rPr>
                <w:lang w:val="en-GB"/>
              </w:rPr>
              <w:t xml:space="preserve">and exchange” should be </w:t>
            </w:r>
            <w:r w:rsidRPr="00D04BEF">
              <w:rPr>
                <w:lang w:val="en-GB"/>
              </w:rPr>
              <w:t>explicitly covered.</w:t>
            </w:r>
            <w:r w:rsidR="00874A4B" w:rsidRPr="00D50D3A">
              <w:rPr>
                <w:lang w:val="en-GB"/>
              </w:rPr>
              <w:t xml:space="preserve"> </w:t>
            </w:r>
          </w:p>
          <w:p w14:paraId="75EF473D" w14:textId="79ED4EFF" w:rsidR="00A41520" w:rsidRPr="00A41520" w:rsidRDefault="00A41520" w:rsidP="00803AA3">
            <w:pPr>
              <w:numPr>
                <w:ilvl w:val="1"/>
                <w:numId w:val="1"/>
              </w:numPr>
              <w:ind w:left="533" w:hanging="437"/>
              <w:rPr>
                <w:i/>
                <w:iCs/>
                <w:color w:val="FF0000"/>
                <w:lang w:val="en-GB"/>
              </w:rPr>
            </w:pPr>
            <w:r w:rsidRPr="00A41520">
              <w:rPr>
                <w:lang w:val="en-GB"/>
              </w:rPr>
              <w:lastRenderedPageBreak/>
              <w:t xml:space="preserve">There are a few additional elements that could be added to the list: number (value) of R&amp;D projects setup in the provider country, number (value) of infrastructure/labs setup in provider country, number of accessions </w:t>
            </w:r>
            <w:r w:rsidR="007328AB">
              <w:rPr>
                <w:lang w:val="en-GB"/>
              </w:rPr>
              <w:t>deposited in</w:t>
            </w:r>
            <w:r w:rsidRPr="00A41520">
              <w:rPr>
                <w:lang w:val="en-GB"/>
              </w:rPr>
              <w:t xml:space="preserve"> international databases by </w:t>
            </w:r>
            <w:r w:rsidR="00BD5037">
              <w:rPr>
                <w:lang w:val="en-GB"/>
              </w:rPr>
              <w:t>each and every</w:t>
            </w:r>
            <w:r w:rsidRPr="00A41520">
              <w:rPr>
                <w:lang w:val="en-GB"/>
              </w:rPr>
              <w:t xml:space="preserve"> countr</w:t>
            </w:r>
            <w:r w:rsidR="00BD5037">
              <w:rPr>
                <w:lang w:val="en-GB"/>
              </w:rPr>
              <w:t>y</w:t>
            </w:r>
            <w:r w:rsidRPr="00A41520">
              <w:rPr>
                <w:lang w:val="en-GB"/>
              </w:rPr>
              <w:t>, number of best practices</w:t>
            </w:r>
            <w:r w:rsidR="007328AB">
              <w:rPr>
                <w:lang w:val="en-GB"/>
              </w:rPr>
              <w:t xml:space="preserve"> and/or</w:t>
            </w:r>
            <w:r w:rsidRPr="00A41520">
              <w:rPr>
                <w:lang w:val="en-GB"/>
              </w:rPr>
              <w:t xml:space="preserve"> standards developed  (this is related to the fact that capacity building should be explicitly addressed and a qualitative indicator should be developed in relation thereto)</w:t>
            </w:r>
            <w:r w:rsidR="00BD5037">
              <w:rPr>
                <w:i/>
                <w:iCs/>
                <w:color w:val="FF0000"/>
                <w:lang w:val="en-GB"/>
              </w:rPr>
              <w:t>.</w:t>
            </w:r>
          </w:p>
          <w:p w14:paraId="747CD7E4" w14:textId="6A83381F" w:rsidR="00A41520" w:rsidRPr="00A41520" w:rsidRDefault="00A41520" w:rsidP="00A41520">
            <w:pPr>
              <w:rPr>
                <w:lang w:val="en-GB"/>
              </w:rPr>
            </w:pPr>
            <w:r w:rsidRPr="00A41520">
              <w:rPr>
                <w:lang w:val="en-GB"/>
              </w:rPr>
              <w:t>In addition,</w:t>
            </w:r>
            <w:r w:rsidR="007936AE">
              <w:rPr>
                <w:lang w:val="en-GB"/>
              </w:rPr>
              <w:t xml:space="preserve"> albeit that the objective of conservation of biodiversity under the CBD should be taken into consideration when allocating benefit sharing contributions,</w:t>
            </w:r>
            <w:r w:rsidRPr="00A41520">
              <w:rPr>
                <w:lang w:val="en-GB"/>
              </w:rPr>
              <w:t xml:space="preserve"> it is </w:t>
            </w:r>
            <w:r w:rsidR="00B0404E">
              <w:rPr>
                <w:lang w:val="en-GB"/>
              </w:rPr>
              <w:t xml:space="preserve">important to note that the monitoring always should keep in mind that the benefit sharing contributions will not be sufficient to finance all efforts required for biodiversity conservation; and that the broader financing of biodiversity </w:t>
            </w:r>
            <w:r w:rsidR="00B0404E" w:rsidRPr="00C541E9">
              <w:rPr>
                <w:lang w:val="en-GB"/>
              </w:rPr>
              <w:t>conservation is linked to the ongoing discussions on broader</w:t>
            </w:r>
            <w:r w:rsidR="00963325" w:rsidRPr="00C541E9">
              <w:rPr>
                <w:lang w:val="en-GB"/>
              </w:rPr>
              <w:t xml:space="preserve"> approaches to</w:t>
            </w:r>
            <w:r w:rsidR="00B0404E" w:rsidRPr="00C541E9">
              <w:rPr>
                <w:lang w:val="en-GB"/>
              </w:rPr>
              <w:t xml:space="preserve"> resource mobilisation, rather than</w:t>
            </w:r>
            <w:r w:rsidR="005464BD" w:rsidRPr="00C541E9">
              <w:rPr>
                <w:lang w:val="en-GB"/>
              </w:rPr>
              <w:t xml:space="preserve"> rely</w:t>
            </w:r>
            <w:r w:rsidR="00963325" w:rsidRPr="00C541E9">
              <w:rPr>
                <w:lang w:val="en-GB"/>
              </w:rPr>
              <w:t>ing primarily</w:t>
            </w:r>
            <w:r w:rsidR="005464BD" w:rsidRPr="00C541E9">
              <w:rPr>
                <w:lang w:val="en-GB"/>
              </w:rPr>
              <w:t xml:space="preserve"> on</w:t>
            </w:r>
            <w:r w:rsidR="00B0404E" w:rsidRPr="00C541E9">
              <w:rPr>
                <w:lang w:val="en-GB"/>
              </w:rPr>
              <w:t xml:space="preserve"> Access and Benefit Sharing.</w:t>
            </w:r>
            <w:r w:rsidR="00B0404E">
              <w:rPr>
                <w:lang w:val="en-GB"/>
              </w:rPr>
              <w:t xml:space="preserve">   </w:t>
            </w:r>
            <w:r w:rsidRPr="00A41520">
              <w:rPr>
                <w:lang w:val="en-GB"/>
              </w:rPr>
              <w:t xml:space="preserve">  </w:t>
            </w:r>
          </w:p>
        </w:tc>
      </w:tr>
      <w:tr w:rsidR="003D2B52" w:rsidRPr="009B0E32" w14:paraId="1DB7D665" w14:textId="77777777" w:rsidTr="009B0E32">
        <w:trPr>
          <w:trHeight w:val="3489"/>
        </w:trPr>
        <w:tc>
          <w:tcPr>
            <w:tcW w:w="327" w:type="pct"/>
          </w:tcPr>
          <w:p w14:paraId="051EB4FC" w14:textId="77777777" w:rsidR="00A41520" w:rsidRPr="00A41520" w:rsidRDefault="00A41520" w:rsidP="00A41520">
            <w:pPr>
              <w:rPr>
                <w:lang w:val="en-US"/>
              </w:rPr>
            </w:pPr>
            <w:r w:rsidRPr="00A41520">
              <w:rPr>
                <w:lang w:val="en-US"/>
              </w:rPr>
              <w:lastRenderedPageBreak/>
              <w:t>2</w:t>
            </w:r>
          </w:p>
        </w:tc>
        <w:tc>
          <w:tcPr>
            <w:tcW w:w="356" w:type="pct"/>
          </w:tcPr>
          <w:p w14:paraId="0611DF13" w14:textId="77777777" w:rsidR="00A41520" w:rsidRPr="00A41520" w:rsidRDefault="00A41520" w:rsidP="00A41520">
            <w:pPr>
              <w:rPr>
                <w:lang w:val="en-US"/>
              </w:rPr>
            </w:pPr>
            <w:r w:rsidRPr="00A41520">
              <w:rPr>
                <w:lang w:val="en-US"/>
              </w:rPr>
              <w:t>24</w:t>
            </w:r>
          </w:p>
        </w:tc>
        <w:tc>
          <w:tcPr>
            <w:tcW w:w="624" w:type="pct"/>
          </w:tcPr>
          <w:p w14:paraId="70EF7237" w14:textId="77777777" w:rsidR="00A41520" w:rsidRDefault="00A41520" w:rsidP="00CD6B06">
            <w:pPr>
              <w:spacing w:after="0"/>
              <w:rPr>
                <w:lang w:val="en-US"/>
              </w:rPr>
            </w:pPr>
            <w:r w:rsidRPr="00A41520">
              <w:rPr>
                <w:lang w:val="en-US"/>
              </w:rPr>
              <w:t>T12.3</w:t>
            </w:r>
          </w:p>
          <w:p w14:paraId="180D109D" w14:textId="77777777" w:rsidR="00ED23E1" w:rsidRPr="007131C3" w:rsidRDefault="00ED23E1" w:rsidP="00CD6B06">
            <w:pPr>
              <w:spacing w:after="0"/>
              <w:rPr>
                <w:lang w:val="en-GB"/>
              </w:rPr>
            </w:pPr>
            <w:r w:rsidRPr="007131C3">
              <w:rPr>
                <w:lang w:val="en-GB"/>
              </w:rPr>
              <w:t>Benefits resulting from use of traditional</w:t>
            </w:r>
          </w:p>
          <w:p w14:paraId="76A77FDD" w14:textId="0AF84CC3" w:rsidR="00CD6B06" w:rsidRPr="00A41520" w:rsidRDefault="00CD6B06" w:rsidP="00CD6B06">
            <w:pPr>
              <w:spacing w:after="0"/>
              <w:rPr>
                <w:lang w:val="en-GB"/>
              </w:rPr>
            </w:pPr>
            <w:r w:rsidRPr="007131C3">
              <w:rPr>
                <w:lang w:val="en-GB"/>
              </w:rPr>
              <w:t>knowledge associated with genetic resources</w:t>
            </w:r>
          </w:p>
        </w:tc>
        <w:tc>
          <w:tcPr>
            <w:tcW w:w="913" w:type="pct"/>
          </w:tcPr>
          <w:p w14:paraId="56E848F1" w14:textId="77777777" w:rsidR="00A41520" w:rsidRDefault="00A41520" w:rsidP="00A41520">
            <w:pPr>
              <w:rPr>
                <w:lang w:val="en-US"/>
              </w:rPr>
            </w:pPr>
            <w:r w:rsidRPr="00A41520">
              <w:rPr>
                <w:lang w:val="en-US"/>
              </w:rPr>
              <w:t>150-151</w:t>
            </w:r>
          </w:p>
          <w:p w14:paraId="1FF27161" w14:textId="32F44A51" w:rsidR="003E7FDD" w:rsidRPr="003E7FDD" w:rsidRDefault="003E7FDD" w:rsidP="00A41520">
            <w:pPr>
              <w:rPr>
                <w:i/>
                <w:iCs/>
                <w:lang w:val="en-US"/>
              </w:rPr>
            </w:pPr>
            <w:r w:rsidRPr="003E7FDD">
              <w:rPr>
                <w:i/>
                <w:iCs/>
                <w:lang w:val="en-US"/>
              </w:rPr>
              <w:t>Monitoring elements</w:t>
            </w:r>
            <w:r>
              <w:rPr>
                <w:i/>
                <w:iCs/>
                <w:lang w:val="en-US"/>
              </w:rPr>
              <w:t>:</w:t>
            </w:r>
          </w:p>
          <w:p w14:paraId="75DD9920" w14:textId="5A5424EA" w:rsidR="003E7FDD" w:rsidRDefault="007444C2" w:rsidP="00A41520">
            <w:pPr>
              <w:rPr>
                <w:lang w:val="en-GB"/>
              </w:rPr>
            </w:pPr>
            <w:r w:rsidRPr="007444C2">
              <w:rPr>
                <w:lang w:val="en-GB"/>
              </w:rPr>
              <w:t xml:space="preserve">- </w:t>
            </w:r>
            <w:r w:rsidR="003E7FDD" w:rsidRPr="007131C3">
              <w:rPr>
                <w:lang w:val="en-GB"/>
              </w:rPr>
              <w:t>Trends in use of traditional knowledge associated with genetic resources</w:t>
            </w:r>
            <w:r w:rsidR="00554AE3" w:rsidRPr="00554AE3">
              <w:rPr>
                <w:lang w:val="en-GB"/>
              </w:rPr>
              <w:t>.</w:t>
            </w:r>
          </w:p>
          <w:p w14:paraId="12E148AF" w14:textId="4BD5E748" w:rsidR="00554AE3" w:rsidRPr="00A41520" w:rsidRDefault="007444C2" w:rsidP="00A41520">
            <w:pPr>
              <w:rPr>
                <w:lang w:val="en-GB"/>
              </w:rPr>
            </w:pPr>
            <w:r w:rsidRPr="007444C2">
              <w:rPr>
                <w:lang w:val="en-GB"/>
              </w:rPr>
              <w:t xml:space="preserve">- </w:t>
            </w:r>
            <w:r w:rsidR="00554AE3" w:rsidRPr="007131C3">
              <w:rPr>
                <w:lang w:val="en-GB"/>
              </w:rPr>
              <w:t>Trends in benefits generated and shared from the use of traditional knowledge associated with genetic resources</w:t>
            </w:r>
          </w:p>
        </w:tc>
        <w:tc>
          <w:tcPr>
            <w:tcW w:w="2780" w:type="pct"/>
          </w:tcPr>
          <w:p w14:paraId="68B2A1BA" w14:textId="77777777" w:rsidR="009632DA" w:rsidRDefault="009632DA" w:rsidP="00A41520">
            <w:pPr>
              <w:rPr>
                <w:lang w:val="en-US"/>
              </w:rPr>
            </w:pPr>
          </w:p>
          <w:p w14:paraId="67AE1DBD" w14:textId="470CEF7D" w:rsidR="00A41520" w:rsidRPr="00A41520" w:rsidRDefault="00BD5037" w:rsidP="00A41520">
            <w:pPr>
              <w:rPr>
                <w:lang w:val="en-US"/>
              </w:rPr>
            </w:pPr>
            <w:r>
              <w:rPr>
                <w:lang w:val="en-US"/>
              </w:rPr>
              <w:t>The m</w:t>
            </w:r>
            <w:r w:rsidR="00A41520" w:rsidRPr="00A41520">
              <w:rPr>
                <w:lang w:val="en-US"/>
              </w:rPr>
              <w:t>onitoring elements a</w:t>
            </w:r>
            <w:r>
              <w:rPr>
                <w:lang w:val="en-US"/>
              </w:rPr>
              <w:t>s</w:t>
            </w:r>
            <w:r w:rsidR="00A41520" w:rsidRPr="00A41520">
              <w:rPr>
                <w:lang w:val="en-US"/>
              </w:rPr>
              <w:t xml:space="preserve"> covered </w:t>
            </w:r>
            <w:r>
              <w:rPr>
                <w:lang w:val="en-US"/>
              </w:rPr>
              <w:t>in</w:t>
            </w:r>
            <w:r w:rsidR="00963325">
              <w:rPr>
                <w:lang w:val="en-US"/>
              </w:rPr>
              <w:t xml:space="preserve"> </w:t>
            </w:r>
            <w:r>
              <w:rPr>
                <w:lang w:val="en-US"/>
              </w:rPr>
              <w:t>the</w:t>
            </w:r>
            <w:r w:rsidR="00A41520" w:rsidRPr="00A41520">
              <w:rPr>
                <w:lang w:val="en-US"/>
              </w:rPr>
              <w:t xml:space="preserve"> previous rows on GR</w:t>
            </w:r>
            <w:r>
              <w:rPr>
                <w:lang w:val="en-US"/>
              </w:rPr>
              <w:t xml:space="preserve"> can be applied mutatis mutandis to traditional knowledge, keeping in mind especially that in the context of CBD and the NP we are dealing with traditional knowledge associated with genetic resources</w:t>
            </w:r>
            <w:r w:rsidR="00A41520" w:rsidRPr="00A41520">
              <w:rPr>
                <w:lang w:val="en-US"/>
              </w:rPr>
              <w:t xml:space="preserve">. </w:t>
            </w:r>
          </w:p>
        </w:tc>
      </w:tr>
    </w:tbl>
    <w:p w14:paraId="4F21C8B0" w14:textId="77777777" w:rsidR="00A41520" w:rsidRPr="007131C3" w:rsidRDefault="00A41520" w:rsidP="009B0E32">
      <w:pPr>
        <w:rPr>
          <w:lang w:val="en-GB"/>
        </w:rPr>
      </w:pPr>
    </w:p>
    <w:sectPr w:rsidR="00A41520" w:rsidRPr="007131C3" w:rsidSect="009B0E32">
      <w:headerReference w:type="default" r:id="rId11"/>
      <w:footerReference w:type="default" r:id="rId12"/>
      <w:pgSz w:w="16838" w:h="11906" w:orient="landscape"/>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8CB5" w14:textId="77777777" w:rsidR="007131C3" w:rsidRDefault="007131C3" w:rsidP="007131C3">
      <w:pPr>
        <w:spacing w:after="0" w:line="240" w:lineRule="auto"/>
      </w:pPr>
      <w:r>
        <w:separator/>
      </w:r>
    </w:p>
  </w:endnote>
  <w:endnote w:type="continuationSeparator" w:id="0">
    <w:p w14:paraId="26997549" w14:textId="77777777" w:rsidR="007131C3" w:rsidRDefault="007131C3" w:rsidP="0071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C654" w14:textId="721766BE" w:rsidR="00E051BA" w:rsidRDefault="00817282" w:rsidP="00E051BA">
    <w:pPr>
      <w:pStyle w:val="Footer"/>
      <w:jc w:val="right"/>
    </w:pPr>
    <w:r>
      <w:t xml:space="preserve">14 August 2020 </w:t>
    </w:r>
    <w:proofErr w:type="spellStart"/>
    <w:r>
      <w:t>dye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0161F" w14:textId="77777777" w:rsidR="007131C3" w:rsidRDefault="007131C3" w:rsidP="007131C3">
      <w:pPr>
        <w:spacing w:after="0" w:line="240" w:lineRule="auto"/>
      </w:pPr>
      <w:r>
        <w:separator/>
      </w:r>
    </w:p>
  </w:footnote>
  <w:footnote w:type="continuationSeparator" w:id="0">
    <w:p w14:paraId="57148BC8" w14:textId="77777777" w:rsidR="007131C3" w:rsidRDefault="007131C3" w:rsidP="0071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A253" w14:textId="21922247" w:rsidR="00E051BA" w:rsidRDefault="009B0E32">
    <w:pPr>
      <w:pStyle w:val="Header"/>
    </w:pPr>
    <w:r>
      <w:rPr>
        <w:rFonts w:ascii="Arial" w:hAnsi="Arial"/>
        <w:noProof/>
        <w:sz w:val="20"/>
        <w:szCs w:val="20"/>
      </w:rPr>
      <w:drawing>
        <wp:anchor distT="0" distB="0" distL="114300" distR="114300" simplePos="0" relativeHeight="251659264" behindDoc="1" locked="1" layoutInCell="1" allowOverlap="1" wp14:anchorId="7E39BDA1" wp14:editId="1C158630">
          <wp:simplePos x="0" y="0"/>
          <wp:positionH relativeFrom="margin">
            <wp:align>left</wp:align>
          </wp:positionH>
          <wp:positionV relativeFrom="page">
            <wp:posOffset>201930</wp:posOffset>
          </wp:positionV>
          <wp:extent cx="2671200" cy="712800"/>
          <wp:effectExtent l="0" t="0" r="0" b="0"/>
          <wp:wrapNone/>
          <wp:docPr id="15" name="Picture 15" descr="ICC:ICC Work:2014:ICC-2014-03:ICC-2014-03-14 - Fri:ICC NEW STATIONERY:ICC LHD NEW:NEW Placed Files:ICC Horz logo_ENG_(LHD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ICC Work:2014:ICC-2014-03:ICC-2014-03-14 - Fri:ICC NEW STATIONERY:ICC LHD NEW:NEW Placed Files:ICC Horz logo_ENG_(LHD 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200" cy="712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3EAD"/>
    <w:multiLevelType w:val="hybridMultilevel"/>
    <w:tmpl w:val="6FB25A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C6AAA"/>
    <w:multiLevelType w:val="hybridMultilevel"/>
    <w:tmpl w:val="9122570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F1"/>
    <w:rsid w:val="00087F51"/>
    <w:rsid w:val="000A2E22"/>
    <w:rsid w:val="000D3128"/>
    <w:rsid w:val="001259FF"/>
    <w:rsid w:val="00131964"/>
    <w:rsid w:val="00166FDA"/>
    <w:rsid w:val="00193DD4"/>
    <w:rsid w:val="001D1AB0"/>
    <w:rsid w:val="001E1FBB"/>
    <w:rsid w:val="00235033"/>
    <w:rsid w:val="0025337E"/>
    <w:rsid w:val="002874FB"/>
    <w:rsid w:val="00293C6F"/>
    <w:rsid w:val="002F1224"/>
    <w:rsid w:val="00301386"/>
    <w:rsid w:val="00305D7D"/>
    <w:rsid w:val="003226FD"/>
    <w:rsid w:val="00335433"/>
    <w:rsid w:val="00345418"/>
    <w:rsid w:val="003642A9"/>
    <w:rsid w:val="003D2776"/>
    <w:rsid w:val="003D2B52"/>
    <w:rsid w:val="003E7FDD"/>
    <w:rsid w:val="00406B5C"/>
    <w:rsid w:val="00442B3C"/>
    <w:rsid w:val="004477B5"/>
    <w:rsid w:val="0046417D"/>
    <w:rsid w:val="0047025C"/>
    <w:rsid w:val="0048371B"/>
    <w:rsid w:val="004C068E"/>
    <w:rsid w:val="0050708E"/>
    <w:rsid w:val="0054392B"/>
    <w:rsid w:val="005464BD"/>
    <w:rsid w:val="00547B46"/>
    <w:rsid w:val="00554AE3"/>
    <w:rsid w:val="005615D8"/>
    <w:rsid w:val="005E3C04"/>
    <w:rsid w:val="00610D45"/>
    <w:rsid w:val="00621D7B"/>
    <w:rsid w:val="006B4D16"/>
    <w:rsid w:val="007131C3"/>
    <w:rsid w:val="007328AB"/>
    <w:rsid w:val="007444C2"/>
    <w:rsid w:val="007528A5"/>
    <w:rsid w:val="0075479A"/>
    <w:rsid w:val="007936AE"/>
    <w:rsid w:val="007B081C"/>
    <w:rsid w:val="007B77F1"/>
    <w:rsid w:val="007F1B26"/>
    <w:rsid w:val="007F3ADC"/>
    <w:rsid w:val="00803AA3"/>
    <w:rsid w:val="00817282"/>
    <w:rsid w:val="00830ED4"/>
    <w:rsid w:val="00846149"/>
    <w:rsid w:val="00874A4B"/>
    <w:rsid w:val="00882108"/>
    <w:rsid w:val="008D60E1"/>
    <w:rsid w:val="008F4B36"/>
    <w:rsid w:val="009216AB"/>
    <w:rsid w:val="00925BC2"/>
    <w:rsid w:val="009509B9"/>
    <w:rsid w:val="0096099C"/>
    <w:rsid w:val="009632DA"/>
    <w:rsid w:val="00963325"/>
    <w:rsid w:val="00965478"/>
    <w:rsid w:val="00973F0C"/>
    <w:rsid w:val="009A38BA"/>
    <w:rsid w:val="009A3BC8"/>
    <w:rsid w:val="009A60CE"/>
    <w:rsid w:val="009B0E32"/>
    <w:rsid w:val="009C13BB"/>
    <w:rsid w:val="00A373EE"/>
    <w:rsid w:val="00A41520"/>
    <w:rsid w:val="00A91CD0"/>
    <w:rsid w:val="00AE7DBC"/>
    <w:rsid w:val="00B0404E"/>
    <w:rsid w:val="00B33548"/>
    <w:rsid w:val="00B34519"/>
    <w:rsid w:val="00B41EE6"/>
    <w:rsid w:val="00B5011A"/>
    <w:rsid w:val="00B80D01"/>
    <w:rsid w:val="00BA390F"/>
    <w:rsid w:val="00BD411F"/>
    <w:rsid w:val="00BD5037"/>
    <w:rsid w:val="00BF106A"/>
    <w:rsid w:val="00C0183B"/>
    <w:rsid w:val="00C04C5A"/>
    <w:rsid w:val="00C20C1E"/>
    <w:rsid w:val="00C541E9"/>
    <w:rsid w:val="00C560BF"/>
    <w:rsid w:val="00C86A22"/>
    <w:rsid w:val="00CD0BF1"/>
    <w:rsid w:val="00CD6B06"/>
    <w:rsid w:val="00CE0DE7"/>
    <w:rsid w:val="00CE62F8"/>
    <w:rsid w:val="00CF30B7"/>
    <w:rsid w:val="00CF3CF3"/>
    <w:rsid w:val="00D00C56"/>
    <w:rsid w:val="00D04BEF"/>
    <w:rsid w:val="00D1367A"/>
    <w:rsid w:val="00D26715"/>
    <w:rsid w:val="00D32AF0"/>
    <w:rsid w:val="00D40ECE"/>
    <w:rsid w:val="00D50D3A"/>
    <w:rsid w:val="00D517F6"/>
    <w:rsid w:val="00D8603A"/>
    <w:rsid w:val="00DB4A63"/>
    <w:rsid w:val="00DD0B96"/>
    <w:rsid w:val="00E051BA"/>
    <w:rsid w:val="00E10D73"/>
    <w:rsid w:val="00E135D1"/>
    <w:rsid w:val="00E51E35"/>
    <w:rsid w:val="00E74368"/>
    <w:rsid w:val="00E878C3"/>
    <w:rsid w:val="00E94F39"/>
    <w:rsid w:val="00ED23E1"/>
    <w:rsid w:val="00EE571E"/>
    <w:rsid w:val="00F04AE6"/>
    <w:rsid w:val="00F427F8"/>
    <w:rsid w:val="00FD6C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4C00E"/>
  <w15:chartTrackingRefBased/>
  <w15:docId w15:val="{AD847684-E6A5-49F9-BB49-40DF0BD5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D0BF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D0BF1"/>
    <w:rPr>
      <w:rFonts w:ascii="Times New Roman" w:eastAsia="Times New Roman" w:hAnsi="Times New Roman" w:cs="Times New Roman"/>
      <w:sz w:val="20"/>
      <w:szCs w:val="20"/>
      <w:lang w:val="en-US"/>
    </w:rPr>
  </w:style>
  <w:style w:type="character" w:styleId="CommentReference">
    <w:name w:val="annotation reference"/>
    <w:uiPriority w:val="99"/>
    <w:rsid w:val="00CD0BF1"/>
    <w:rPr>
      <w:rFonts w:cs="Times New Roman"/>
      <w:sz w:val="16"/>
      <w:szCs w:val="16"/>
    </w:rPr>
  </w:style>
  <w:style w:type="paragraph" w:styleId="BalloonText">
    <w:name w:val="Balloon Text"/>
    <w:basedOn w:val="Normal"/>
    <w:link w:val="BalloonTextChar"/>
    <w:uiPriority w:val="99"/>
    <w:semiHidden/>
    <w:unhideWhenUsed/>
    <w:rsid w:val="00CD0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F1"/>
    <w:rPr>
      <w:rFonts w:ascii="Segoe UI" w:hAnsi="Segoe UI" w:cs="Segoe UI"/>
      <w:sz w:val="18"/>
      <w:szCs w:val="18"/>
    </w:rPr>
  </w:style>
  <w:style w:type="paragraph" w:styleId="ListParagraph">
    <w:name w:val="List Paragraph"/>
    <w:basedOn w:val="Normal"/>
    <w:uiPriority w:val="34"/>
    <w:qFormat/>
    <w:rsid w:val="003D2B52"/>
    <w:pPr>
      <w:ind w:left="720"/>
      <w:contextualSpacing/>
    </w:pPr>
  </w:style>
  <w:style w:type="paragraph" w:styleId="CommentSubject">
    <w:name w:val="annotation subject"/>
    <w:basedOn w:val="CommentText"/>
    <w:next w:val="CommentText"/>
    <w:link w:val="CommentSubjectChar"/>
    <w:uiPriority w:val="99"/>
    <w:semiHidden/>
    <w:unhideWhenUsed/>
    <w:rsid w:val="00BD503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5037"/>
    <w:rPr>
      <w:rFonts w:ascii="Times New Roman" w:eastAsia="Times New Roman" w:hAnsi="Times New Roman" w:cs="Times New Roman"/>
      <w:b/>
      <w:bCs/>
      <w:sz w:val="20"/>
      <w:szCs w:val="20"/>
      <w:lang w:val="en-US"/>
    </w:rPr>
  </w:style>
  <w:style w:type="character" w:styleId="Hyperlink">
    <w:name w:val="Hyperlink"/>
    <w:uiPriority w:val="99"/>
    <w:rsid w:val="00193DD4"/>
    <w:rPr>
      <w:rFonts w:cs="Times New Roman"/>
      <w:color w:val="0000FF"/>
      <w:u w:val="single"/>
    </w:rPr>
  </w:style>
  <w:style w:type="paragraph" w:styleId="Header">
    <w:name w:val="header"/>
    <w:basedOn w:val="Normal"/>
    <w:link w:val="HeaderChar"/>
    <w:uiPriority w:val="99"/>
    <w:unhideWhenUsed/>
    <w:rsid w:val="007131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1C3"/>
  </w:style>
  <w:style w:type="paragraph" w:styleId="Footer">
    <w:name w:val="footer"/>
    <w:basedOn w:val="Normal"/>
    <w:link w:val="FooterChar"/>
    <w:uiPriority w:val="99"/>
    <w:unhideWhenUsed/>
    <w:rsid w:val="007131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8f140b-4145-4024-8bcc-6d7083f15a24"/>
    <cd566fe4f739453c890791ece589dd09 xmlns="6e0672cc-2b49-4aef-a692-9dbb21d7e3f3">
      <Terms xmlns="http://schemas.microsoft.com/office/infopath/2007/PartnerControls"/>
    </cd566fe4f739453c890791ece589dd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E3D1B2D00823408CE8450BC0946B1D" ma:contentTypeVersion="14" ma:contentTypeDescription="Create a new document." ma:contentTypeScope="" ma:versionID="05276382ccac13e998fe41065e2125f1">
  <xsd:schema xmlns:xsd="http://www.w3.org/2001/XMLSchema" xmlns:xs="http://www.w3.org/2001/XMLSchema" xmlns:p="http://schemas.microsoft.com/office/2006/metadata/properties" xmlns:ns2="6e0672cc-2b49-4aef-a692-9dbb21d7e3f3" xmlns:ns3="465ae127-5d1e-48f1-8bba-a4710e9de403" xmlns:ns4="598f140b-4145-4024-8bcc-6d7083f15a24" xmlns:ns5="42195723-b6d9-4926-97c3-bdd7cf343cf8" targetNamespace="http://schemas.microsoft.com/office/2006/metadata/properties" ma:root="true" ma:fieldsID="b25eeabc45c86300dc0c40143a5f5953" ns2:_="" ns3:_="" ns4:_="" ns5:_="">
    <xsd:import namespace="6e0672cc-2b49-4aef-a692-9dbb21d7e3f3"/>
    <xsd:import namespace="465ae127-5d1e-48f1-8bba-a4710e9de403"/>
    <xsd:import namespace="598f140b-4145-4024-8bcc-6d7083f15a24"/>
    <xsd:import namespace="42195723-b6d9-4926-97c3-bdd7cf343cf8"/>
    <xsd:element name="properties">
      <xsd:complexType>
        <xsd:sequence>
          <xsd:element name="documentManagement">
            <xsd:complexType>
              <xsd:all>
                <xsd:element ref="ns2:cd566fe4f739453c890791ece589dd09" minOccurs="0"/>
                <xsd:element ref="ns4:TaxCatchAll"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3:SharedWithUsers" minOccurs="0"/>
                <xsd:element ref="ns3: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672cc-2b49-4aef-a692-9dbb21d7e3f3" elementFormDefault="qualified">
    <xsd:import namespace="http://schemas.microsoft.com/office/2006/documentManagement/types"/>
    <xsd:import namespace="http://schemas.microsoft.com/office/infopath/2007/PartnerControls"/>
    <xsd:element name="cd566fe4f739453c890791ece589dd09" ma:index="8" nillable="true" ma:taxonomy="true" ma:internalName="cd566fe4f739453c890791ece589dd09" ma:taxonomyFieldName="Provenance" ma:displayName="Provenance" ma:default="" ma:fieldId="{cd566fe4-f739-453c-8907-91ece589dd09}" ma:sspId="b34d393a-c683-4ae6-92a3-16801d27c9b4" ma:termSetId="9e01a060-767e-4e44-bf53-df9ed62d73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ae127-5d1e-48f1-8bba-a4710e9de4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f140b-4145-4024-8bcc-6d7083f15a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108c5b-dc04-4112-92d3-dfe3254644ac}" ma:internalName="TaxCatchAll" ma:showField="CatchAllData" ma:web="465ae127-5d1e-48f1-8bba-a4710e9de4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95723-b6d9-4926-97c3-bdd7cf343c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707DD-FA7D-4FD5-8CED-A602B0CE8E80}">
  <ds:schemaRefs>
    <ds:schemaRef ds:uri="http://schemas.openxmlformats.org/officeDocument/2006/bibliography"/>
  </ds:schemaRefs>
</ds:datastoreItem>
</file>

<file path=customXml/itemProps2.xml><?xml version="1.0" encoding="utf-8"?>
<ds:datastoreItem xmlns:ds="http://schemas.openxmlformats.org/officeDocument/2006/customXml" ds:itemID="{1B3959B7-2F73-4DEF-B09C-D9D76CBF9ED3}">
  <ds:schemaRefs>
    <ds:schemaRef ds:uri="http://purl.org/dc/terms/"/>
    <ds:schemaRef ds:uri="http://schemas.microsoft.com/office/infopath/2007/PartnerControls"/>
    <ds:schemaRef ds:uri="465ae127-5d1e-48f1-8bba-a4710e9de403"/>
    <ds:schemaRef ds:uri="42195723-b6d9-4926-97c3-bdd7cf343cf8"/>
    <ds:schemaRef ds:uri="http://schemas.openxmlformats.org/package/2006/metadata/core-properties"/>
    <ds:schemaRef ds:uri="598f140b-4145-4024-8bcc-6d7083f15a24"/>
    <ds:schemaRef ds:uri="http://purl.org/dc/dcmitype/"/>
    <ds:schemaRef ds:uri="http://schemas.microsoft.com/office/2006/documentManagement/types"/>
    <ds:schemaRef ds:uri="6e0672cc-2b49-4aef-a692-9dbb21d7e3f3"/>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C0A19C4-6150-4146-B69C-EF62B9A73937}">
  <ds:schemaRefs>
    <ds:schemaRef ds:uri="http://schemas.microsoft.com/sharepoint/v3/contenttype/forms"/>
  </ds:schemaRefs>
</ds:datastoreItem>
</file>

<file path=customXml/itemProps4.xml><?xml version="1.0" encoding="utf-8"?>
<ds:datastoreItem xmlns:ds="http://schemas.openxmlformats.org/officeDocument/2006/customXml" ds:itemID="{A5AC0AC2-F5C6-40A5-B8F0-0FC87713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672cc-2b49-4aef-a692-9dbb21d7e3f3"/>
    <ds:schemaRef ds:uri="465ae127-5d1e-48f1-8bba-a4710e9de403"/>
    <ds:schemaRef ds:uri="598f140b-4145-4024-8bcc-6d7083f15a24"/>
    <ds:schemaRef ds:uri="42195723-b6d9-4926-97c3-bdd7cf343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10516</Characters>
  <Application>Microsoft Office Word</Application>
  <DocSecurity>4</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Muyldermans</dc:creator>
  <cp:keywords/>
  <dc:description/>
  <cp:lastModifiedBy>BEAUVOIS Angèle</cp:lastModifiedBy>
  <cp:revision>2</cp:revision>
  <cp:lastPrinted>2020-08-14T07:45:00Z</cp:lastPrinted>
  <dcterms:created xsi:type="dcterms:W3CDTF">2020-08-17T07:42:00Z</dcterms:created>
  <dcterms:modified xsi:type="dcterms:W3CDTF">2020-08-17T07:42:00Z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0x010100C9E3D1B2D00823408CE8450BC0946B1D</vt:lpwstr>
  </property>
  <property fmtid="{D5CDD505-2E9C-101B-9397-08002B2CF9AE}" pid="3" name="Provenance">
    <vt:lpwstr/>
  </property>
</Properties>
</file>