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DBCF" w14:textId="77777777" w:rsidR="00AA726F" w:rsidRDefault="00AA726F" w:rsidP="00E034BA">
      <w:pPr>
        <w:ind w:right="44"/>
        <w:jc w:val="both"/>
        <w:rPr>
          <w:sz w:val="22"/>
          <w:szCs w:val="22"/>
          <w:lang w:val="fr-FR"/>
        </w:rPr>
      </w:pPr>
    </w:p>
    <w:p w14:paraId="10BEDBD0"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10BEDBD1" w14:textId="77777777" w:rsidR="00AA726F" w:rsidRDefault="00AA726F" w:rsidP="00DB71FC">
      <w:pPr>
        <w:ind w:left="360"/>
        <w:jc w:val="both"/>
        <w:rPr>
          <w:sz w:val="22"/>
          <w:szCs w:val="22"/>
        </w:rPr>
      </w:pPr>
    </w:p>
    <w:p w14:paraId="10BEDBD2" w14:textId="77777777"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10BEDBD3" w14:textId="77777777" w:rsidR="00750EDF" w:rsidRDefault="00750EDF" w:rsidP="00750EDF"/>
    <w:p w14:paraId="10BEDBD4" w14:textId="77777777" w:rsidR="00750EDF" w:rsidRPr="008449F3" w:rsidRDefault="00750EDF" w:rsidP="00750EDF">
      <w:pPr>
        <w:pStyle w:val="ColorfulList-Accent11"/>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2"/>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10BEDBD5" w14:textId="77777777" w:rsidR="00750EDF" w:rsidRPr="00750EDF" w:rsidRDefault="00750EDF" w:rsidP="00750EDF">
      <w:pPr>
        <w:pStyle w:val="ColorfulList-Accent11"/>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w:t>
      </w:r>
      <w:proofErr w:type="gramStart"/>
      <w:r w:rsidRPr="008449F3">
        <w:rPr>
          <w:sz w:val="22"/>
          <w:szCs w:val="22"/>
        </w:rPr>
        <w:t>targets</w:t>
      </w:r>
      <w:proofErr w:type="gramEnd"/>
      <w:r w:rsidRPr="008449F3">
        <w:rPr>
          <w:sz w:val="22"/>
          <w:szCs w:val="22"/>
        </w:rPr>
        <w:t xml:space="preserve">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Columns A, B of the tables provide draft monitoring elements and indicators to be used at the global level to monitor progress in the implementation of the post-2020 global biodiversity framework. Further column C provides information on the baseline year for the indicator and on the frequency that the indicator is updated where known. Review comments are being sought on columns A, B and C only. </w:t>
      </w:r>
    </w:p>
    <w:p w14:paraId="10BEDBD6"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10BEDBD7" w14:textId="77777777" w:rsidR="00A2000C" w:rsidRDefault="00A2000C" w:rsidP="00CB6CB9">
      <w:pPr>
        <w:tabs>
          <w:tab w:val="left" w:pos="720"/>
        </w:tabs>
        <w:ind w:left="360"/>
        <w:jc w:val="both"/>
        <w:rPr>
          <w:sz w:val="22"/>
          <w:szCs w:val="22"/>
        </w:rPr>
      </w:pPr>
    </w:p>
    <w:p w14:paraId="10BEDBD8"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1"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10BEDBD9" w14:textId="77777777" w:rsidR="00AA726F" w:rsidRDefault="00AA726F" w:rsidP="00DD3897">
      <w:pPr>
        <w:tabs>
          <w:tab w:val="left" w:pos="720"/>
        </w:tabs>
        <w:ind w:left="360"/>
        <w:jc w:val="both"/>
        <w:rPr>
          <w:sz w:val="22"/>
          <w:szCs w:val="22"/>
        </w:rPr>
      </w:pPr>
    </w:p>
    <w:p w14:paraId="10BEDBDA"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10BEDBDB" w14:textId="77777777" w:rsidR="00AA726F" w:rsidRPr="00293F53" w:rsidRDefault="00AA726F" w:rsidP="00DB71FC">
      <w:pPr>
        <w:ind w:left="1080"/>
        <w:jc w:val="both"/>
        <w:rPr>
          <w:sz w:val="22"/>
          <w:szCs w:val="22"/>
        </w:rPr>
      </w:pPr>
    </w:p>
    <w:p w14:paraId="10BEDBDC"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10BEDBDD" w14:textId="77777777" w:rsidR="00AA726F" w:rsidRPr="00293F53" w:rsidRDefault="00AA726F" w:rsidP="00DB71FC">
      <w:pPr>
        <w:ind w:left="1080"/>
        <w:jc w:val="both"/>
        <w:rPr>
          <w:sz w:val="22"/>
          <w:szCs w:val="22"/>
        </w:rPr>
      </w:pPr>
    </w:p>
    <w:p w14:paraId="10BEDBDE"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10BEDBDF" w14:textId="77777777" w:rsidR="00AA726F" w:rsidRPr="00293F53" w:rsidRDefault="00AA726F" w:rsidP="00DB71FC">
      <w:pPr>
        <w:jc w:val="both"/>
        <w:rPr>
          <w:sz w:val="22"/>
          <w:szCs w:val="22"/>
        </w:rPr>
      </w:pPr>
    </w:p>
    <w:p w14:paraId="10BEDBE0"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10BEDBE1" w14:textId="77777777" w:rsidR="00AA726F" w:rsidRPr="00293F53" w:rsidRDefault="00AA726F" w:rsidP="00DB71FC">
      <w:pPr>
        <w:jc w:val="both"/>
        <w:rPr>
          <w:sz w:val="22"/>
          <w:szCs w:val="22"/>
        </w:rPr>
      </w:pPr>
    </w:p>
    <w:p w14:paraId="10BEDBE2"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10BEDBE3" w14:textId="77777777" w:rsidR="00AA726F" w:rsidRPr="00293F53" w:rsidRDefault="00AA726F" w:rsidP="00DB71FC">
      <w:pPr>
        <w:jc w:val="both"/>
        <w:rPr>
          <w:sz w:val="22"/>
          <w:szCs w:val="22"/>
        </w:rPr>
      </w:pPr>
    </w:p>
    <w:p w14:paraId="10BEDBE4"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10BEDBE5" w14:textId="77777777" w:rsidR="00AA726F" w:rsidRPr="00293F53" w:rsidRDefault="00AA726F" w:rsidP="00DB71FC">
      <w:pPr>
        <w:jc w:val="both"/>
        <w:rPr>
          <w:sz w:val="22"/>
          <w:szCs w:val="22"/>
        </w:rPr>
      </w:pPr>
    </w:p>
    <w:p w14:paraId="10BEDBE6" w14:textId="77777777" w:rsidR="00750EDF" w:rsidRPr="00750EDF" w:rsidRDefault="00750EDF" w:rsidP="00750EDF">
      <w:pPr>
        <w:numPr>
          <w:ilvl w:val="1"/>
          <w:numId w:val="2"/>
        </w:numPr>
        <w:jc w:val="both"/>
        <w:rPr>
          <w:sz w:val="22"/>
          <w:szCs w:val="22"/>
        </w:rPr>
      </w:pPr>
      <w:r>
        <w:rPr>
          <w:sz w:val="22"/>
          <w:szCs w:val="22"/>
        </w:rPr>
        <w:t>Please focus your comments on columns A (monitoring elements), B (indicators) and C (</w:t>
      </w:r>
      <w:r w:rsidRPr="00750EDF">
        <w:rPr>
          <w:sz w:val="22"/>
          <w:szCs w:val="22"/>
        </w:rPr>
        <w:t>Indicator baseline year and frequency of updates</w:t>
      </w:r>
      <w:r>
        <w:rPr>
          <w:sz w:val="22"/>
          <w:szCs w:val="22"/>
        </w:rPr>
        <w:t xml:space="preserve">) of the tables 1 and 2. </w:t>
      </w:r>
    </w:p>
    <w:p w14:paraId="10BEDBE7" w14:textId="77777777" w:rsidR="00750EDF" w:rsidRDefault="00750EDF" w:rsidP="00750EDF">
      <w:pPr>
        <w:pStyle w:val="ColorfulList-Accent11"/>
        <w:rPr>
          <w:sz w:val="22"/>
          <w:szCs w:val="22"/>
        </w:rPr>
      </w:pPr>
    </w:p>
    <w:p w14:paraId="10BEDBE8" w14:textId="77777777" w:rsidR="00AA726F" w:rsidRPr="002E0643" w:rsidRDefault="00AA726F" w:rsidP="00DB71FC">
      <w:pPr>
        <w:numPr>
          <w:ilvl w:val="1"/>
          <w:numId w:val="2"/>
        </w:numPr>
        <w:jc w:val="both"/>
        <w:rPr>
          <w:sz w:val="22"/>
          <w:szCs w:val="22"/>
        </w:rPr>
      </w:pPr>
      <w:r w:rsidRPr="002E0643">
        <w:rPr>
          <w:sz w:val="22"/>
          <w:szCs w:val="22"/>
        </w:rPr>
        <w:t xml:space="preserve">If you </w:t>
      </w:r>
      <w:r w:rsidR="00750EDF" w:rsidRPr="002E0643">
        <w:rPr>
          <w:sz w:val="22"/>
          <w:szCs w:val="22"/>
        </w:rPr>
        <w:t xml:space="preserve">are suggestion the inclusion of additional indicators please provide information on if the indicator is currently operational, the organization supporting its development, its </w:t>
      </w:r>
      <w:r w:rsidR="00750EDF" w:rsidRPr="002E0643">
        <w:rPr>
          <w:sz w:val="22"/>
          <w:szCs w:val="22"/>
        </w:rPr>
        <w:lastRenderedPageBreak/>
        <w:t>baseline (i.e. the year data is first available) and how frequently the indicator is updated (i.e. monthly, yearly, every two years etc.)</w:t>
      </w:r>
      <w:r w:rsidRPr="002E0643">
        <w:rPr>
          <w:sz w:val="22"/>
          <w:szCs w:val="22"/>
        </w:rPr>
        <w:t xml:space="preserve">. </w:t>
      </w:r>
    </w:p>
    <w:p w14:paraId="10BEDBE9" w14:textId="77777777" w:rsidR="00750EDF" w:rsidRDefault="00750EDF" w:rsidP="00750EDF">
      <w:pPr>
        <w:pStyle w:val="ColorfulList-Accent11"/>
        <w:rPr>
          <w:sz w:val="22"/>
          <w:szCs w:val="22"/>
        </w:rPr>
      </w:pPr>
    </w:p>
    <w:p w14:paraId="10BEDBEA"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3"/>
      </w:r>
      <w:r>
        <w:rPr>
          <w:sz w:val="22"/>
          <w:szCs w:val="22"/>
        </w:rPr>
        <w:t xml:space="preserve"> for the post-2020 global biodiversity framework in the interests of transparency</w:t>
      </w:r>
    </w:p>
    <w:p w14:paraId="10BEDBEB" w14:textId="77777777" w:rsidR="00AA726F" w:rsidRPr="00293F53" w:rsidRDefault="00AA726F" w:rsidP="00DB71FC">
      <w:pPr>
        <w:ind w:left="360"/>
        <w:jc w:val="both"/>
        <w:rPr>
          <w:sz w:val="22"/>
          <w:szCs w:val="22"/>
        </w:rPr>
      </w:pPr>
    </w:p>
    <w:p w14:paraId="10BEDBEC"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2" w:history="1">
        <w:r w:rsidR="00642AC0" w:rsidRPr="00F76DDF">
          <w:rPr>
            <w:rStyle w:val="Hyperlink"/>
          </w:rPr>
          <w:t>secretariat@cbd.int</w:t>
        </w:r>
      </w:hyperlink>
      <w:r w:rsidR="00642AC0">
        <w:t xml:space="preserve">. </w:t>
      </w:r>
      <w:r w:rsidRPr="00293F53">
        <w:rPr>
          <w:sz w:val="22"/>
          <w:szCs w:val="22"/>
        </w:rPr>
        <w:t xml:space="preserve"> </w:t>
      </w:r>
    </w:p>
    <w:p w14:paraId="10BEDBED" w14:textId="77777777" w:rsidR="00AA726F" w:rsidRPr="00293F53" w:rsidRDefault="00AA726F" w:rsidP="00DB71FC">
      <w:pPr>
        <w:pStyle w:val="Default"/>
        <w:ind w:left="360"/>
        <w:jc w:val="center"/>
        <w:rPr>
          <w:b/>
          <w:i/>
          <w:sz w:val="22"/>
          <w:szCs w:val="22"/>
          <w:u w:val="single"/>
        </w:rPr>
      </w:pPr>
    </w:p>
    <w:p w14:paraId="10BEDBEE" w14:textId="77777777" w:rsidR="00A2000C" w:rsidRDefault="00A2000C" w:rsidP="00A2000C">
      <w:pPr>
        <w:pStyle w:val="Default"/>
        <w:ind w:left="360"/>
        <w:jc w:val="center"/>
        <w:rPr>
          <w:b/>
          <w:i/>
          <w:sz w:val="22"/>
          <w:szCs w:val="22"/>
          <w:u w:val="single"/>
        </w:rPr>
      </w:pPr>
    </w:p>
    <w:p w14:paraId="10BEDBEF"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10BEDBF0" w14:textId="77777777" w:rsidR="00A2000C" w:rsidRDefault="00A2000C" w:rsidP="00A2000C">
      <w:pPr>
        <w:pStyle w:val="Default"/>
        <w:ind w:left="360"/>
        <w:jc w:val="both"/>
        <w:rPr>
          <w:sz w:val="22"/>
          <w:szCs w:val="22"/>
        </w:rPr>
      </w:pPr>
    </w:p>
    <w:p w14:paraId="10BEDBF1"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10BEDBF2" w14:textId="77777777" w:rsidR="00AA726F" w:rsidRPr="00293F53" w:rsidRDefault="00AA726F" w:rsidP="00DB71FC">
      <w:pPr>
        <w:jc w:val="both"/>
        <w:rPr>
          <w:sz w:val="22"/>
          <w:szCs w:val="22"/>
        </w:rPr>
      </w:pPr>
    </w:p>
    <w:p w14:paraId="10BEDBF3"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10BEDBF4" w14:textId="77777777" w:rsidR="00EC787C" w:rsidRDefault="00EC787C" w:rsidP="00EC787C">
      <w:pPr>
        <w:pStyle w:val="ColorfulList-Accent11"/>
        <w:rPr>
          <w:sz w:val="22"/>
          <w:szCs w:val="22"/>
        </w:rPr>
      </w:pPr>
    </w:p>
    <w:p w14:paraId="10BEDBF5" w14:textId="77777777" w:rsidR="00624FAA" w:rsidRDefault="00624FAA" w:rsidP="005D2E65">
      <w:pPr>
        <w:pStyle w:val="Default"/>
        <w:jc w:val="center"/>
        <w:rPr>
          <w:b/>
          <w:sz w:val="22"/>
          <w:szCs w:val="22"/>
          <w:u w:val="single"/>
        </w:rPr>
      </w:pPr>
      <w:r>
        <w:rPr>
          <w:b/>
          <w:sz w:val="22"/>
          <w:szCs w:val="22"/>
          <w:u w:val="single"/>
        </w:rPr>
        <w:t>TEMPLATE FOR COMMENTS</w:t>
      </w:r>
    </w:p>
    <w:p w14:paraId="10BEDBF6"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914"/>
        <w:gridCol w:w="1536"/>
        <w:gridCol w:w="189"/>
        <w:gridCol w:w="983"/>
        <w:gridCol w:w="5181"/>
      </w:tblGrid>
      <w:tr w:rsidR="005D2E65" w:rsidRPr="000C0B6C" w14:paraId="10BEDBF8" w14:textId="77777777" w:rsidTr="11D3D8DA">
        <w:trPr>
          <w:trHeight w:val="242"/>
        </w:trPr>
        <w:tc>
          <w:tcPr>
            <w:tcW w:w="9606" w:type="dxa"/>
            <w:gridSpan w:val="6"/>
          </w:tcPr>
          <w:p w14:paraId="10BEDBF7"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10BEDBFA" w14:textId="77777777" w:rsidTr="11D3D8DA">
        <w:trPr>
          <w:trHeight w:val="233"/>
        </w:trPr>
        <w:tc>
          <w:tcPr>
            <w:tcW w:w="9606" w:type="dxa"/>
            <w:gridSpan w:val="6"/>
            <w:shd w:val="clear" w:color="auto" w:fill="C0C0C0"/>
          </w:tcPr>
          <w:p w14:paraId="10BEDBF9" w14:textId="77777777" w:rsidR="005D2E65" w:rsidRPr="000C0B6C" w:rsidRDefault="005D2E65" w:rsidP="00690111">
            <w:pPr>
              <w:jc w:val="center"/>
              <w:rPr>
                <w:i/>
              </w:rPr>
            </w:pPr>
            <w:r w:rsidRPr="000C0B6C">
              <w:rPr>
                <w:i/>
              </w:rPr>
              <w:t>Contact information</w:t>
            </w:r>
          </w:p>
        </w:tc>
      </w:tr>
      <w:tr w:rsidR="005D2E65" w:rsidRPr="000C0B6C" w14:paraId="10BEDBFD" w14:textId="77777777" w:rsidTr="11D3D8DA">
        <w:trPr>
          <w:trHeight w:val="270"/>
        </w:trPr>
        <w:tc>
          <w:tcPr>
            <w:tcW w:w="3442" w:type="dxa"/>
            <w:gridSpan w:val="4"/>
          </w:tcPr>
          <w:p w14:paraId="10BEDBFB"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64" w:type="dxa"/>
            <w:gridSpan w:val="2"/>
          </w:tcPr>
          <w:p w14:paraId="10BEDBFC" w14:textId="77777777" w:rsidR="005D2E65" w:rsidRPr="000C0B6C" w:rsidRDefault="003455C7" w:rsidP="00690111">
            <w:r>
              <w:t>Corrigan</w:t>
            </w:r>
          </w:p>
        </w:tc>
      </w:tr>
      <w:tr w:rsidR="005D2E65" w:rsidRPr="000C0B6C" w14:paraId="10BEDC00" w14:textId="77777777" w:rsidTr="11D3D8DA">
        <w:trPr>
          <w:trHeight w:val="270"/>
        </w:trPr>
        <w:tc>
          <w:tcPr>
            <w:tcW w:w="3442" w:type="dxa"/>
            <w:gridSpan w:val="4"/>
          </w:tcPr>
          <w:p w14:paraId="10BEDBFE"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64" w:type="dxa"/>
            <w:gridSpan w:val="2"/>
          </w:tcPr>
          <w:p w14:paraId="10BEDBFF" w14:textId="77777777" w:rsidR="005D2E65" w:rsidRPr="000C0B6C" w:rsidRDefault="003455C7" w:rsidP="00690111">
            <w:r>
              <w:t>Colleen</w:t>
            </w:r>
          </w:p>
        </w:tc>
      </w:tr>
      <w:tr w:rsidR="005D2E65" w:rsidRPr="000C0B6C" w14:paraId="10BEDC03" w14:textId="77777777" w:rsidTr="11D3D8DA">
        <w:trPr>
          <w:trHeight w:val="280"/>
        </w:trPr>
        <w:tc>
          <w:tcPr>
            <w:tcW w:w="3442" w:type="dxa"/>
            <w:gridSpan w:val="4"/>
          </w:tcPr>
          <w:p w14:paraId="10BEDC01"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64" w:type="dxa"/>
            <w:gridSpan w:val="2"/>
          </w:tcPr>
          <w:p w14:paraId="10BEDC02" w14:textId="77777777" w:rsidR="005D2E65" w:rsidRPr="000C0B6C" w:rsidRDefault="005D2E65" w:rsidP="00690111"/>
        </w:tc>
      </w:tr>
      <w:tr w:rsidR="005D2E65" w:rsidRPr="000C0B6C" w14:paraId="10BEDC06" w14:textId="77777777" w:rsidTr="11D3D8DA">
        <w:trPr>
          <w:trHeight w:val="270"/>
        </w:trPr>
        <w:tc>
          <w:tcPr>
            <w:tcW w:w="3442" w:type="dxa"/>
            <w:gridSpan w:val="4"/>
          </w:tcPr>
          <w:p w14:paraId="10BEDC0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64" w:type="dxa"/>
            <w:gridSpan w:val="2"/>
          </w:tcPr>
          <w:p w14:paraId="10BEDC05" w14:textId="77777777" w:rsidR="005D2E65" w:rsidRPr="000C0B6C" w:rsidRDefault="00841F73" w:rsidP="00690111">
            <w:r>
              <w:t>Conservation International</w:t>
            </w:r>
          </w:p>
        </w:tc>
      </w:tr>
      <w:tr w:rsidR="005D2E65" w:rsidRPr="000C0B6C" w14:paraId="10BEDC0A" w14:textId="77777777" w:rsidTr="11D3D8DA">
        <w:trPr>
          <w:trHeight w:val="280"/>
        </w:trPr>
        <w:tc>
          <w:tcPr>
            <w:tcW w:w="3442" w:type="dxa"/>
            <w:gridSpan w:val="4"/>
          </w:tcPr>
          <w:p w14:paraId="10BEDC07"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64" w:type="dxa"/>
            <w:gridSpan w:val="2"/>
          </w:tcPr>
          <w:p w14:paraId="10BEDC08" w14:textId="77777777" w:rsidR="003455C7" w:rsidRDefault="003455C7" w:rsidP="003455C7">
            <w:r>
              <w:t>2011 Crystal Drive, Suite 600</w:t>
            </w:r>
          </w:p>
          <w:p w14:paraId="10BEDC09" w14:textId="77777777" w:rsidR="005D2E65" w:rsidRPr="000C0B6C" w:rsidRDefault="003455C7" w:rsidP="003455C7">
            <w:r>
              <w:t>Arlington, VA 22202</w:t>
            </w:r>
          </w:p>
        </w:tc>
      </w:tr>
      <w:tr w:rsidR="005D2E65" w:rsidRPr="000C0B6C" w14:paraId="10BEDC0D" w14:textId="77777777" w:rsidTr="11D3D8DA">
        <w:trPr>
          <w:trHeight w:val="270"/>
        </w:trPr>
        <w:tc>
          <w:tcPr>
            <w:tcW w:w="3442" w:type="dxa"/>
            <w:gridSpan w:val="4"/>
          </w:tcPr>
          <w:p w14:paraId="10BEDC0B"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64" w:type="dxa"/>
            <w:gridSpan w:val="2"/>
          </w:tcPr>
          <w:p w14:paraId="10BEDC0C" w14:textId="77777777" w:rsidR="005D2E65" w:rsidRPr="000C0B6C" w:rsidRDefault="003455C7" w:rsidP="00690111">
            <w:r>
              <w:t>Arlington, Virginia</w:t>
            </w:r>
          </w:p>
        </w:tc>
      </w:tr>
      <w:tr w:rsidR="005D2E65" w:rsidRPr="000C0B6C" w14:paraId="10BEDC10" w14:textId="77777777" w:rsidTr="11D3D8DA">
        <w:trPr>
          <w:trHeight w:val="280"/>
        </w:trPr>
        <w:tc>
          <w:tcPr>
            <w:tcW w:w="3442" w:type="dxa"/>
            <w:gridSpan w:val="4"/>
          </w:tcPr>
          <w:p w14:paraId="10BEDC0E"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64" w:type="dxa"/>
            <w:gridSpan w:val="2"/>
          </w:tcPr>
          <w:p w14:paraId="10BEDC0F" w14:textId="77777777" w:rsidR="005D2E65" w:rsidRPr="000C0B6C" w:rsidRDefault="003455C7" w:rsidP="00690111">
            <w:r>
              <w:t>USA</w:t>
            </w:r>
          </w:p>
        </w:tc>
      </w:tr>
      <w:tr w:rsidR="005D2E65" w:rsidRPr="000C0B6C" w14:paraId="10BEDC13" w14:textId="77777777" w:rsidTr="11D3D8DA">
        <w:trPr>
          <w:trHeight w:val="233"/>
        </w:trPr>
        <w:tc>
          <w:tcPr>
            <w:tcW w:w="3442" w:type="dxa"/>
            <w:gridSpan w:val="4"/>
          </w:tcPr>
          <w:p w14:paraId="10BEDC11" w14:textId="77777777" w:rsidR="005D2E65" w:rsidRPr="000C0B6C" w:rsidRDefault="005D2E65" w:rsidP="00690111">
            <w:pPr>
              <w:pStyle w:val="CommentSubject"/>
              <w:rPr>
                <w:sz w:val="22"/>
                <w:szCs w:val="22"/>
              </w:rPr>
            </w:pPr>
            <w:r w:rsidRPr="000C0B6C">
              <w:rPr>
                <w:sz w:val="22"/>
                <w:szCs w:val="22"/>
              </w:rPr>
              <w:t>E-mail:</w:t>
            </w:r>
          </w:p>
        </w:tc>
        <w:tc>
          <w:tcPr>
            <w:tcW w:w="6164" w:type="dxa"/>
            <w:gridSpan w:val="2"/>
          </w:tcPr>
          <w:p w14:paraId="10BEDC12" w14:textId="77777777" w:rsidR="005D2E65" w:rsidRPr="000C0B6C" w:rsidRDefault="003455C7" w:rsidP="00690111">
            <w:r>
              <w:t>ccorrigan@conservation.org</w:t>
            </w:r>
          </w:p>
        </w:tc>
      </w:tr>
      <w:tr w:rsidR="005D2E65" w:rsidRPr="000C0B6C" w14:paraId="10BEDC17" w14:textId="77777777" w:rsidTr="11D3D8DA">
        <w:trPr>
          <w:trHeight w:val="224"/>
        </w:trPr>
        <w:tc>
          <w:tcPr>
            <w:tcW w:w="803" w:type="dxa"/>
            <w:shd w:val="clear" w:color="auto" w:fill="C0C0C0"/>
          </w:tcPr>
          <w:p w14:paraId="10BEDC14" w14:textId="77777777" w:rsidR="005D2E65" w:rsidRPr="000C0B6C" w:rsidRDefault="005D2E65" w:rsidP="00690111">
            <w:pPr>
              <w:jc w:val="center"/>
              <w:rPr>
                <w:b/>
                <w:i/>
                <w:highlight w:val="lightGray"/>
              </w:rPr>
            </w:pPr>
          </w:p>
        </w:tc>
        <w:tc>
          <w:tcPr>
            <w:tcW w:w="914" w:type="dxa"/>
            <w:shd w:val="clear" w:color="auto" w:fill="C0C0C0"/>
          </w:tcPr>
          <w:p w14:paraId="10BEDC15" w14:textId="77777777" w:rsidR="005D2E65" w:rsidRPr="000C0B6C" w:rsidRDefault="005D2E65" w:rsidP="00690111">
            <w:pPr>
              <w:jc w:val="center"/>
              <w:rPr>
                <w:b/>
                <w:i/>
                <w:highlight w:val="lightGray"/>
              </w:rPr>
            </w:pPr>
          </w:p>
        </w:tc>
        <w:tc>
          <w:tcPr>
            <w:tcW w:w="7889" w:type="dxa"/>
            <w:gridSpan w:val="4"/>
            <w:shd w:val="clear" w:color="auto" w:fill="C0C0C0"/>
          </w:tcPr>
          <w:p w14:paraId="10BEDC16" w14:textId="77777777" w:rsidR="005D2E65" w:rsidRPr="000C0B6C" w:rsidRDefault="005D2E65" w:rsidP="00690111">
            <w:pPr>
              <w:jc w:val="center"/>
              <w:rPr>
                <w:b/>
                <w:i/>
              </w:rPr>
            </w:pPr>
            <w:r w:rsidRPr="000C0B6C">
              <w:rPr>
                <w:b/>
                <w:i/>
                <w:highlight w:val="lightGray"/>
              </w:rPr>
              <w:t>Comments</w:t>
            </w:r>
          </w:p>
        </w:tc>
      </w:tr>
      <w:tr w:rsidR="005D2E65" w:rsidRPr="000C0B6C" w14:paraId="10BEDC1D" w14:textId="77777777" w:rsidTr="11D3D8DA">
        <w:trPr>
          <w:trHeight w:val="224"/>
        </w:trPr>
        <w:tc>
          <w:tcPr>
            <w:tcW w:w="803" w:type="dxa"/>
          </w:tcPr>
          <w:p w14:paraId="10BEDC18" w14:textId="77777777" w:rsidR="005D2E65" w:rsidRPr="000C0B6C" w:rsidRDefault="005D2E65" w:rsidP="00690111">
            <w:pPr>
              <w:rPr>
                <w:b/>
                <w:sz w:val="22"/>
                <w:szCs w:val="22"/>
              </w:rPr>
            </w:pPr>
            <w:r>
              <w:rPr>
                <w:b/>
                <w:sz w:val="22"/>
                <w:szCs w:val="22"/>
              </w:rPr>
              <w:t>Table</w:t>
            </w:r>
          </w:p>
        </w:tc>
        <w:tc>
          <w:tcPr>
            <w:tcW w:w="914" w:type="dxa"/>
          </w:tcPr>
          <w:p w14:paraId="10BEDC19" w14:textId="77777777" w:rsidR="005D2E65" w:rsidRPr="000C0B6C" w:rsidRDefault="005D2E65" w:rsidP="00690111">
            <w:pPr>
              <w:rPr>
                <w:b/>
                <w:sz w:val="22"/>
                <w:szCs w:val="22"/>
              </w:rPr>
            </w:pPr>
            <w:r w:rsidRPr="000C0B6C">
              <w:rPr>
                <w:b/>
                <w:sz w:val="22"/>
                <w:szCs w:val="22"/>
              </w:rPr>
              <w:t>Page</w:t>
            </w:r>
          </w:p>
        </w:tc>
        <w:tc>
          <w:tcPr>
            <w:tcW w:w="1536" w:type="dxa"/>
          </w:tcPr>
          <w:p w14:paraId="10BEDC1A" w14:textId="77777777" w:rsidR="005D2E65" w:rsidRPr="000C0B6C" w:rsidRDefault="005D2E65" w:rsidP="00690111">
            <w:pPr>
              <w:rPr>
                <w:b/>
              </w:rPr>
            </w:pPr>
            <w:r>
              <w:rPr>
                <w:b/>
                <w:sz w:val="22"/>
                <w:szCs w:val="22"/>
              </w:rPr>
              <w:t>Column letter</w:t>
            </w:r>
          </w:p>
        </w:tc>
        <w:tc>
          <w:tcPr>
            <w:tcW w:w="1172" w:type="dxa"/>
            <w:gridSpan w:val="2"/>
          </w:tcPr>
          <w:p w14:paraId="10BEDC1B" w14:textId="77777777" w:rsidR="005D2E65" w:rsidRPr="000C0B6C" w:rsidRDefault="005D2E65" w:rsidP="00211568">
            <w:pPr>
              <w:rPr>
                <w:b/>
              </w:rPr>
            </w:pPr>
            <w:r>
              <w:rPr>
                <w:b/>
              </w:rPr>
              <w:t>Row number</w:t>
            </w:r>
          </w:p>
        </w:tc>
        <w:tc>
          <w:tcPr>
            <w:tcW w:w="5181" w:type="dxa"/>
          </w:tcPr>
          <w:p w14:paraId="10BEDC1C" w14:textId="77777777" w:rsidR="005D2E65" w:rsidRPr="000C0B6C" w:rsidRDefault="005D2E65" w:rsidP="00690111">
            <w:pPr>
              <w:rPr>
                <w:b/>
              </w:rPr>
            </w:pPr>
            <w:r w:rsidRPr="000C0B6C">
              <w:rPr>
                <w:b/>
                <w:sz w:val="22"/>
                <w:szCs w:val="22"/>
              </w:rPr>
              <w:t>Comment</w:t>
            </w:r>
          </w:p>
        </w:tc>
      </w:tr>
      <w:tr w:rsidR="005D2E65" w:rsidRPr="000C0B6C" w14:paraId="10BEDC24" w14:textId="77777777" w:rsidTr="11D3D8DA">
        <w:trPr>
          <w:trHeight w:val="224"/>
        </w:trPr>
        <w:tc>
          <w:tcPr>
            <w:tcW w:w="803" w:type="dxa"/>
          </w:tcPr>
          <w:p w14:paraId="10BEDC1E" w14:textId="77777777" w:rsidR="005D2E65" w:rsidRPr="000C0B6C" w:rsidRDefault="00306FC1" w:rsidP="005D2E65">
            <w:r>
              <w:t>1</w:t>
            </w:r>
          </w:p>
        </w:tc>
        <w:tc>
          <w:tcPr>
            <w:tcW w:w="914" w:type="dxa"/>
          </w:tcPr>
          <w:p w14:paraId="10BEDC1F" w14:textId="77777777" w:rsidR="005D2E65" w:rsidRPr="000C0B6C" w:rsidRDefault="00306FC1" w:rsidP="005D2E65">
            <w:r>
              <w:t>2</w:t>
            </w:r>
          </w:p>
        </w:tc>
        <w:tc>
          <w:tcPr>
            <w:tcW w:w="1536" w:type="dxa"/>
          </w:tcPr>
          <w:p w14:paraId="10BEDC20" w14:textId="77777777" w:rsidR="005D2E65" w:rsidRPr="000C0B6C" w:rsidRDefault="00306FC1" w:rsidP="005D2E65">
            <w:r>
              <w:t>C</w:t>
            </w:r>
          </w:p>
        </w:tc>
        <w:tc>
          <w:tcPr>
            <w:tcW w:w="1172" w:type="dxa"/>
            <w:gridSpan w:val="2"/>
          </w:tcPr>
          <w:p w14:paraId="10BEDC21" w14:textId="77777777" w:rsidR="005D2E65" w:rsidRPr="000C0B6C" w:rsidRDefault="00306FC1" w:rsidP="005D2E65">
            <w:r>
              <w:t>15</w:t>
            </w:r>
          </w:p>
        </w:tc>
        <w:tc>
          <w:tcPr>
            <w:tcW w:w="5181" w:type="dxa"/>
          </w:tcPr>
          <w:p w14:paraId="10BEDC22" w14:textId="77777777" w:rsidR="000B7CA9" w:rsidRPr="000B7CA9" w:rsidRDefault="000B7CA9" w:rsidP="005D2E65">
            <w:pPr>
              <w:rPr>
                <w:b/>
                <w:bCs/>
              </w:rPr>
            </w:pPr>
            <w:r w:rsidRPr="000B7CA9">
              <w:rPr>
                <w:b/>
                <w:bCs/>
              </w:rPr>
              <w:t xml:space="preserve">Monitoring element for Goal A2 (Ecosystem integrity and connectivity (terrestrial, </w:t>
            </w:r>
            <w:proofErr w:type="gramStart"/>
            <w:r w:rsidRPr="000B7CA9">
              <w:rPr>
                <w:b/>
                <w:bCs/>
              </w:rPr>
              <w:t>freshwater</w:t>
            </w:r>
            <w:proofErr w:type="gramEnd"/>
            <w:r w:rsidRPr="000B7CA9">
              <w:rPr>
                <w:b/>
                <w:bCs/>
              </w:rPr>
              <w:t xml:space="preserve"> and marine ecosystems)): Trends in fragmentation and quality of forest ecosystems</w:t>
            </w:r>
          </w:p>
          <w:p w14:paraId="10BEDC23" w14:textId="0A2E710D" w:rsidR="005D2E65" w:rsidRPr="000C0B6C" w:rsidRDefault="001B136C" w:rsidP="005D2E65">
            <w:r w:rsidRPr="001B136C">
              <w:t xml:space="preserve">We propose the inclusion of the River Connectivity Status Index (CSI) as an indicator. The CSI is a measure of a river’s connectivity along four different dimensions. It is an important addition to terrestrial and marine-focused connectivity indicators. Connectivity is a critical element of riverine health: it allows for species and sediment </w:t>
            </w:r>
            <w:r w:rsidRPr="001B136C">
              <w:lastRenderedPageBreak/>
              <w:t>movement as well as hydrologic cycles. The CSI is a peer-reviewed indicator using the best available data.</w:t>
            </w:r>
          </w:p>
        </w:tc>
      </w:tr>
      <w:tr w:rsidR="005D2E65" w:rsidRPr="000C0B6C" w14:paraId="10BEDC2B" w14:textId="77777777" w:rsidTr="11D3D8DA">
        <w:trPr>
          <w:trHeight w:val="224"/>
        </w:trPr>
        <w:tc>
          <w:tcPr>
            <w:tcW w:w="803" w:type="dxa"/>
          </w:tcPr>
          <w:p w14:paraId="10BEDC25" w14:textId="77777777" w:rsidR="005D2E65" w:rsidRPr="000C0B6C" w:rsidRDefault="00306FC1" w:rsidP="005D2E65">
            <w:r>
              <w:lastRenderedPageBreak/>
              <w:t>1</w:t>
            </w:r>
          </w:p>
        </w:tc>
        <w:tc>
          <w:tcPr>
            <w:tcW w:w="914" w:type="dxa"/>
          </w:tcPr>
          <w:p w14:paraId="10BEDC26" w14:textId="77777777" w:rsidR="005D2E65" w:rsidRPr="000C0B6C" w:rsidRDefault="00503178" w:rsidP="005D2E65">
            <w:r>
              <w:t>4</w:t>
            </w:r>
          </w:p>
        </w:tc>
        <w:tc>
          <w:tcPr>
            <w:tcW w:w="1536" w:type="dxa"/>
          </w:tcPr>
          <w:p w14:paraId="10BEDC27" w14:textId="77777777" w:rsidR="005D2E65" w:rsidRPr="000C0B6C" w:rsidRDefault="00306FC1" w:rsidP="005D2E65">
            <w:r>
              <w:t>C</w:t>
            </w:r>
          </w:p>
        </w:tc>
        <w:tc>
          <w:tcPr>
            <w:tcW w:w="1172" w:type="dxa"/>
            <w:gridSpan w:val="2"/>
          </w:tcPr>
          <w:p w14:paraId="10BEDC28" w14:textId="77777777" w:rsidR="005D2E65" w:rsidRPr="000C0B6C" w:rsidRDefault="00306FC1" w:rsidP="005D2E65">
            <w:r>
              <w:t>42</w:t>
            </w:r>
          </w:p>
        </w:tc>
        <w:tc>
          <w:tcPr>
            <w:tcW w:w="5181" w:type="dxa"/>
          </w:tcPr>
          <w:p w14:paraId="10BEDC29" w14:textId="77777777" w:rsidR="005D2E65" w:rsidRPr="00503178" w:rsidRDefault="00503178" w:rsidP="005D2E65">
            <w:pPr>
              <w:rPr>
                <w:b/>
                <w:bCs/>
              </w:rPr>
            </w:pPr>
            <w:r w:rsidRPr="00503178">
              <w:rPr>
                <w:b/>
                <w:bCs/>
              </w:rPr>
              <w:t>Indicator for moni</w:t>
            </w:r>
            <w:r w:rsidR="009E7135">
              <w:rPr>
                <w:b/>
                <w:bCs/>
              </w:rPr>
              <w:t>tor</w:t>
            </w:r>
            <w:r w:rsidRPr="00503178">
              <w:rPr>
                <w:b/>
                <w:bCs/>
              </w:rPr>
              <w:t xml:space="preserve">ing element </w:t>
            </w:r>
            <w:r w:rsidR="0057082A">
              <w:rPr>
                <w:b/>
                <w:bCs/>
              </w:rPr>
              <w:t>(</w:t>
            </w:r>
            <w:r w:rsidRPr="00503178">
              <w:rPr>
                <w:b/>
                <w:bCs/>
              </w:rPr>
              <w:t>Trends in area of terrestrial and inland water areas conserved</w:t>
            </w:r>
            <w:r w:rsidR="0057082A">
              <w:rPr>
                <w:b/>
                <w:bCs/>
              </w:rPr>
              <w:t>)</w:t>
            </w:r>
            <w:r w:rsidRPr="00503178">
              <w:rPr>
                <w:b/>
                <w:bCs/>
              </w:rPr>
              <w:t xml:space="preserve"> for goal A6 (Protection of critical ecosystems): </w:t>
            </w:r>
            <w:r w:rsidR="00306FC1" w:rsidRPr="00503178">
              <w:rPr>
                <w:b/>
                <w:bCs/>
              </w:rPr>
              <w:t>Protected area coverage</w:t>
            </w:r>
          </w:p>
          <w:p w14:paraId="10BEDC2A" w14:textId="5DE2E3B2" w:rsidR="00841F73" w:rsidRPr="000C0B6C" w:rsidRDefault="001F5813" w:rsidP="005D2E65">
            <w:r w:rsidRPr="001F5813">
              <w:t xml:space="preserve">In addition to protected areas coverage, we recommend using the protected area downgrading, downsizing, and </w:t>
            </w:r>
            <w:proofErr w:type="spellStart"/>
            <w:r w:rsidRPr="001F5813">
              <w:t>degazettement</w:t>
            </w:r>
            <w:proofErr w:type="spellEnd"/>
            <w:r w:rsidRPr="001F5813">
              <w:t xml:space="preserve"> (PADDD) indicator to assess quality and change in protected areas. Tracking dynamics of protected area size and status (including upgrades, downgrades, expansions, downsizes, establishments, and </w:t>
            </w:r>
            <w:proofErr w:type="spellStart"/>
            <w:r w:rsidRPr="001F5813">
              <w:t>degazettements</w:t>
            </w:r>
            <w:proofErr w:type="spellEnd"/>
            <w:r w:rsidRPr="001F5813">
              <w:t xml:space="preserve">) would provide a much more accurate and informative picture of PA and OECM progress. We note our recommendation in Target 2 (Row 47) to integrate PADDD and urge its inclusion there.  </w:t>
            </w:r>
          </w:p>
        </w:tc>
      </w:tr>
      <w:tr w:rsidR="00306FC1" w:rsidRPr="000C0B6C" w14:paraId="10BEDC32" w14:textId="77777777" w:rsidTr="11D3D8DA">
        <w:trPr>
          <w:trHeight w:val="224"/>
        </w:trPr>
        <w:tc>
          <w:tcPr>
            <w:tcW w:w="803" w:type="dxa"/>
          </w:tcPr>
          <w:p w14:paraId="10BEDC2C" w14:textId="77777777" w:rsidR="00306FC1" w:rsidRPr="000C0B6C" w:rsidRDefault="00306FC1" w:rsidP="00306FC1">
            <w:r>
              <w:t>1</w:t>
            </w:r>
          </w:p>
        </w:tc>
        <w:tc>
          <w:tcPr>
            <w:tcW w:w="914" w:type="dxa"/>
          </w:tcPr>
          <w:p w14:paraId="10BEDC2D" w14:textId="77777777" w:rsidR="00306FC1" w:rsidRPr="000C0B6C" w:rsidRDefault="0057082A" w:rsidP="00306FC1">
            <w:r>
              <w:t>4</w:t>
            </w:r>
          </w:p>
        </w:tc>
        <w:tc>
          <w:tcPr>
            <w:tcW w:w="1536" w:type="dxa"/>
          </w:tcPr>
          <w:p w14:paraId="10BEDC2E" w14:textId="77777777" w:rsidR="00306FC1" w:rsidRPr="000C0B6C" w:rsidRDefault="00306FC1" w:rsidP="00306FC1">
            <w:r>
              <w:t>C</w:t>
            </w:r>
          </w:p>
        </w:tc>
        <w:tc>
          <w:tcPr>
            <w:tcW w:w="1172" w:type="dxa"/>
            <w:gridSpan w:val="2"/>
          </w:tcPr>
          <w:p w14:paraId="10BEDC2F" w14:textId="77777777" w:rsidR="00306FC1" w:rsidRPr="000C0B6C" w:rsidRDefault="00306FC1" w:rsidP="00306FC1">
            <w:r>
              <w:t>43</w:t>
            </w:r>
          </w:p>
        </w:tc>
        <w:tc>
          <w:tcPr>
            <w:tcW w:w="5181" w:type="dxa"/>
          </w:tcPr>
          <w:p w14:paraId="10BEDC30" w14:textId="397B61A2" w:rsidR="00BA3876" w:rsidRDefault="0057082A" w:rsidP="00306FC1">
            <w:r w:rsidRPr="04FCF47D">
              <w:rPr>
                <w:b/>
                <w:bCs/>
              </w:rPr>
              <w:t>Indicator for monit</w:t>
            </w:r>
            <w:r w:rsidR="398558A5" w:rsidRPr="04FCF47D">
              <w:rPr>
                <w:b/>
                <w:bCs/>
              </w:rPr>
              <w:t>o</w:t>
            </w:r>
            <w:r w:rsidRPr="04FCF47D">
              <w:rPr>
                <w:b/>
                <w:bCs/>
              </w:rPr>
              <w:t xml:space="preserve">ring element (Trends in area of terrestrial and inland water areas conserved) for goal A6 (Protection of critical ecosystems): </w:t>
            </w:r>
            <w:r w:rsidR="00306FC1" w:rsidRPr="04FCF47D">
              <w:rPr>
                <w:b/>
                <w:bCs/>
              </w:rPr>
              <w:t>Coverage of other effective area-based conservation</w:t>
            </w:r>
            <w:r w:rsidRPr="04FCF47D">
              <w:rPr>
                <w:b/>
                <w:bCs/>
              </w:rPr>
              <w:t xml:space="preserve"> </w:t>
            </w:r>
            <w:r w:rsidR="00841F73" w:rsidRPr="04FCF47D">
              <w:rPr>
                <w:b/>
                <w:bCs/>
              </w:rPr>
              <w:t>M</w:t>
            </w:r>
            <w:r w:rsidR="00306FC1" w:rsidRPr="04FCF47D">
              <w:rPr>
                <w:b/>
                <w:bCs/>
              </w:rPr>
              <w:t>easures</w:t>
            </w:r>
            <w:r w:rsidR="00841F73">
              <w:t xml:space="preserve">. </w:t>
            </w:r>
          </w:p>
          <w:p w14:paraId="10BEDC31" w14:textId="2DEEEFE2" w:rsidR="00306FC1" w:rsidRPr="000C0B6C" w:rsidRDefault="006B4D9B" w:rsidP="00306FC1">
            <w:r w:rsidRPr="006B4D9B">
              <w:t xml:space="preserve">We want to ensure that PAs and OECMs also include areas that are conserved by Indigenous Peoples and Local Communities (IPLCs) where appropriate.  IPLC-governed areas can fit into either category and the process to determine this should be addressed with the consent and participation of IPLCs. We recommend a specific indicator on IPLC areas in Target 20 (Row 242) below which can help in clarifying these important differences.  </w:t>
            </w:r>
          </w:p>
        </w:tc>
      </w:tr>
      <w:tr w:rsidR="002E0643" w:rsidRPr="000C0B6C" w14:paraId="10BEDC3A" w14:textId="77777777" w:rsidTr="11D3D8DA">
        <w:trPr>
          <w:trHeight w:val="224"/>
        </w:trPr>
        <w:tc>
          <w:tcPr>
            <w:tcW w:w="803" w:type="dxa"/>
          </w:tcPr>
          <w:p w14:paraId="10BEDC33" w14:textId="77777777" w:rsidR="002E0643" w:rsidRDefault="002E0643" w:rsidP="002E0643">
            <w:r>
              <w:t>1</w:t>
            </w:r>
          </w:p>
        </w:tc>
        <w:tc>
          <w:tcPr>
            <w:tcW w:w="914" w:type="dxa"/>
          </w:tcPr>
          <w:p w14:paraId="10BEDC34" w14:textId="77777777" w:rsidR="002E0643" w:rsidRDefault="002E0643" w:rsidP="002E0643">
            <w:r>
              <w:t>4</w:t>
            </w:r>
          </w:p>
        </w:tc>
        <w:tc>
          <w:tcPr>
            <w:tcW w:w="1536" w:type="dxa"/>
          </w:tcPr>
          <w:p w14:paraId="10BEDC35" w14:textId="77777777" w:rsidR="002E0643" w:rsidRDefault="002E0643" w:rsidP="002E0643">
            <w:r>
              <w:t>C</w:t>
            </w:r>
          </w:p>
        </w:tc>
        <w:tc>
          <w:tcPr>
            <w:tcW w:w="1172" w:type="dxa"/>
            <w:gridSpan w:val="2"/>
          </w:tcPr>
          <w:p w14:paraId="10BEDC36" w14:textId="77777777" w:rsidR="002E0643" w:rsidRDefault="002E0643" w:rsidP="002E0643">
            <w:r>
              <w:t>48</w:t>
            </w:r>
          </w:p>
        </w:tc>
        <w:tc>
          <w:tcPr>
            <w:tcW w:w="5181" w:type="dxa"/>
          </w:tcPr>
          <w:p w14:paraId="10BEDC39" w14:textId="74B5D003" w:rsidR="002E0643" w:rsidRDefault="002E0643" w:rsidP="000F3260">
            <w:pPr>
              <w:rPr>
                <w:b/>
                <w:bCs/>
              </w:rPr>
            </w:pPr>
            <w:r>
              <w:rPr>
                <w:b/>
                <w:bCs/>
              </w:rPr>
              <w:t xml:space="preserve">Indicator for </w:t>
            </w:r>
            <w:r w:rsidRPr="00BA3876">
              <w:rPr>
                <w:b/>
                <w:bCs/>
              </w:rPr>
              <w:t xml:space="preserve">Monitoring element for goal A6 (Protection of critical ecosystems): Trends in areas of </w:t>
            </w:r>
            <w:proofErr w:type="gramStart"/>
            <w:r w:rsidRPr="00BA3876">
              <w:rPr>
                <w:b/>
                <w:bCs/>
              </w:rPr>
              <w:t>particular importance</w:t>
            </w:r>
            <w:proofErr w:type="gramEnd"/>
            <w:r w:rsidRPr="00BA3876">
              <w:rPr>
                <w:b/>
                <w:bCs/>
              </w:rPr>
              <w:t xml:space="preserve"> for ecosystem services conserved.  </w:t>
            </w:r>
            <w:r w:rsidR="006B4D9B" w:rsidRPr="006B4D9B">
              <w:t>We recommend adding “Global stocks of Irrecoverable Carbon” as an indicator for this element. “Stocks” will be measured in two ways: (1) the area of the carbon-containing places that are conserved, and (2) mass of carbon contained in this area. Climate change is one of the major threats to biodiversity and irrecoverable carbon represents the places that we most urgently need to protect to maintain climate stability. Irrecoverable carbon is carbon in ecosystems that is vulnerable to loss during a land-</w:t>
            </w:r>
            <w:r w:rsidR="006B4D9B" w:rsidRPr="006B4D9B">
              <w:lastRenderedPageBreak/>
              <w:t xml:space="preserve">use conversion and, if lost, could not be recovered by 2050 (the timeframe by which we need to reach net zero emissions). We can track annually the proportion of irrecoverable carbon that is still intact by using an updated dataset and map from CI.  </w:t>
            </w:r>
          </w:p>
        </w:tc>
      </w:tr>
      <w:tr w:rsidR="002E0643" w:rsidRPr="000C0B6C" w14:paraId="10BEDC42" w14:textId="77777777" w:rsidTr="11D3D8DA">
        <w:trPr>
          <w:trHeight w:val="224"/>
        </w:trPr>
        <w:tc>
          <w:tcPr>
            <w:tcW w:w="803" w:type="dxa"/>
          </w:tcPr>
          <w:p w14:paraId="10BEDC3B" w14:textId="77777777" w:rsidR="002E0643" w:rsidRPr="000C0B6C" w:rsidRDefault="002E0643" w:rsidP="002E0643">
            <w:r>
              <w:lastRenderedPageBreak/>
              <w:t>1</w:t>
            </w:r>
          </w:p>
        </w:tc>
        <w:tc>
          <w:tcPr>
            <w:tcW w:w="914" w:type="dxa"/>
          </w:tcPr>
          <w:p w14:paraId="10BEDC3C" w14:textId="77777777" w:rsidR="002E0643" w:rsidRPr="000C0B6C" w:rsidRDefault="002E0643" w:rsidP="002E0643">
            <w:r>
              <w:t>4</w:t>
            </w:r>
          </w:p>
        </w:tc>
        <w:tc>
          <w:tcPr>
            <w:tcW w:w="1536" w:type="dxa"/>
          </w:tcPr>
          <w:p w14:paraId="10BEDC3D" w14:textId="77777777" w:rsidR="002E0643" w:rsidRPr="000C0B6C" w:rsidRDefault="002E0643" w:rsidP="002E0643">
            <w:r>
              <w:t>C</w:t>
            </w:r>
          </w:p>
        </w:tc>
        <w:tc>
          <w:tcPr>
            <w:tcW w:w="1172" w:type="dxa"/>
            <w:gridSpan w:val="2"/>
          </w:tcPr>
          <w:p w14:paraId="10BEDC3E" w14:textId="77777777" w:rsidR="002E0643" w:rsidRPr="000C0B6C" w:rsidRDefault="002E0643" w:rsidP="002E0643">
            <w:r>
              <w:t>48</w:t>
            </w:r>
          </w:p>
        </w:tc>
        <w:tc>
          <w:tcPr>
            <w:tcW w:w="5181" w:type="dxa"/>
          </w:tcPr>
          <w:p w14:paraId="3A4E2230" w14:textId="77777777" w:rsidR="00786106" w:rsidRDefault="002E0643" w:rsidP="00786106">
            <w:r>
              <w:rPr>
                <w:b/>
                <w:bCs/>
              </w:rPr>
              <w:t>Indicator</w:t>
            </w:r>
            <w:r w:rsidR="002B567E">
              <w:rPr>
                <w:b/>
                <w:bCs/>
              </w:rPr>
              <w:t>s</w:t>
            </w:r>
            <w:r>
              <w:rPr>
                <w:b/>
                <w:bCs/>
              </w:rPr>
              <w:t xml:space="preserve"> for </w:t>
            </w:r>
            <w:r w:rsidRPr="00BA3876">
              <w:rPr>
                <w:b/>
                <w:bCs/>
              </w:rPr>
              <w:t xml:space="preserve">Monitoring element for goal A6 (Protection of critical ecosystems): Trends in areas of </w:t>
            </w:r>
            <w:proofErr w:type="gramStart"/>
            <w:r w:rsidRPr="00BA3876">
              <w:rPr>
                <w:b/>
                <w:bCs/>
              </w:rPr>
              <w:t>particular importance</w:t>
            </w:r>
            <w:proofErr w:type="gramEnd"/>
            <w:r w:rsidRPr="00BA3876">
              <w:rPr>
                <w:b/>
                <w:bCs/>
              </w:rPr>
              <w:t xml:space="preserve"> for ecosystem services conserved.  </w:t>
            </w:r>
            <w:r w:rsidR="00786106">
              <w:t xml:space="preserve">We recommend using an indicator that would assess protection coverage of the range of areas important to ecosystem services as identified in Goal B.  </w:t>
            </w:r>
          </w:p>
          <w:p w14:paraId="62825EAE" w14:textId="77777777" w:rsidR="00786106" w:rsidRDefault="00786106" w:rsidP="00786106"/>
          <w:p w14:paraId="10BEDC41" w14:textId="3E7731D9" w:rsidR="002E0643" w:rsidRPr="000C0B6C" w:rsidRDefault="00786106" w:rsidP="00786106">
            <w:r>
              <w:t xml:space="preserve">In addition, we have proposed adding areas of </w:t>
            </w:r>
            <w:proofErr w:type="gramStart"/>
            <w:r>
              <w:t>particular importance</w:t>
            </w:r>
            <w:proofErr w:type="gramEnd"/>
            <w:r>
              <w:t xml:space="preserve"> for ecosystem services to the monitoring elements of Target 2 (see below, Table 2, Rows 39-42).</w:t>
            </w:r>
          </w:p>
        </w:tc>
      </w:tr>
      <w:tr w:rsidR="0072037D" w:rsidRPr="000C0B6C" w14:paraId="21DDEB70" w14:textId="77777777" w:rsidTr="11D3D8DA">
        <w:trPr>
          <w:trHeight w:val="224"/>
        </w:trPr>
        <w:tc>
          <w:tcPr>
            <w:tcW w:w="803" w:type="dxa"/>
          </w:tcPr>
          <w:p w14:paraId="391CC319" w14:textId="49D2D174" w:rsidR="0072037D" w:rsidRDefault="0072037D" w:rsidP="002E0643">
            <w:bookmarkStart w:id="2" w:name="_Hlk45198362"/>
            <w:r>
              <w:t>1</w:t>
            </w:r>
          </w:p>
        </w:tc>
        <w:tc>
          <w:tcPr>
            <w:tcW w:w="914" w:type="dxa"/>
          </w:tcPr>
          <w:p w14:paraId="1F75673B" w14:textId="6CF68ED7" w:rsidR="0072037D" w:rsidRDefault="0072037D" w:rsidP="002E0643">
            <w:r>
              <w:t>5</w:t>
            </w:r>
          </w:p>
        </w:tc>
        <w:tc>
          <w:tcPr>
            <w:tcW w:w="1536" w:type="dxa"/>
          </w:tcPr>
          <w:p w14:paraId="76061168" w14:textId="4C8A33EB" w:rsidR="0072037D" w:rsidRDefault="0072037D" w:rsidP="002E0643">
            <w:r>
              <w:t>C</w:t>
            </w:r>
          </w:p>
        </w:tc>
        <w:tc>
          <w:tcPr>
            <w:tcW w:w="1172" w:type="dxa"/>
            <w:gridSpan w:val="2"/>
          </w:tcPr>
          <w:p w14:paraId="61D6ADDA" w14:textId="08AF6A35" w:rsidR="0072037D" w:rsidRDefault="0072037D" w:rsidP="002E0643">
            <w:r>
              <w:t>56</w:t>
            </w:r>
          </w:p>
        </w:tc>
        <w:tc>
          <w:tcPr>
            <w:tcW w:w="5181" w:type="dxa"/>
          </w:tcPr>
          <w:p w14:paraId="1CBBF495" w14:textId="1DB6CD91" w:rsidR="0072037D" w:rsidRDefault="0072037D" w:rsidP="0072037D">
            <w:pPr>
              <w:rPr>
                <w:rStyle w:val="normaltextrun"/>
                <w:b/>
                <w:bCs/>
                <w:color w:val="000000"/>
              </w:rPr>
            </w:pPr>
            <w:r>
              <w:rPr>
                <w:b/>
                <w:bCs/>
              </w:rPr>
              <w:t xml:space="preserve">Indicator for Monitoring element for </w:t>
            </w:r>
            <w:r w:rsidRPr="00A271E9">
              <w:rPr>
                <w:b/>
                <w:bCs/>
              </w:rPr>
              <w:t xml:space="preserve">Goal </w:t>
            </w:r>
            <w:r>
              <w:rPr>
                <w:b/>
                <w:bCs/>
              </w:rPr>
              <w:t xml:space="preserve">Element </w:t>
            </w:r>
            <w:r w:rsidRPr="00A271E9">
              <w:rPr>
                <w:b/>
                <w:bCs/>
              </w:rPr>
              <w:t>B1</w:t>
            </w:r>
            <w:r>
              <w:rPr>
                <w:b/>
                <w:bCs/>
              </w:rPr>
              <w:t>.</w:t>
            </w:r>
            <w:r w:rsidRPr="00A271E9">
              <w:rPr>
                <w:b/>
                <w:bCs/>
              </w:rPr>
              <w:t xml:space="preserve"> Nature’s regulating contributions including climate regulation, disaster prevention and other</w:t>
            </w:r>
            <w:r>
              <w:rPr>
                <w:b/>
                <w:bCs/>
              </w:rPr>
              <w:t xml:space="preserve">: </w:t>
            </w:r>
            <w:r w:rsidRPr="0072037D">
              <w:rPr>
                <w:rStyle w:val="normaltextrun"/>
                <w:b/>
                <w:bCs/>
                <w:color w:val="000000"/>
              </w:rPr>
              <w:t>Trends in regulation of climate</w:t>
            </w:r>
          </w:p>
          <w:p w14:paraId="0135E562" w14:textId="77777777" w:rsidR="001C3F63" w:rsidRDefault="001C3F63" w:rsidP="001C3F63">
            <w:r>
              <w:t xml:space="preserve">We propose deleting the certified forest indicator because forests/ecosystems can contribute to climate change mitigation without being verified. However, we do note the importance of certification as an indicator in other parts of the framework. </w:t>
            </w:r>
          </w:p>
          <w:p w14:paraId="0BAD7FED" w14:textId="77777777" w:rsidR="001C3F63" w:rsidRDefault="001C3F63" w:rsidP="001C3F63"/>
          <w:p w14:paraId="1A1157BB" w14:textId="77777777" w:rsidR="001C3F63" w:rsidRDefault="001C3F63" w:rsidP="001C3F63">
            <w:r>
              <w:t xml:space="preserve">It is critical that we track enhanced sinks and reduced emissions of terrestrial carbon as well as the enhanced sequestration of carbon by native ecosystems. Both are essential for climate change mitigation.  As such, we propose two indicators for this monitoring element:  </w:t>
            </w:r>
          </w:p>
          <w:p w14:paraId="265F5B7E" w14:textId="77777777" w:rsidR="001C3F63" w:rsidRDefault="001C3F63" w:rsidP="001C3F63"/>
          <w:p w14:paraId="3345B599" w14:textId="77777777" w:rsidR="001C3F63" w:rsidRDefault="001C3F63" w:rsidP="001C3F63">
            <w:r>
              <w:t xml:space="preserve">(1) Irrecoverable carbon, which would be measured in carbon “stocks” of area and mass (see Goal B, line 48 above for more details on the definition of Irrecoverable carbon), and  </w:t>
            </w:r>
          </w:p>
          <w:p w14:paraId="14546EFC" w14:textId="77777777" w:rsidR="001C3F63" w:rsidRDefault="001C3F63" w:rsidP="001C3F63"/>
          <w:p w14:paraId="03D873C4" w14:textId="063284D1" w:rsidR="005C1AB2" w:rsidRPr="001E71A9" w:rsidRDefault="001C3F63" w:rsidP="001C3F63">
            <w:r>
              <w:t xml:space="preserve">(2) Carbon sequestration, which is calculated as the rate of addition of new biomass and/or soil carbon to a system on an annual </w:t>
            </w:r>
            <w:proofErr w:type="gramStart"/>
            <w:r>
              <w:t>basis.</w:t>
            </w:r>
            <w:r w:rsidR="001E71A9">
              <w:t>.</w:t>
            </w:r>
            <w:proofErr w:type="gramEnd"/>
            <w:r w:rsidR="00D53A97">
              <w:t xml:space="preserve"> </w:t>
            </w:r>
          </w:p>
        </w:tc>
      </w:tr>
      <w:bookmarkEnd w:id="2"/>
      <w:tr w:rsidR="002E0643" w:rsidRPr="000C0B6C" w14:paraId="10BEDC54" w14:textId="77777777" w:rsidTr="11D3D8DA">
        <w:trPr>
          <w:trHeight w:val="224"/>
        </w:trPr>
        <w:tc>
          <w:tcPr>
            <w:tcW w:w="803" w:type="dxa"/>
          </w:tcPr>
          <w:p w14:paraId="10BEDC4E" w14:textId="77777777" w:rsidR="002E0643" w:rsidRDefault="002E0643" w:rsidP="002E0643">
            <w:r>
              <w:t>1</w:t>
            </w:r>
          </w:p>
        </w:tc>
        <w:tc>
          <w:tcPr>
            <w:tcW w:w="914" w:type="dxa"/>
          </w:tcPr>
          <w:p w14:paraId="10BEDC4F" w14:textId="77777777" w:rsidR="002E0643" w:rsidRDefault="002E0643" w:rsidP="002E0643">
            <w:r>
              <w:t>5</w:t>
            </w:r>
          </w:p>
        </w:tc>
        <w:tc>
          <w:tcPr>
            <w:tcW w:w="1536" w:type="dxa"/>
          </w:tcPr>
          <w:p w14:paraId="10BEDC50" w14:textId="77777777" w:rsidR="002E0643" w:rsidRDefault="002E0643" w:rsidP="002E0643">
            <w:r>
              <w:t>C</w:t>
            </w:r>
          </w:p>
        </w:tc>
        <w:tc>
          <w:tcPr>
            <w:tcW w:w="1172" w:type="dxa"/>
            <w:gridSpan w:val="2"/>
          </w:tcPr>
          <w:p w14:paraId="10BEDC51" w14:textId="77777777" w:rsidR="002E0643" w:rsidRDefault="002E0643" w:rsidP="002E0643">
            <w:r>
              <w:t>58</w:t>
            </w:r>
          </w:p>
        </w:tc>
        <w:tc>
          <w:tcPr>
            <w:tcW w:w="5181" w:type="dxa"/>
          </w:tcPr>
          <w:p w14:paraId="466B9D0F" w14:textId="47831386" w:rsidR="008764FA" w:rsidRPr="008764FA" w:rsidRDefault="002E0643" w:rsidP="002E0643">
            <w:pPr>
              <w:rPr>
                <w:b/>
                <w:bCs/>
              </w:rPr>
            </w:pPr>
            <w:r>
              <w:rPr>
                <w:b/>
                <w:bCs/>
              </w:rPr>
              <w:t xml:space="preserve">Indicator for Monitoring element for </w:t>
            </w:r>
            <w:r w:rsidRPr="00A271E9">
              <w:rPr>
                <w:b/>
                <w:bCs/>
              </w:rPr>
              <w:t xml:space="preserve">Goal </w:t>
            </w:r>
            <w:r>
              <w:rPr>
                <w:b/>
                <w:bCs/>
              </w:rPr>
              <w:t xml:space="preserve">Element </w:t>
            </w:r>
            <w:r w:rsidRPr="00A271E9">
              <w:rPr>
                <w:b/>
                <w:bCs/>
              </w:rPr>
              <w:t>B1</w:t>
            </w:r>
            <w:r>
              <w:rPr>
                <w:b/>
                <w:bCs/>
              </w:rPr>
              <w:t>.</w:t>
            </w:r>
            <w:r w:rsidRPr="00A271E9">
              <w:rPr>
                <w:b/>
                <w:bCs/>
              </w:rPr>
              <w:t xml:space="preserve"> Nature’s regulating contributions including climate regulation, disaster prevention and other</w:t>
            </w:r>
            <w:r w:rsidR="00505468">
              <w:rPr>
                <w:b/>
                <w:bCs/>
              </w:rPr>
              <w:t>:</w:t>
            </w:r>
            <w:r>
              <w:rPr>
                <w:b/>
                <w:bCs/>
              </w:rPr>
              <w:t xml:space="preserve"> </w:t>
            </w:r>
            <w:r w:rsidRPr="00383E96">
              <w:rPr>
                <w:rStyle w:val="normaltextrun"/>
                <w:b/>
                <w:bCs/>
                <w:color w:val="000000"/>
              </w:rPr>
              <w:t xml:space="preserve">Trends in regulation of </w:t>
            </w:r>
            <w:r w:rsidRPr="00383E96">
              <w:rPr>
                <w:rStyle w:val="normaltextrun"/>
                <w:b/>
                <w:bCs/>
                <w:color w:val="000000"/>
              </w:rPr>
              <w:lastRenderedPageBreak/>
              <w:t xml:space="preserve">freshwater quantity, quality, </w:t>
            </w:r>
            <w:proofErr w:type="gramStart"/>
            <w:r w:rsidRPr="00383E96">
              <w:rPr>
                <w:rStyle w:val="normaltextrun"/>
                <w:b/>
                <w:bCs/>
                <w:color w:val="000000"/>
              </w:rPr>
              <w:t>location</w:t>
            </w:r>
            <w:proofErr w:type="gramEnd"/>
            <w:r w:rsidRPr="00383E96">
              <w:rPr>
                <w:rStyle w:val="normaltextrun"/>
                <w:b/>
                <w:bCs/>
                <w:color w:val="000000"/>
              </w:rPr>
              <w:t xml:space="preserve"> and timing</w:t>
            </w:r>
            <w:r w:rsidRPr="00383E96">
              <w:rPr>
                <w:rStyle w:val="eop"/>
                <w:rFonts w:ascii="Calibri" w:hAnsi="Calibri" w:cs="Calibri"/>
                <w:color w:val="000000"/>
                <w:sz w:val="22"/>
                <w:szCs w:val="22"/>
              </w:rPr>
              <w:t> </w:t>
            </w:r>
          </w:p>
          <w:p w14:paraId="10BEDC53" w14:textId="1C424BE4" w:rsidR="00505468" w:rsidRPr="003455C7" w:rsidRDefault="00646E24" w:rsidP="002E0643">
            <w:r w:rsidRPr="00646E24">
              <w:t>We propose an indicator that monitors the “status of ecosystems providing globally important services for the regulation of water quantity, quality, location and timing”.  Several organizations forming the Critical Natural Capital (CNC) Partnership2 are working together on developing the methodology for this indicator using a range of data sources. The indicator includes identification of the sites that deliver these services. This information can be provided at regular intervals to assess the state of water provisioning through ecosystem services across the globe.</w:t>
            </w:r>
          </w:p>
        </w:tc>
      </w:tr>
      <w:tr w:rsidR="002A1FFE" w:rsidRPr="000C0B6C" w14:paraId="5B5DC244" w14:textId="77777777" w:rsidTr="11D3D8DA">
        <w:trPr>
          <w:trHeight w:val="224"/>
        </w:trPr>
        <w:tc>
          <w:tcPr>
            <w:tcW w:w="803" w:type="dxa"/>
          </w:tcPr>
          <w:p w14:paraId="1B05A7C6" w14:textId="5CD7E414" w:rsidR="002A1FFE" w:rsidRDefault="002A1FFE" w:rsidP="002E0643">
            <w:r>
              <w:lastRenderedPageBreak/>
              <w:t>1</w:t>
            </w:r>
          </w:p>
        </w:tc>
        <w:tc>
          <w:tcPr>
            <w:tcW w:w="914" w:type="dxa"/>
          </w:tcPr>
          <w:p w14:paraId="43020E9A" w14:textId="55955482" w:rsidR="002A1FFE" w:rsidRDefault="002A1FFE" w:rsidP="002E0643">
            <w:r>
              <w:t>5</w:t>
            </w:r>
          </w:p>
        </w:tc>
        <w:tc>
          <w:tcPr>
            <w:tcW w:w="1536" w:type="dxa"/>
          </w:tcPr>
          <w:p w14:paraId="40F70236" w14:textId="41BEF3A2" w:rsidR="002A1FFE" w:rsidRDefault="002A1FFE" w:rsidP="002E0643">
            <w:r>
              <w:t>C</w:t>
            </w:r>
          </w:p>
        </w:tc>
        <w:tc>
          <w:tcPr>
            <w:tcW w:w="1172" w:type="dxa"/>
            <w:gridSpan w:val="2"/>
          </w:tcPr>
          <w:p w14:paraId="5F1CAA68" w14:textId="140C950E" w:rsidR="002A1FFE" w:rsidRDefault="002A1FFE" w:rsidP="002E0643">
            <w:r>
              <w:t>62</w:t>
            </w:r>
          </w:p>
        </w:tc>
        <w:tc>
          <w:tcPr>
            <w:tcW w:w="5181" w:type="dxa"/>
          </w:tcPr>
          <w:p w14:paraId="60352DBF" w14:textId="2CA86400" w:rsidR="002A1FFE" w:rsidRPr="008764FA" w:rsidRDefault="002A1FFE" w:rsidP="002A1FFE">
            <w:pPr>
              <w:rPr>
                <w:b/>
                <w:bCs/>
              </w:rPr>
            </w:pPr>
            <w:r>
              <w:rPr>
                <w:b/>
                <w:bCs/>
              </w:rPr>
              <w:t xml:space="preserve">Indicator for Monitoring element for </w:t>
            </w:r>
            <w:r w:rsidRPr="00A271E9">
              <w:rPr>
                <w:b/>
                <w:bCs/>
              </w:rPr>
              <w:t xml:space="preserve">Goal </w:t>
            </w:r>
            <w:r>
              <w:rPr>
                <w:b/>
                <w:bCs/>
              </w:rPr>
              <w:t xml:space="preserve">Element </w:t>
            </w:r>
            <w:r w:rsidRPr="00A271E9">
              <w:rPr>
                <w:b/>
                <w:bCs/>
              </w:rPr>
              <w:t>B1</w:t>
            </w:r>
            <w:r>
              <w:rPr>
                <w:b/>
                <w:bCs/>
              </w:rPr>
              <w:t>.</w:t>
            </w:r>
            <w:r w:rsidRPr="00A271E9">
              <w:rPr>
                <w:b/>
                <w:bCs/>
              </w:rPr>
              <w:t xml:space="preserve"> Nature’s regulating contributions including climate regulation, disaster prevention and other</w:t>
            </w:r>
            <w:r>
              <w:rPr>
                <w:b/>
                <w:bCs/>
              </w:rPr>
              <w:t xml:space="preserve">: </w:t>
            </w:r>
            <w:r w:rsidRPr="00383E96">
              <w:rPr>
                <w:rStyle w:val="normaltextrun"/>
                <w:b/>
                <w:bCs/>
                <w:color w:val="000000"/>
              </w:rPr>
              <w:t xml:space="preserve">Trends in regulation </w:t>
            </w:r>
            <w:r w:rsidRPr="002A1FFE">
              <w:rPr>
                <w:rStyle w:val="normaltextrun"/>
                <w:b/>
                <w:bCs/>
                <w:color w:val="000000"/>
              </w:rPr>
              <w:t>of hazards and extreme events</w:t>
            </w:r>
          </w:p>
          <w:p w14:paraId="69C23AFC" w14:textId="43E3CDA7" w:rsidR="002A1FFE" w:rsidRDefault="00646E24" w:rsidP="002E0643">
            <w:pPr>
              <w:rPr>
                <w:b/>
                <w:bCs/>
              </w:rPr>
            </w:pPr>
            <w:r w:rsidRPr="00646E24">
              <w:t>We recommend adding an indicator that monitors the status of ecosystems that provide coastal and terrestrial flood protection. Such an indicator would be based upon measures of extent and integrity of the ecosystems that provide the service, such as healthy mangroves protecting from coastal erosion. These disaster risk reduction services are currently being modelled by a range of methodologies and could be used for monitoring at various scales.</w:t>
            </w:r>
          </w:p>
        </w:tc>
      </w:tr>
      <w:tr w:rsidR="002E0643" w:rsidRPr="000C0B6C" w14:paraId="10BEDC5B" w14:textId="77777777" w:rsidTr="11D3D8DA">
        <w:trPr>
          <w:trHeight w:val="224"/>
        </w:trPr>
        <w:tc>
          <w:tcPr>
            <w:tcW w:w="803" w:type="dxa"/>
          </w:tcPr>
          <w:p w14:paraId="10BEDC55" w14:textId="77777777" w:rsidR="002E0643" w:rsidRPr="000C0B6C" w:rsidRDefault="002E0643" w:rsidP="002E0643">
            <w:r>
              <w:t>1</w:t>
            </w:r>
          </w:p>
        </w:tc>
        <w:tc>
          <w:tcPr>
            <w:tcW w:w="914" w:type="dxa"/>
          </w:tcPr>
          <w:p w14:paraId="10BEDC56" w14:textId="77777777" w:rsidR="002E0643" w:rsidRPr="000C0B6C" w:rsidRDefault="002E0643" w:rsidP="002E0643">
            <w:r>
              <w:t>6</w:t>
            </w:r>
          </w:p>
        </w:tc>
        <w:tc>
          <w:tcPr>
            <w:tcW w:w="1536" w:type="dxa"/>
          </w:tcPr>
          <w:p w14:paraId="10BEDC57" w14:textId="77777777" w:rsidR="002E0643" w:rsidRPr="000C0B6C" w:rsidRDefault="002E0643" w:rsidP="002E0643">
            <w:r>
              <w:t>A</w:t>
            </w:r>
          </w:p>
        </w:tc>
        <w:tc>
          <w:tcPr>
            <w:tcW w:w="1172" w:type="dxa"/>
            <w:gridSpan w:val="2"/>
          </w:tcPr>
          <w:p w14:paraId="10BEDC58" w14:textId="77777777" w:rsidR="002E0643" w:rsidRPr="000C0B6C" w:rsidRDefault="002E0643" w:rsidP="002E0643">
            <w:r>
              <w:t>64-67</w:t>
            </w:r>
          </w:p>
        </w:tc>
        <w:tc>
          <w:tcPr>
            <w:tcW w:w="5181" w:type="dxa"/>
          </w:tcPr>
          <w:p w14:paraId="10BEDC59" w14:textId="77777777" w:rsidR="002E0643" w:rsidRPr="003C3B06" w:rsidRDefault="002E0643" w:rsidP="002E0643">
            <w:pPr>
              <w:rPr>
                <w:b/>
                <w:bCs/>
              </w:rPr>
            </w:pPr>
            <w:r>
              <w:rPr>
                <w:b/>
                <w:bCs/>
              </w:rPr>
              <w:t xml:space="preserve">Goal Element </w:t>
            </w:r>
            <w:r w:rsidRPr="003C3B06">
              <w:rPr>
                <w:b/>
                <w:bCs/>
              </w:rPr>
              <w:t xml:space="preserve">B2. Nature’s material contributions including food, </w:t>
            </w:r>
            <w:proofErr w:type="gramStart"/>
            <w:r w:rsidRPr="003C3B06">
              <w:rPr>
                <w:b/>
                <w:bCs/>
              </w:rPr>
              <w:t>water</w:t>
            </w:r>
            <w:proofErr w:type="gramEnd"/>
            <w:r w:rsidRPr="003C3B06">
              <w:rPr>
                <w:b/>
                <w:bCs/>
              </w:rPr>
              <w:t xml:space="preserve"> and others</w:t>
            </w:r>
          </w:p>
          <w:p w14:paraId="10BEDC5A" w14:textId="15D1FBF2" w:rsidR="002E0643" w:rsidRPr="000C0B6C" w:rsidRDefault="0035406E" w:rsidP="002E0643">
            <w:r w:rsidRPr="0035406E">
              <w:t>We recommend adding “Trends in status of ecosystems providing globally important services for food security and nutrition” and “Trends in status of ecosystems providing globally important services for meeting human water needs”. These ecosystem services are being tracked by CI and partners through the Critical Natural Capital Partnership project2.</w:t>
            </w:r>
          </w:p>
        </w:tc>
      </w:tr>
      <w:tr w:rsidR="002E0643" w:rsidRPr="000C0B6C" w14:paraId="10BEDC62" w14:textId="77777777" w:rsidTr="11D3D8DA">
        <w:trPr>
          <w:trHeight w:val="224"/>
        </w:trPr>
        <w:tc>
          <w:tcPr>
            <w:tcW w:w="803" w:type="dxa"/>
          </w:tcPr>
          <w:p w14:paraId="10BEDC5C" w14:textId="77777777" w:rsidR="002E0643" w:rsidRPr="000C0B6C" w:rsidRDefault="002E0643" w:rsidP="002E0643">
            <w:r>
              <w:t>1</w:t>
            </w:r>
          </w:p>
        </w:tc>
        <w:tc>
          <w:tcPr>
            <w:tcW w:w="914" w:type="dxa"/>
          </w:tcPr>
          <w:p w14:paraId="10BEDC5D" w14:textId="77777777" w:rsidR="002E0643" w:rsidRPr="000C0B6C" w:rsidRDefault="002E0643" w:rsidP="002E0643">
            <w:r>
              <w:t>6</w:t>
            </w:r>
          </w:p>
        </w:tc>
        <w:tc>
          <w:tcPr>
            <w:tcW w:w="1536" w:type="dxa"/>
          </w:tcPr>
          <w:p w14:paraId="10BEDC5E" w14:textId="3C8DCC49" w:rsidR="002E0643" w:rsidRPr="000C0B6C" w:rsidRDefault="004F4351" w:rsidP="002E0643">
            <w:r>
              <w:t>C</w:t>
            </w:r>
          </w:p>
        </w:tc>
        <w:tc>
          <w:tcPr>
            <w:tcW w:w="1172" w:type="dxa"/>
            <w:gridSpan w:val="2"/>
          </w:tcPr>
          <w:p w14:paraId="10BEDC5F" w14:textId="77777777" w:rsidR="002E0643" w:rsidRPr="000C0B6C" w:rsidRDefault="002E0643" w:rsidP="002E0643">
            <w:r>
              <w:t>65</w:t>
            </w:r>
          </w:p>
        </w:tc>
        <w:tc>
          <w:tcPr>
            <w:tcW w:w="5181" w:type="dxa"/>
          </w:tcPr>
          <w:p w14:paraId="10BEDC60" w14:textId="0120949D" w:rsidR="002E0643" w:rsidRPr="003C3B06" w:rsidRDefault="004F4351" w:rsidP="002E0643">
            <w:pPr>
              <w:rPr>
                <w:b/>
                <w:bCs/>
              </w:rPr>
            </w:pPr>
            <w:r>
              <w:rPr>
                <w:b/>
                <w:bCs/>
              </w:rPr>
              <w:t xml:space="preserve">Indicators for </w:t>
            </w:r>
            <w:r w:rsidR="002E0643" w:rsidRPr="003C3B06">
              <w:rPr>
                <w:b/>
                <w:bCs/>
              </w:rPr>
              <w:t xml:space="preserve">Monitoring Element for Goal B2 (Nature’s material contributions including food, </w:t>
            </w:r>
            <w:proofErr w:type="gramStart"/>
            <w:r w:rsidR="002E0643" w:rsidRPr="003C3B06">
              <w:rPr>
                <w:b/>
                <w:bCs/>
              </w:rPr>
              <w:t>water</w:t>
            </w:r>
            <w:proofErr w:type="gramEnd"/>
            <w:r w:rsidR="002E0643" w:rsidRPr="003C3B06">
              <w:rPr>
                <w:b/>
                <w:bCs/>
              </w:rPr>
              <w:t xml:space="preserve"> and others): Trends in the provision of food and feed from biodiversity.</w:t>
            </w:r>
          </w:p>
          <w:p w14:paraId="10BEDC61" w14:textId="35C41561" w:rsidR="004F4351" w:rsidRPr="000C0B6C" w:rsidRDefault="00F44714" w:rsidP="002E0643">
            <w:r w:rsidRPr="00F44714">
              <w:t xml:space="preserve">An important indicator needed to monitor this element is “state of important sites delivering ecosystem services related to food”; these areas are essential to improving nutrition. Several </w:t>
            </w:r>
            <w:r w:rsidRPr="00F44714">
              <w:lastRenderedPageBreak/>
              <w:t xml:space="preserve">organizations, including CI, are working together as part of the Critical Natural Capital Partnership (see footnote on Page 3 above) to develop the methodology for this indicator using a range of data sources. The indicator would include identification of the sites that deliver these services and monitoring of their status. This information can be provided at regular intervals to assess the state of food provisioning through ecosystem services across the globe. This entails mapping the places around the world that are highest-performing in terms of providing provisioning of food-related ecosystem services to all humanity, particularly to the world’s most vulnerable people.  </w:t>
            </w:r>
          </w:p>
        </w:tc>
      </w:tr>
      <w:tr w:rsidR="002E0643" w:rsidRPr="000C0B6C" w14:paraId="10BEDC6A" w14:textId="77777777" w:rsidTr="11D3D8DA">
        <w:trPr>
          <w:trHeight w:val="224"/>
        </w:trPr>
        <w:tc>
          <w:tcPr>
            <w:tcW w:w="803" w:type="dxa"/>
          </w:tcPr>
          <w:p w14:paraId="10BEDC63" w14:textId="77777777" w:rsidR="002E0643" w:rsidRPr="000C0B6C" w:rsidRDefault="002E0643" w:rsidP="002E0643">
            <w:r>
              <w:lastRenderedPageBreak/>
              <w:t>1</w:t>
            </w:r>
          </w:p>
        </w:tc>
        <w:tc>
          <w:tcPr>
            <w:tcW w:w="914" w:type="dxa"/>
          </w:tcPr>
          <w:p w14:paraId="10BEDC64" w14:textId="77777777" w:rsidR="002E0643" w:rsidRPr="000C0B6C" w:rsidRDefault="002E0643" w:rsidP="002E0643">
            <w:r>
              <w:t>6</w:t>
            </w:r>
          </w:p>
        </w:tc>
        <w:tc>
          <w:tcPr>
            <w:tcW w:w="1536" w:type="dxa"/>
          </w:tcPr>
          <w:p w14:paraId="10BEDC65" w14:textId="6199F70B" w:rsidR="002E0643" w:rsidRPr="000C0B6C" w:rsidRDefault="004F4351" w:rsidP="002E0643">
            <w:r>
              <w:t>C</w:t>
            </w:r>
          </w:p>
        </w:tc>
        <w:tc>
          <w:tcPr>
            <w:tcW w:w="1172" w:type="dxa"/>
            <w:gridSpan w:val="2"/>
          </w:tcPr>
          <w:p w14:paraId="10BEDC66" w14:textId="77777777" w:rsidR="002E0643" w:rsidRPr="000C0B6C" w:rsidRDefault="002E0643" w:rsidP="002E0643">
            <w:r>
              <w:t>66</w:t>
            </w:r>
          </w:p>
        </w:tc>
        <w:tc>
          <w:tcPr>
            <w:tcW w:w="5181" w:type="dxa"/>
          </w:tcPr>
          <w:p w14:paraId="10BEDC69" w14:textId="564CEB27" w:rsidR="004F4351" w:rsidRPr="007C4699" w:rsidRDefault="004F4351" w:rsidP="007C4699">
            <w:pPr>
              <w:rPr>
                <w:b/>
                <w:bCs/>
              </w:rPr>
            </w:pPr>
            <w:r>
              <w:rPr>
                <w:b/>
                <w:bCs/>
              </w:rPr>
              <w:t xml:space="preserve">Indicators for </w:t>
            </w:r>
            <w:r w:rsidR="002E0643" w:rsidRPr="00A64C36">
              <w:rPr>
                <w:b/>
                <w:bCs/>
              </w:rPr>
              <w:t xml:space="preserve">Monitoring Element for Goal B2 (Nature’s material contributions including food, </w:t>
            </w:r>
            <w:proofErr w:type="gramStart"/>
            <w:r w:rsidR="002E0643" w:rsidRPr="00A64C36">
              <w:rPr>
                <w:b/>
                <w:bCs/>
              </w:rPr>
              <w:t>water</w:t>
            </w:r>
            <w:proofErr w:type="gramEnd"/>
            <w:r w:rsidR="002E0643" w:rsidRPr="00A64C36">
              <w:rPr>
                <w:b/>
                <w:bCs/>
              </w:rPr>
              <w:t xml:space="preserve"> and others): Trends in the provision of materials and</w:t>
            </w:r>
            <w:r>
              <w:rPr>
                <w:b/>
                <w:bCs/>
              </w:rPr>
              <w:t xml:space="preserve"> </w:t>
            </w:r>
            <w:r w:rsidR="002E0643" w:rsidRPr="04FCF47D">
              <w:rPr>
                <w:b/>
                <w:bCs/>
              </w:rPr>
              <w:t xml:space="preserve">assistance from biodiversity.  </w:t>
            </w:r>
            <w:r w:rsidR="007C4699" w:rsidRPr="007C4699">
              <w:t xml:space="preserve">We recommend tracking the state of areas that provide critical levels of ecosystem services through delivery of materials, such as non-timber forest products, which is part of the data assessed by the Critical Natural Capital (CNC) partnership (see footnote on Page 3 above). The research community's ability to estimate or model the provision of wild fiber, fuel, medicine, materials to people is advancing. </w:t>
            </w:r>
          </w:p>
        </w:tc>
      </w:tr>
      <w:tr w:rsidR="002E0643" w:rsidRPr="000C0B6C" w14:paraId="10BEDC71" w14:textId="77777777" w:rsidTr="11D3D8DA">
        <w:trPr>
          <w:trHeight w:val="224"/>
        </w:trPr>
        <w:tc>
          <w:tcPr>
            <w:tcW w:w="803" w:type="dxa"/>
          </w:tcPr>
          <w:p w14:paraId="10BEDC6B" w14:textId="77777777" w:rsidR="002E0643" w:rsidRPr="000C0B6C" w:rsidRDefault="002E0643" w:rsidP="002E0643">
            <w:r>
              <w:t>2</w:t>
            </w:r>
          </w:p>
        </w:tc>
        <w:tc>
          <w:tcPr>
            <w:tcW w:w="914" w:type="dxa"/>
          </w:tcPr>
          <w:p w14:paraId="10BEDC6C" w14:textId="77777777" w:rsidR="002E0643" w:rsidRPr="000C0B6C" w:rsidRDefault="002E0643" w:rsidP="002E0643">
            <w:r>
              <w:t>9</w:t>
            </w:r>
          </w:p>
        </w:tc>
        <w:tc>
          <w:tcPr>
            <w:tcW w:w="1536" w:type="dxa"/>
          </w:tcPr>
          <w:p w14:paraId="10BEDC6D" w14:textId="77777777" w:rsidR="002E0643" w:rsidRPr="000C0B6C" w:rsidRDefault="002E0643" w:rsidP="002E0643">
            <w:r>
              <w:t>C</w:t>
            </w:r>
          </w:p>
        </w:tc>
        <w:tc>
          <w:tcPr>
            <w:tcW w:w="1172" w:type="dxa"/>
            <w:gridSpan w:val="2"/>
          </w:tcPr>
          <w:p w14:paraId="10BEDC6E" w14:textId="77777777" w:rsidR="002E0643" w:rsidRPr="000C0B6C" w:rsidRDefault="002E0643" w:rsidP="002E0643">
            <w:r>
              <w:t>24</w:t>
            </w:r>
          </w:p>
        </w:tc>
        <w:tc>
          <w:tcPr>
            <w:tcW w:w="5181" w:type="dxa"/>
          </w:tcPr>
          <w:p w14:paraId="10BEDC6F" w14:textId="77777777" w:rsidR="002E0643" w:rsidRPr="008E4FA9" w:rsidRDefault="002E0643" w:rsidP="002E0643">
            <w:pPr>
              <w:rPr>
                <w:b/>
                <w:bCs/>
              </w:rPr>
            </w:pPr>
            <w:r w:rsidRPr="55917AB6">
              <w:rPr>
                <w:b/>
                <w:bCs/>
              </w:rPr>
              <w:t xml:space="preserve">Indicator for Monitoring element (Trend </w:t>
            </w:r>
            <w:proofErr w:type="gramStart"/>
            <w:r w:rsidRPr="55917AB6">
              <w:rPr>
                <w:b/>
                <w:bCs/>
              </w:rPr>
              <w:t>in the area of</w:t>
            </w:r>
            <w:proofErr w:type="gramEnd"/>
            <w:r w:rsidRPr="55917AB6">
              <w:rPr>
                <w:b/>
                <w:bCs/>
              </w:rPr>
              <w:t xml:space="preserve"> degraded terrestrial ecosystems restored) for T1.4 (Restoration of degraded ecosystems): Proportion of land that is degraded over total land area (SDG indicator 15.3.1). </w:t>
            </w:r>
          </w:p>
          <w:p w14:paraId="6449C13C" w14:textId="77777777" w:rsidR="002E0643" w:rsidRDefault="002E0643" w:rsidP="002E0643">
            <w:r>
              <w:t xml:space="preserve">In addition to tracking trends in degraded </w:t>
            </w:r>
            <w:r w:rsidR="2914DBC8">
              <w:t>ecosystems</w:t>
            </w:r>
            <w:r>
              <w:t xml:space="preserve"> that have been restored, we recommend measuring the proportion of land that is degraded over total land area. This element monitored under the UNCCD and SDG 15.3.1 and both use the indicator “</w:t>
            </w:r>
            <w:proofErr w:type="spellStart"/>
            <w:r>
              <w:t>Trends.Earth</w:t>
            </w:r>
            <w:proofErr w:type="spellEnd"/>
            <w:r>
              <w:t xml:space="preserve">”, which uses indices that monitor changes in primary productivity, land cover and soil organic carbon. We </w:t>
            </w:r>
            <w:r w:rsidR="5844C0FF">
              <w:t>recommend adoption</w:t>
            </w:r>
            <w:r>
              <w:t xml:space="preserve"> of this monitoring element and indicator by the CBD as well.</w:t>
            </w:r>
          </w:p>
          <w:p w14:paraId="69050F41" w14:textId="77777777" w:rsidR="00EB7B59" w:rsidRDefault="00EB7B59" w:rsidP="002E0643"/>
          <w:p w14:paraId="10BEDC70" w14:textId="5955DDB5" w:rsidR="00EB7B59" w:rsidRPr="000C0B6C" w:rsidRDefault="00EB7B59" w:rsidP="002E0643">
            <w:r>
              <w:t>We also recommend an indicator of restoration quality.  “</w:t>
            </w:r>
            <w:proofErr w:type="spellStart"/>
            <w:r>
              <w:t>Trends.Earth</w:t>
            </w:r>
            <w:proofErr w:type="spellEnd"/>
            <w:r>
              <w:t xml:space="preserve">” picks up changes in productivity but not necessarily whether such a change contributes to biodiversity increase. CI is working with a partner to explore a proxy </w:t>
            </w:r>
            <w:r>
              <w:lastRenderedPageBreak/>
              <w:t>indicator: increase in secondary natural forest cover.</w:t>
            </w:r>
          </w:p>
        </w:tc>
      </w:tr>
      <w:tr w:rsidR="005C1AB2" w:rsidRPr="000C0B6C" w14:paraId="43E2E4B6" w14:textId="77777777" w:rsidTr="11D3D8DA">
        <w:trPr>
          <w:trHeight w:val="224"/>
        </w:trPr>
        <w:tc>
          <w:tcPr>
            <w:tcW w:w="803" w:type="dxa"/>
          </w:tcPr>
          <w:p w14:paraId="1E046CF6" w14:textId="7B2AA6B8" w:rsidR="005C1AB2" w:rsidRDefault="005C1AB2" w:rsidP="005C1AB2">
            <w:r>
              <w:lastRenderedPageBreak/>
              <w:t>2</w:t>
            </w:r>
          </w:p>
        </w:tc>
        <w:tc>
          <w:tcPr>
            <w:tcW w:w="914" w:type="dxa"/>
          </w:tcPr>
          <w:p w14:paraId="2AD4CABF" w14:textId="2E4AEB76" w:rsidR="005C1AB2" w:rsidRDefault="005C1AB2" w:rsidP="005C1AB2">
            <w:r>
              <w:t>10</w:t>
            </w:r>
          </w:p>
        </w:tc>
        <w:tc>
          <w:tcPr>
            <w:tcW w:w="1536" w:type="dxa"/>
          </w:tcPr>
          <w:p w14:paraId="4072CFC3" w14:textId="0B37E935" w:rsidR="005C1AB2" w:rsidRDefault="005C1AB2" w:rsidP="005C1AB2">
            <w:r>
              <w:t>C</w:t>
            </w:r>
          </w:p>
        </w:tc>
        <w:tc>
          <w:tcPr>
            <w:tcW w:w="1172" w:type="dxa"/>
            <w:gridSpan w:val="2"/>
          </w:tcPr>
          <w:p w14:paraId="0F994588" w14:textId="7AFA59D6" w:rsidR="005C1AB2" w:rsidRDefault="005C1AB2" w:rsidP="005C1AB2">
            <w:r>
              <w:t>31</w:t>
            </w:r>
          </w:p>
        </w:tc>
        <w:tc>
          <w:tcPr>
            <w:tcW w:w="5181" w:type="dxa"/>
          </w:tcPr>
          <w:p w14:paraId="736F6E43" w14:textId="77777777" w:rsidR="005C1AB2" w:rsidRPr="00A00569" w:rsidRDefault="005C1AB2" w:rsidP="005C1AB2">
            <w:pPr>
              <w:rPr>
                <w:b/>
                <w:bCs/>
              </w:rPr>
            </w:pPr>
            <w:r w:rsidRPr="00A00569">
              <w:rPr>
                <w:b/>
                <w:bCs/>
              </w:rPr>
              <w:t xml:space="preserve">Indicator for monitoring element (Trends in habitat connectivity) for Target T1.5 (Maintenance and restoration of connectivity of natural ecosystem): </w:t>
            </w:r>
          </w:p>
          <w:p w14:paraId="14E5FFCC" w14:textId="77777777" w:rsidR="005C1AB2" w:rsidRPr="00A00569" w:rsidRDefault="005C1AB2" w:rsidP="005C1AB2">
            <w:pPr>
              <w:rPr>
                <w:b/>
                <w:bCs/>
              </w:rPr>
            </w:pPr>
            <w:r w:rsidRPr="00A00569">
              <w:rPr>
                <w:b/>
                <w:bCs/>
              </w:rPr>
              <w:t>Protected Connected (</w:t>
            </w:r>
            <w:proofErr w:type="spellStart"/>
            <w:r w:rsidRPr="00A00569">
              <w:rPr>
                <w:b/>
                <w:bCs/>
              </w:rPr>
              <w:t>Protconn</w:t>
            </w:r>
            <w:proofErr w:type="spellEnd"/>
            <w:r w:rsidRPr="00A00569">
              <w:rPr>
                <w:b/>
                <w:bCs/>
              </w:rPr>
              <w:t xml:space="preserve">). </w:t>
            </w:r>
          </w:p>
          <w:p w14:paraId="060D3625" w14:textId="116BB9AF" w:rsidR="005C1AB2" w:rsidRPr="55917AB6" w:rsidRDefault="000B4278" w:rsidP="005C1AB2">
            <w:pPr>
              <w:rPr>
                <w:b/>
                <w:bCs/>
              </w:rPr>
            </w:pPr>
            <w:r w:rsidRPr="000B4278">
              <w:t xml:space="preserve">We recommend the specific development of a marine connectivity indicator with the support of Conservation International, IUCN’s Marine Connectivity Working Group, and </w:t>
            </w:r>
            <w:proofErr w:type="gramStart"/>
            <w:r w:rsidRPr="000B4278">
              <w:t>a number of</w:t>
            </w:r>
            <w:proofErr w:type="gramEnd"/>
            <w:r w:rsidRPr="000B4278">
              <w:t xml:space="preserve"> academic and other institutions. This would entail the development of a method for assessing connectivity of marine protection and/or connectivity of marine habitats (also relevant to the habitat fragmentation element). The resulting indicator would also have relevance for other UN Conventions and processes such as the High Seas Treaty and the SDGs.</w:t>
            </w:r>
          </w:p>
        </w:tc>
      </w:tr>
      <w:tr w:rsidR="002E0643" w:rsidRPr="000C0B6C" w14:paraId="10BEDC78" w14:textId="77777777" w:rsidTr="11D3D8DA">
        <w:trPr>
          <w:trHeight w:val="224"/>
        </w:trPr>
        <w:tc>
          <w:tcPr>
            <w:tcW w:w="803" w:type="dxa"/>
          </w:tcPr>
          <w:p w14:paraId="10BEDC72" w14:textId="77777777" w:rsidR="002E0643" w:rsidRPr="000C0B6C" w:rsidRDefault="002E0643" w:rsidP="002E0643">
            <w:r>
              <w:t>2</w:t>
            </w:r>
          </w:p>
        </w:tc>
        <w:tc>
          <w:tcPr>
            <w:tcW w:w="914" w:type="dxa"/>
          </w:tcPr>
          <w:p w14:paraId="10BEDC73" w14:textId="77777777" w:rsidR="002E0643" w:rsidRPr="000C0B6C" w:rsidRDefault="002E0643" w:rsidP="002E0643">
            <w:r>
              <w:t>10</w:t>
            </w:r>
          </w:p>
        </w:tc>
        <w:tc>
          <w:tcPr>
            <w:tcW w:w="1536" w:type="dxa"/>
          </w:tcPr>
          <w:p w14:paraId="10BEDC74" w14:textId="77777777" w:rsidR="002E0643" w:rsidRPr="000C0B6C" w:rsidRDefault="002E0643" w:rsidP="002E0643">
            <w:r>
              <w:t>C</w:t>
            </w:r>
          </w:p>
        </w:tc>
        <w:tc>
          <w:tcPr>
            <w:tcW w:w="1172" w:type="dxa"/>
            <w:gridSpan w:val="2"/>
          </w:tcPr>
          <w:p w14:paraId="10BEDC75" w14:textId="77777777" w:rsidR="002E0643" w:rsidRPr="000C0B6C" w:rsidRDefault="002E0643" w:rsidP="002E0643">
            <w:r>
              <w:t>35</w:t>
            </w:r>
          </w:p>
        </w:tc>
        <w:tc>
          <w:tcPr>
            <w:tcW w:w="5181" w:type="dxa"/>
          </w:tcPr>
          <w:p w14:paraId="10BEDC76" w14:textId="4D6F5F1C" w:rsidR="002E0643" w:rsidRPr="00C70547" w:rsidRDefault="002E0643" w:rsidP="002E0643">
            <w:pPr>
              <w:rPr>
                <w:b/>
                <w:bCs/>
              </w:rPr>
            </w:pPr>
            <w:r w:rsidRPr="55917AB6">
              <w:rPr>
                <w:b/>
                <w:bCs/>
              </w:rPr>
              <w:t xml:space="preserve">Indicator for monitoring </w:t>
            </w:r>
            <w:r w:rsidR="6EFE5F61" w:rsidRPr="55917AB6">
              <w:rPr>
                <w:b/>
                <w:bCs/>
              </w:rPr>
              <w:t>element for</w:t>
            </w:r>
            <w:r w:rsidRPr="55917AB6">
              <w:rPr>
                <w:b/>
                <w:bCs/>
              </w:rPr>
              <w:t xml:space="preserve"> T2.1 </w:t>
            </w:r>
            <w:r w:rsidR="0047129A" w:rsidRPr="55917AB6">
              <w:rPr>
                <w:b/>
                <w:bCs/>
              </w:rPr>
              <w:t>(Trends in extent of protected areas)</w:t>
            </w:r>
            <w:r w:rsidRPr="55917AB6">
              <w:rPr>
                <w:b/>
                <w:bCs/>
              </w:rPr>
              <w:t xml:space="preserve">: Protected area coverage. </w:t>
            </w:r>
          </w:p>
          <w:p w14:paraId="10BEDC77" w14:textId="708D7BF0" w:rsidR="002E0643" w:rsidRPr="00926329" w:rsidRDefault="002E0643" w:rsidP="0047129A">
            <w:r>
              <w:t xml:space="preserve">We support the inclusion of </w:t>
            </w:r>
            <w:r w:rsidR="0047129A">
              <w:t xml:space="preserve">an indicator on </w:t>
            </w:r>
            <w:r>
              <w:t xml:space="preserve"> protected area downgrading, downsizing, and </w:t>
            </w:r>
            <w:proofErr w:type="spellStart"/>
            <w:r>
              <w:t>degazettement</w:t>
            </w:r>
            <w:proofErr w:type="spellEnd"/>
            <w:r>
              <w:t xml:space="preserve"> (PADDD) </w:t>
            </w:r>
            <w:r w:rsidR="0047129A">
              <w:t>to monitor this element of Target 2</w:t>
            </w:r>
            <w:r w:rsidR="005B0BDE">
              <w:t xml:space="preserve"> </w:t>
            </w:r>
            <w:r w:rsidR="0047129A">
              <w:t>because t</w:t>
            </w:r>
            <w:r>
              <w:t xml:space="preserve">racking </w:t>
            </w:r>
            <w:r w:rsidR="0047129A">
              <w:t xml:space="preserve">the </w:t>
            </w:r>
            <w:r>
              <w:t xml:space="preserve">dynamics of protected area size and status (including upgrades, downgrades, expansions, downsizes, establishments, and </w:t>
            </w:r>
            <w:proofErr w:type="spellStart"/>
            <w:r>
              <w:t>degazettements</w:t>
            </w:r>
            <w:proofErr w:type="spellEnd"/>
            <w:r>
              <w:t>)</w:t>
            </w:r>
            <w:r w:rsidR="0047129A">
              <w:t xml:space="preserve"> is an important aspect of the quality of areas under protection (or OECMs).</w:t>
            </w:r>
            <w:r>
              <w:t xml:space="preserve"> </w:t>
            </w:r>
            <w:r w:rsidR="0047129A">
              <w:t>PADDD specifically tracks 1)</w:t>
            </w:r>
            <w:r w:rsidR="5ED70D1E">
              <w:t xml:space="preserve"> </w:t>
            </w:r>
            <w:r w:rsidR="0047129A">
              <w:t>losses in coverage due to downsizing and </w:t>
            </w:r>
            <w:proofErr w:type="spellStart"/>
            <w:r w:rsidR="0047129A">
              <w:t>degazettement</w:t>
            </w:r>
            <w:proofErr w:type="spellEnd"/>
            <w:r w:rsidR="0047129A">
              <w:t xml:space="preserve"> and (2) Change in status and rules within protected areas, including downgrades to protected areas and other area-based conservation measures </w:t>
            </w:r>
          </w:p>
        </w:tc>
      </w:tr>
      <w:tr w:rsidR="002E0643" w:rsidRPr="000C0B6C" w14:paraId="10BEDC7F" w14:textId="77777777" w:rsidTr="11D3D8DA">
        <w:trPr>
          <w:trHeight w:val="224"/>
        </w:trPr>
        <w:tc>
          <w:tcPr>
            <w:tcW w:w="803" w:type="dxa"/>
          </w:tcPr>
          <w:p w14:paraId="10BEDC79" w14:textId="77777777" w:rsidR="002E0643" w:rsidRPr="000C0B6C" w:rsidRDefault="002E0643" w:rsidP="002E0643">
            <w:r>
              <w:t>2</w:t>
            </w:r>
          </w:p>
        </w:tc>
        <w:tc>
          <w:tcPr>
            <w:tcW w:w="914" w:type="dxa"/>
          </w:tcPr>
          <w:p w14:paraId="10BEDC7A" w14:textId="77777777" w:rsidR="002E0643" w:rsidRPr="000C0B6C" w:rsidRDefault="002E0643" w:rsidP="002E0643">
            <w:r>
              <w:t>11</w:t>
            </w:r>
          </w:p>
        </w:tc>
        <w:tc>
          <w:tcPr>
            <w:tcW w:w="1536" w:type="dxa"/>
          </w:tcPr>
          <w:p w14:paraId="10BEDC7B" w14:textId="77777777" w:rsidR="002E0643" w:rsidRPr="000C0B6C" w:rsidRDefault="002E0643" w:rsidP="002E0643">
            <w:r>
              <w:t>C</w:t>
            </w:r>
          </w:p>
        </w:tc>
        <w:tc>
          <w:tcPr>
            <w:tcW w:w="1172" w:type="dxa"/>
            <w:gridSpan w:val="2"/>
          </w:tcPr>
          <w:p w14:paraId="10BEDC7C" w14:textId="77777777" w:rsidR="002E0643" w:rsidRPr="000C0B6C" w:rsidRDefault="002E0643" w:rsidP="002E0643">
            <w:r>
              <w:t>38</w:t>
            </w:r>
          </w:p>
        </w:tc>
        <w:tc>
          <w:tcPr>
            <w:tcW w:w="5181" w:type="dxa"/>
          </w:tcPr>
          <w:p w14:paraId="10BEDC7D" w14:textId="77777777" w:rsidR="002E0643" w:rsidRDefault="002E0643" w:rsidP="002E0643">
            <w:r>
              <w:rPr>
                <w:b/>
                <w:bCs/>
              </w:rPr>
              <w:t>Indicator</w:t>
            </w:r>
            <w:r w:rsidRPr="00C70547">
              <w:rPr>
                <w:b/>
                <w:bCs/>
              </w:rPr>
              <w:t xml:space="preserve"> for </w:t>
            </w:r>
            <w:r>
              <w:rPr>
                <w:b/>
                <w:bCs/>
              </w:rPr>
              <w:t>m</w:t>
            </w:r>
            <w:r w:rsidRPr="00C70547">
              <w:rPr>
                <w:b/>
                <w:bCs/>
              </w:rPr>
              <w:t>onitoring element (</w:t>
            </w:r>
            <w:r w:rsidRPr="00810290">
              <w:rPr>
                <w:b/>
                <w:bCs/>
              </w:rPr>
              <w:t>Trends in extent of areas under other area-based conservation measures</w:t>
            </w:r>
            <w:r w:rsidRPr="00C70547">
              <w:rPr>
                <w:b/>
                <w:bCs/>
              </w:rPr>
              <w:t xml:space="preserve">) for T2.1 (Area of terrestrial, </w:t>
            </w:r>
            <w:proofErr w:type="gramStart"/>
            <w:r w:rsidRPr="00C70547">
              <w:rPr>
                <w:b/>
                <w:bCs/>
              </w:rPr>
              <w:t>freshwater</w:t>
            </w:r>
            <w:proofErr w:type="gramEnd"/>
            <w:r w:rsidRPr="00C70547">
              <w:rPr>
                <w:b/>
                <w:bCs/>
              </w:rPr>
              <w:t xml:space="preserve"> and marine ecosystem under protection and conservation</w:t>
            </w:r>
            <w:r w:rsidRPr="00810290">
              <w:rPr>
                <w:b/>
                <w:bCs/>
              </w:rPr>
              <w:t>): Coverage of other effective area-based conservation measures.</w:t>
            </w:r>
            <w:r>
              <w:t xml:space="preserve"> </w:t>
            </w:r>
          </w:p>
          <w:p w14:paraId="10BEDC7E" w14:textId="77777777" w:rsidR="002E0643" w:rsidRPr="000C0B6C" w:rsidRDefault="002E0643" w:rsidP="002E0643">
            <w:r w:rsidRPr="00841F73">
              <w:t xml:space="preserve">We recommend an indicator that measures the </w:t>
            </w:r>
            <w:r>
              <w:t>“</w:t>
            </w:r>
            <w:r w:rsidRPr="00841F73">
              <w:t>extent of IPLC lands that have some form of recognition, documentation and/or titling</w:t>
            </w:r>
            <w:r>
              <w:t>”</w:t>
            </w:r>
            <w:r w:rsidRPr="00841F73">
              <w:t xml:space="preserve">. Given the large proportion of intact lands under IPLC tenure or management, this governance type of </w:t>
            </w:r>
            <w:r w:rsidRPr="00841F73">
              <w:lastRenderedPageBreak/>
              <w:t>protected and conserved area needs concerted efforts for assessment. This will lead to strengthening of security and contribute to long-term biodiversity protection.</w:t>
            </w:r>
            <w:r>
              <w:t xml:space="preserve"> </w:t>
            </w:r>
          </w:p>
        </w:tc>
      </w:tr>
      <w:tr w:rsidR="00D33DAF" w:rsidRPr="000C0B6C" w14:paraId="5924388D" w14:textId="77777777" w:rsidTr="11D3D8DA">
        <w:trPr>
          <w:trHeight w:val="224"/>
        </w:trPr>
        <w:tc>
          <w:tcPr>
            <w:tcW w:w="803" w:type="dxa"/>
          </w:tcPr>
          <w:p w14:paraId="5F473CC8" w14:textId="3F530018" w:rsidR="00D33DAF" w:rsidRDefault="00D33DAF" w:rsidP="00D33DAF">
            <w:r>
              <w:lastRenderedPageBreak/>
              <w:t>2</w:t>
            </w:r>
          </w:p>
        </w:tc>
        <w:tc>
          <w:tcPr>
            <w:tcW w:w="914" w:type="dxa"/>
          </w:tcPr>
          <w:p w14:paraId="4AF3BB91" w14:textId="624C316F" w:rsidR="00D33DAF" w:rsidRDefault="00D33DAF" w:rsidP="00D33DAF">
            <w:r>
              <w:t>11</w:t>
            </w:r>
          </w:p>
        </w:tc>
        <w:tc>
          <w:tcPr>
            <w:tcW w:w="1536" w:type="dxa"/>
          </w:tcPr>
          <w:p w14:paraId="036F8DA2" w14:textId="20116BC8" w:rsidR="00D33DAF" w:rsidRDefault="00D33DAF" w:rsidP="00D33DAF">
            <w:r>
              <w:t>B</w:t>
            </w:r>
          </w:p>
        </w:tc>
        <w:tc>
          <w:tcPr>
            <w:tcW w:w="1172" w:type="dxa"/>
            <w:gridSpan w:val="2"/>
          </w:tcPr>
          <w:p w14:paraId="69993F2A" w14:textId="4C3047AA" w:rsidR="00D33DAF" w:rsidRDefault="00D33DAF" w:rsidP="00D33DAF">
            <w:r>
              <w:t>39-42</w:t>
            </w:r>
          </w:p>
        </w:tc>
        <w:tc>
          <w:tcPr>
            <w:tcW w:w="5181" w:type="dxa"/>
          </w:tcPr>
          <w:p w14:paraId="30043B23" w14:textId="04F21AE4" w:rsidR="009F18C9" w:rsidRPr="009F18C9" w:rsidRDefault="009F18C9" w:rsidP="009F18C9">
            <w:pPr>
              <w:rPr>
                <w:b/>
                <w:bCs/>
              </w:rPr>
            </w:pPr>
            <w:r w:rsidRPr="009F18C9">
              <w:rPr>
                <w:b/>
                <w:bCs/>
              </w:rPr>
              <w:t xml:space="preserve">Monitoring element for T2.2. (Areas of </w:t>
            </w:r>
            <w:proofErr w:type="gramStart"/>
            <w:r w:rsidRPr="009F18C9">
              <w:rPr>
                <w:b/>
                <w:bCs/>
              </w:rPr>
              <w:t>particular importance</w:t>
            </w:r>
            <w:proofErr w:type="gramEnd"/>
            <w:r w:rsidRPr="009F18C9">
              <w:rPr>
                <w:b/>
                <w:bCs/>
              </w:rPr>
              <w:t xml:space="preserve"> for biodiversity are protected and conserved as priority): Trends in proportion of areas of particular importance for biodiversity protected and conserved.  </w:t>
            </w:r>
          </w:p>
          <w:p w14:paraId="37191AC1" w14:textId="2D5D79FE" w:rsidR="00D33DAF" w:rsidRPr="009F18C9" w:rsidRDefault="009F18C9" w:rsidP="009F18C9">
            <w:r w:rsidRPr="009F18C9">
              <w:t xml:space="preserve">We recommend including an element that monitors the protected area and OECM coverage of priority areas delivering ecosystem services for climate, </w:t>
            </w:r>
            <w:proofErr w:type="gramStart"/>
            <w:r w:rsidRPr="009F18C9">
              <w:t>food</w:t>
            </w:r>
            <w:proofErr w:type="gramEnd"/>
            <w:r w:rsidRPr="009F18C9">
              <w:t xml:space="preserve"> and water. See Table 1 (Rows 64-67) above for further detail on how these trends can be measured.</w:t>
            </w:r>
          </w:p>
        </w:tc>
      </w:tr>
      <w:tr w:rsidR="002E0643" w:rsidRPr="000C0B6C" w14:paraId="10BEDC86" w14:textId="77777777" w:rsidTr="11D3D8DA">
        <w:trPr>
          <w:trHeight w:val="224"/>
        </w:trPr>
        <w:tc>
          <w:tcPr>
            <w:tcW w:w="803" w:type="dxa"/>
          </w:tcPr>
          <w:p w14:paraId="10BEDC80" w14:textId="77777777" w:rsidR="002E0643" w:rsidRPr="000C0B6C" w:rsidRDefault="002E0643" w:rsidP="002E0643">
            <w:r>
              <w:t>2</w:t>
            </w:r>
          </w:p>
        </w:tc>
        <w:tc>
          <w:tcPr>
            <w:tcW w:w="914" w:type="dxa"/>
          </w:tcPr>
          <w:p w14:paraId="10BEDC81" w14:textId="77777777" w:rsidR="002E0643" w:rsidRPr="000C0B6C" w:rsidRDefault="002E0643" w:rsidP="002E0643">
            <w:r>
              <w:t>11</w:t>
            </w:r>
          </w:p>
        </w:tc>
        <w:tc>
          <w:tcPr>
            <w:tcW w:w="1536" w:type="dxa"/>
          </w:tcPr>
          <w:p w14:paraId="10BEDC82" w14:textId="77777777" w:rsidR="002E0643" w:rsidRPr="000C0B6C" w:rsidRDefault="002E0643" w:rsidP="002E0643">
            <w:r>
              <w:t>B</w:t>
            </w:r>
          </w:p>
        </w:tc>
        <w:tc>
          <w:tcPr>
            <w:tcW w:w="1172" w:type="dxa"/>
            <w:gridSpan w:val="2"/>
          </w:tcPr>
          <w:p w14:paraId="10BEDC83" w14:textId="77777777" w:rsidR="002E0643" w:rsidRPr="000C0B6C" w:rsidRDefault="002E0643" w:rsidP="002E0643">
            <w:r>
              <w:t>39-42</w:t>
            </w:r>
          </w:p>
        </w:tc>
        <w:tc>
          <w:tcPr>
            <w:tcW w:w="5181" w:type="dxa"/>
          </w:tcPr>
          <w:p w14:paraId="10BEDC84" w14:textId="77777777" w:rsidR="002E0643" w:rsidRPr="0040122B" w:rsidRDefault="002E0643" w:rsidP="002E0643">
            <w:pPr>
              <w:rPr>
                <w:b/>
                <w:bCs/>
              </w:rPr>
            </w:pPr>
            <w:r w:rsidRPr="11D3D8DA">
              <w:rPr>
                <w:b/>
                <w:bCs/>
              </w:rPr>
              <w:t xml:space="preserve">Monitoring element for T2.2. (Areas of </w:t>
            </w:r>
            <w:proofErr w:type="gramStart"/>
            <w:r w:rsidRPr="11D3D8DA">
              <w:rPr>
                <w:b/>
                <w:bCs/>
              </w:rPr>
              <w:t>particular importance</w:t>
            </w:r>
            <w:proofErr w:type="gramEnd"/>
            <w:r w:rsidRPr="11D3D8DA">
              <w:rPr>
                <w:b/>
                <w:bCs/>
              </w:rPr>
              <w:t xml:space="preserve"> for biodiversity are protected and conserved as priority): Trends in proportion of areas of particular importance for biodiversity protected and conserved. </w:t>
            </w:r>
          </w:p>
          <w:p w14:paraId="46DC32CE" w14:textId="20CB1876" w:rsidR="002E0643" w:rsidRPr="008724BF" w:rsidRDefault="19B03373" w:rsidP="002E0643">
            <w:r>
              <w:t xml:space="preserve">We recommend adding the following Monitoring element: Trends in areas of </w:t>
            </w:r>
            <w:proofErr w:type="gramStart"/>
            <w:r>
              <w:t>particular importance</w:t>
            </w:r>
            <w:proofErr w:type="gramEnd"/>
            <w:r>
              <w:t xml:space="preserve"> for ecosystem services conserved. </w:t>
            </w:r>
          </w:p>
          <w:p w14:paraId="10BEDC85" w14:textId="05231980" w:rsidR="002E0643" w:rsidRPr="008724BF" w:rsidRDefault="19B03373" w:rsidP="11D3D8DA">
            <w:r>
              <w:t xml:space="preserve">Areas providing important ecosystem services are being identified by CI and partners through the Critical Natural Capital partnership3. This approach can help identify areas of </w:t>
            </w:r>
            <w:proofErr w:type="gramStart"/>
            <w:r>
              <w:t>particular importance</w:t>
            </w:r>
            <w:proofErr w:type="gramEnd"/>
            <w:r>
              <w:t xml:space="preserve"> to be prioritized for protection under Target 2. This information can then be used to assess trends over the next 10-30 years. </w:t>
            </w:r>
          </w:p>
        </w:tc>
      </w:tr>
      <w:tr w:rsidR="002E0643" w:rsidRPr="000C0B6C" w14:paraId="10BEDC8D" w14:textId="77777777" w:rsidTr="11D3D8DA">
        <w:trPr>
          <w:trHeight w:val="224"/>
        </w:trPr>
        <w:tc>
          <w:tcPr>
            <w:tcW w:w="803" w:type="dxa"/>
          </w:tcPr>
          <w:p w14:paraId="10BEDC87" w14:textId="77777777" w:rsidR="002E0643" w:rsidRPr="000C0B6C" w:rsidRDefault="002E0643" w:rsidP="002E0643">
            <w:bookmarkStart w:id="3" w:name="_Hlk44514156"/>
            <w:r>
              <w:t>2</w:t>
            </w:r>
          </w:p>
        </w:tc>
        <w:tc>
          <w:tcPr>
            <w:tcW w:w="914" w:type="dxa"/>
          </w:tcPr>
          <w:p w14:paraId="10BEDC88" w14:textId="77777777" w:rsidR="002E0643" w:rsidRPr="000C0B6C" w:rsidRDefault="002E0643" w:rsidP="002E0643">
            <w:r>
              <w:t>11</w:t>
            </w:r>
          </w:p>
        </w:tc>
        <w:tc>
          <w:tcPr>
            <w:tcW w:w="1536" w:type="dxa"/>
          </w:tcPr>
          <w:p w14:paraId="10BEDC89" w14:textId="77777777" w:rsidR="002E0643" w:rsidRPr="000C0B6C" w:rsidRDefault="002E0643" w:rsidP="002E0643">
            <w:r>
              <w:t>C</w:t>
            </w:r>
          </w:p>
        </w:tc>
        <w:tc>
          <w:tcPr>
            <w:tcW w:w="1172" w:type="dxa"/>
            <w:gridSpan w:val="2"/>
          </w:tcPr>
          <w:p w14:paraId="10BEDC8A" w14:textId="77777777" w:rsidR="002E0643" w:rsidRPr="000C0B6C" w:rsidRDefault="002E0643" w:rsidP="002E0643">
            <w:r>
              <w:t>48</w:t>
            </w:r>
          </w:p>
        </w:tc>
        <w:tc>
          <w:tcPr>
            <w:tcW w:w="5181" w:type="dxa"/>
          </w:tcPr>
          <w:p w14:paraId="10BEDC8B" w14:textId="77777777" w:rsidR="002E0643" w:rsidRPr="00510F5B" w:rsidRDefault="002E0643" w:rsidP="002E0643">
            <w:pPr>
              <w:rPr>
                <w:rStyle w:val="normaltextrun"/>
                <w:b/>
                <w:bCs/>
              </w:rPr>
            </w:pPr>
            <w:r w:rsidRPr="00510F5B">
              <w:rPr>
                <w:b/>
                <w:bCs/>
              </w:rPr>
              <w:t xml:space="preserve">Indicator for Monitoring Element T2.4. </w:t>
            </w:r>
            <w:r w:rsidRPr="00510F5B">
              <w:rPr>
                <w:rStyle w:val="normaltextrun"/>
                <w:b/>
                <w:bCs/>
                <w:color w:val="000000"/>
              </w:rPr>
              <w:t>Trends in proportion of protected areas and other effective </w:t>
            </w:r>
            <w:proofErr w:type="gramStart"/>
            <w:r w:rsidRPr="00510F5B">
              <w:rPr>
                <w:rStyle w:val="normaltextrun"/>
                <w:b/>
                <w:bCs/>
                <w:color w:val="000000"/>
              </w:rPr>
              <w:t>area based</w:t>
            </w:r>
            <w:proofErr w:type="gramEnd"/>
            <w:r w:rsidRPr="00510F5B">
              <w:rPr>
                <w:rStyle w:val="normaltextrun"/>
                <w:b/>
                <w:bCs/>
                <w:color w:val="000000"/>
              </w:rPr>
              <w:t> conservation measures under various governance regimes.</w:t>
            </w:r>
            <w:r w:rsidRPr="00510F5B">
              <w:rPr>
                <w:rStyle w:val="normaltextrun"/>
                <w:b/>
                <w:bCs/>
              </w:rPr>
              <w:t xml:space="preserve"> </w:t>
            </w:r>
          </w:p>
          <w:p w14:paraId="10BEDC8C" w14:textId="77777777" w:rsidR="002E0643" w:rsidRPr="000C0B6C" w:rsidRDefault="002E0643" w:rsidP="002E0643">
            <w:r>
              <w:rPr>
                <w:rStyle w:val="normaltextrun"/>
              </w:rPr>
              <w:t xml:space="preserve">We recommend developing a governance indicator for this monitoring element that determines effectiveness of governance, </w:t>
            </w:r>
            <w:proofErr w:type="gramStart"/>
            <w:r>
              <w:rPr>
                <w:rStyle w:val="normaltextrun"/>
              </w:rPr>
              <w:t>similar to</w:t>
            </w:r>
            <w:proofErr w:type="gramEnd"/>
            <w:r>
              <w:rPr>
                <w:rStyle w:val="normaltextrun"/>
              </w:rPr>
              <w:t xml:space="preserve"> how management effectiveness is assessed. </w:t>
            </w:r>
          </w:p>
        </w:tc>
      </w:tr>
      <w:bookmarkEnd w:id="3"/>
      <w:tr w:rsidR="002E0643" w:rsidRPr="000C0B6C" w14:paraId="10BEDC94" w14:textId="77777777" w:rsidTr="11D3D8DA">
        <w:trPr>
          <w:trHeight w:val="224"/>
        </w:trPr>
        <w:tc>
          <w:tcPr>
            <w:tcW w:w="803" w:type="dxa"/>
          </w:tcPr>
          <w:p w14:paraId="10BEDC8E" w14:textId="77777777" w:rsidR="002E0643" w:rsidRPr="000C0B6C" w:rsidRDefault="002E0643" w:rsidP="002E0643">
            <w:r>
              <w:t>2</w:t>
            </w:r>
          </w:p>
        </w:tc>
        <w:tc>
          <w:tcPr>
            <w:tcW w:w="914" w:type="dxa"/>
          </w:tcPr>
          <w:p w14:paraId="10BEDC8F" w14:textId="77777777" w:rsidR="002E0643" w:rsidRPr="000C0B6C" w:rsidRDefault="002E0643" w:rsidP="002E0643">
            <w:r>
              <w:t>12</w:t>
            </w:r>
          </w:p>
        </w:tc>
        <w:tc>
          <w:tcPr>
            <w:tcW w:w="1536" w:type="dxa"/>
          </w:tcPr>
          <w:p w14:paraId="10BEDC90" w14:textId="77777777" w:rsidR="002E0643" w:rsidRPr="000C0B6C" w:rsidRDefault="002E0643" w:rsidP="002E0643">
            <w:r>
              <w:t>C</w:t>
            </w:r>
          </w:p>
        </w:tc>
        <w:tc>
          <w:tcPr>
            <w:tcW w:w="1172" w:type="dxa"/>
            <w:gridSpan w:val="2"/>
          </w:tcPr>
          <w:p w14:paraId="10BEDC91" w14:textId="77777777" w:rsidR="002E0643" w:rsidRPr="000C0B6C" w:rsidRDefault="002E0643" w:rsidP="002E0643">
            <w:r>
              <w:t>52</w:t>
            </w:r>
          </w:p>
        </w:tc>
        <w:tc>
          <w:tcPr>
            <w:tcW w:w="5181" w:type="dxa"/>
          </w:tcPr>
          <w:p w14:paraId="10BEDC92" w14:textId="77777777" w:rsidR="002E0643" w:rsidRPr="0040122B" w:rsidRDefault="002E0643" w:rsidP="002E0643">
            <w:pPr>
              <w:rPr>
                <w:b/>
                <w:bCs/>
              </w:rPr>
            </w:pPr>
            <w:r w:rsidRPr="0040122B">
              <w:rPr>
                <w:b/>
                <w:bCs/>
              </w:rPr>
              <w:t>No indicator proposed for monitoring element (Policy and governance practices outside of protected areas and OECMs compatible with their management objectives) for T2.7. (Integration into landscape and seascape context)</w:t>
            </w:r>
          </w:p>
          <w:p w14:paraId="10BEDC93" w14:textId="77777777" w:rsidR="002E0643" w:rsidRPr="000C0B6C" w:rsidRDefault="002E0643" w:rsidP="002E0643">
            <w:r w:rsidRPr="00AB3C5E">
              <w:t>We</w:t>
            </w:r>
            <w:r>
              <w:t xml:space="preserve"> also</w:t>
            </w:r>
            <w:r w:rsidRPr="00AB3C5E">
              <w:t xml:space="preserve"> suggest an IPLC land tenure/management indicator</w:t>
            </w:r>
            <w:r>
              <w:t xml:space="preserve"> (see Row 38).</w:t>
            </w:r>
          </w:p>
        </w:tc>
      </w:tr>
      <w:tr w:rsidR="002E0643" w:rsidRPr="000C0B6C" w14:paraId="10BEDC9B" w14:textId="77777777" w:rsidTr="11D3D8DA">
        <w:trPr>
          <w:trHeight w:val="224"/>
        </w:trPr>
        <w:tc>
          <w:tcPr>
            <w:tcW w:w="803" w:type="dxa"/>
          </w:tcPr>
          <w:p w14:paraId="10BEDC95" w14:textId="77777777" w:rsidR="002E0643" w:rsidRPr="000C0B6C" w:rsidRDefault="002E0643" w:rsidP="002E0643">
            <w:r>
              <w:t>2</w:t>
            </w:r>
          </w:p>
        </w:tc>
        <w:tc>
          <w:tcPr>
            <w:tcW w:w="914" w:type="dxa"/>
          </w:tcPr>
          <w:p w14:paraId="10BEDC96" w14:textId="77777777" w:rsidR="002E0643" w:rsidRPr="000C0B6C" w:rsidRDefault="002E0643" w:rsidP="002E0643">
            <w:r>
              <w:t>16</w:t>
            </w:r>
          </w:p>
        </w:tc>
        <w:tc>
          <w:tcPr>
            <w:tcW w:w="1536" w:type="dxa"/>
          </w:tcPr>
          <w:p w14:paraId="10BEDC97" w14:textId="77777777" w:rsidR="002E0643" w:rsidRPr="000C0B6C" w:rsidRDefault="002E0643" w:rsidP="002E0643">
            <w:r>
              <w:t>C</w:t>
            </w:r>
          </w:p>
        </w:tc>
        <w:tc>
          <w:tcPr>
            <w:tcW w:w="1172" w:type="dxa"/>
            <w:gridSpan w:val="2"/>
          </w:tcPr>
          <w:p w14:paraId="10BEDC98" w14:textId="77777777" w:rsidR="002E0643" w:rsidRPr="000C0B6C" w:rsidRDefault="002E0643" w:rsidP="002E0643">
            <w:r>
              <w:t>97</w:t>
            </w:r>
          </w:p>
        </w:tc>
        <w:tc>
          <w:tcPr>
            <w:tcW w:w="5181" w:type="dxa"/>
          </w:tcPr>
          <w:p w14:paraId="10BEDC99" w14:textId="77777777" w:rsidR="002E0643" w:rsidRPr="00406D94" w:rsidRDefault="002E0643" w:rsidP="002E0643">
            <w:pPr>
              <w:rPr>
                <w:b/>
                <w:bCs/>
              </w:rPr>
            </w:pPr>
            <w:r>
              <w:rPr>
                <w:b/>
                <w:bCs/>
              </w:rPr>
              <w:t xml:space="preserve">Indicator for </w:t>
            </w:r>
            <w:r w:rsidRPr="00406D94">
              <w:rPr>
                <w:b/>
                <w:bCs/>
              </w:rPr>
              <w:t xml:space="preserve">Monitoring element for T7.1. (Increased biodiversity contribution to climate </w:t>
            </w:r>
            <w:r w:rsidRPr="00406D94">
              <w:rPr>
                <w:b/>
                <w:bCs/>
              </w:rPr>
              <w:lastRenderedPageBreak/>
              <w:t xml:space="preserve">change mitigation, </w:t>
            </w:r>
            <w:proofErr w:type="gramStart"/>
            <w:r w:rsidRPr="00406D94">
              <w:rPr>
                <w:b/>
                <w:bCs/>
              </w:rPr>
              <w:t>adaptation</w:t>
            </w:r>
            <w:proofErr w:type="gramEnd"/>
            <w:r w:rsidRPr="00406D94">
              <w:rPr>
                <w:b/>
                <w:bCs/>
              </w:rPr>
              <w:t xml:space="preserve"> and disaster risk reduction): Trends in carbon stocks in different ecosystems. </w:t>
            </w:r>
          </w:p>
          <w:p w14:paraId="10BEDC9A" w14:textId="55E5B7F7" w:rsidR="002E0643" w:rsidRPr="000C0B6C" w:rsidRDefault="002E0643" w:rsidP="002E0643">
            <w:r>
              <w:t xml:space="preserve">We recommend tracking this element </w:t>
            </w:r>
            <w:proofErr w:type="gramStart"/>
            <w:r>
              <w:t>through the use of</w:t>
            </w:r>
            <w:proofErr w:type="gramEnd"/>
            <w:r>
              <w:t xml:space="preserve"> an indicator on the “Trends in global stocks of Irrecoverable Carbon” through the use of the Irrecoverable Carbon data layer (see Table 1, Row 48 above). Irrecoverable carbon is carbon in ecosystems that is vulnerable to loss during a land-use conversion and, if lost, could not be recovered by 2050 (the timeframe by which we need to reach net zero emissions). CI manages this dataset with </w:t>
            </w:r>
            <w:r w:rsidR="4F972BDC">
              <w:t>partners,</w:t>
            </w:r>
            <w:r>
              <w:t xml:space="preserve"> and it tracks carbon content per ecosystem type.</w:t>
            </w:r>
          </w:p>
        </w:tc>
      </w:tr>
      <w:tr w:rsidR="002E0643" w:rsidRPr="000C0B6C" w14:paraId="10BEDCA2" w14:textId="77777777" w:rsidTr="11D3D8DA">
        <w:trPr>
          <w:trHeight w:val="224"/>
        </w:trPr>
        <w:tc>
          <w:tcPr>
            <w:tcW w:w="803" w:type="dxa"/>
          </w:tcPr>
          <w:p w14:paraId="10BEDC9C" w14:textId="77777777" w:rsidR="002E0643" w:rsidRPr="000C0B6C" w:rsidRDefault="002E0643" w:rsidP="002E0643">
            <w:r>
              <w:lastRenderedPageBreak/>
              <w:t>2</w:t>
            </w:r>
          </w:p>
        </w:tc>
        <w:tc>
          <w:tcPr>
            <w:tcW w:w="914" w:type="dxa"/>
          </w:tcPr>
          <w:p w14:paraId="10BEDC9D" w14:textId="77777777" w:rsidR="002E0643" w:rsidRPr="000C0B6C" w:rsidRDefault="002E0643" w:rsidP="002E0643">
            <w:r>
              <w:t>20</w:t>
            </w:r>
          </w:p>
        </w:tc>
        <w:tc>
          <w:tcPr>
            <w:tcW w:w="1536" w:type="dxa"/>
          </w:tcPr>
          <w:p w14:paraId="10BEDC9E" w14:textId="77777777" w:rsidR="002E0643" w:rsidRPr="000C0B6C" w:rsidRDefault="002E0643" w:rsidP="002E0643">
            <w:r>
              <w:t>C</w:t>
            </w:r>
          </w:p>
        </w:tc>
        <w:tc>
          <w:tcPr>
            <w:tcW w:w="1172" w:type="dxa"/>
            <w:gridSpan w:val="2"/>
          </w:tcPr>
          <w:p w14:paraId="10BEDC9F" w14:textId="77777777" w:rsidR="002E0643" w:rsidRPr="000C0B6C" w:rsidRDefault="002E0643" w:rsidP="002E0643">
            <w:r>
              <w:t>117</w:t>
            </w:r>
          </w:p>
        </w:tc>
        <w:tc>
          <w:tcPr>
            <w:tcW w:w="5181" w:type="dxa"/>
          </w:tcPr>
          <w:p w14:paraId="10BEDCA0" w14:textId="77777777" w:rsidR="002E0643" w:rsidRPr="00B3357F" w:rsidRDefault="002E0643" w:rsidP="002E0643">
            <w:pPr>
              <w:rPr>
                <w:b/>
                <w:bCs/>
              </w:rPr>
            </w:pPr>
            <w:r w:rsidRPr="00B3357F">
              <w:rPr>
                <w:b/>
                <w:bCs/>
              </w:rPr>
              <w:t xml:space="preserve">Indicator for monitoring element (Trends in area of agriculture under sustainable practices) for T9.1. (Sustainable management of agricultural biodiversity, including soil biodiversity, cultivated </w:t>
            </w:r>
            <w:proofErr w:type="gramStart"/>
            <w:r w:rsidRPr="00B3357F">
              <w:rPr>
                <w:b/>
                <w:bCs/>
              </w:rPr>
              <w:t>plants</w:t>
            </w:r>
            <w:proofErr w:type="gramEnd"/>
            <w:r w:rsidRPr="00B3357F">
              <w:rPr>
                <w:b/>
                <w:bCs/>
              </w:rPr>
              <w:t xml:space="preserve"> and farmed and domesticated animals and of wild relatives): Proportion of land that is degraded over total land area (SDG indicator 15.3.1). </w:t>
            </w:r>
          </w:p>
          <w:p w14:paraId="10BEDCA1" w14:textId="22D3B3CA" w:rsidR="002E0643" w:rsidRPr="000C0B6C" w:rsidRDefault="002E0643" w:rsidP="002E0643">
            <w:r>
              <w:t>We recommend measuring the proportion of land that is degraded over total land area. This element is monitored under the UNCCD and SDG 15.3.1 and both use the indicator “</w:t>
            </w:r>
            <w:proofErr w:type="spellStart"/>
            <w:r>
              <w:t>Trends.Earth</w:t>
            </w:r>
            <w:proofErr w:type="spellEnd"/>
            <w:r>
              <w:t xml:space="preserve">”, which uses indices that monitor changes in primary productivity, land cover and soil organic carbon.  We </w:t>
            </w:r>
            <w:r w:rsidR="609C1003">
              <w:t>recommend adoption</w:t>
            </w:r>
            <w:r>
              <w:t xml:space="preserve"> of this monitoring element and indicator by the CBD as well.</w:t>
            </w:r>
          </w:p>
        </w:tc>
      </w:tr>
      <w:tr w:rsidR="002E0643" w:rsidRPr="000C0B6C" w14:paraId="10BEDCA9" w14:textId="77777777" w:rsidTr="11D3D8DA">
        <w:trPr>
          <w:trHeight w:val="224"/>
        </w:trPr>
        <w:tc>
          <w:tcPr>
            <w:tcW w:w="803" w:type="dxa"/>
          </w:tcPr>
          <w:p w14:paraId="10BEDCA3" w14:textId="77777777" w:rsidR="002E0643" w:rsidRPr="000C0B6C" w:rsidRDefault="002E0643" w:rsidP="002E0643">
            <w:r>
              <w:t>2</w:t>
            </w:r>
          </w:p>
        </w:tc>
        <w:tc>
          <w:tcPr>
            <w:tcW w:w="914" w:type="dxa"/>
          </w:tcPr>
          <w:p w14:paraId="10BEDCA4" w14:textId="77777777" w:rsidR="002E0643" w:rsidRPr="000C0B6C" w:rsidRDefault="002E0643" w:rsidP="002E0643">
            <w:r>
              <w:t>21</w:t>
            </w:r>
          </w:p>
        </w:tc>
        <w:tc>
          <w:tcPr>
            <w:tcW w:w="1536" w:type="dxa"/>
          </w:tcPr>
          <w:p w14:paraId="10BEDCA5" w14:textId="77777777" w:rsidR="002E0643" w:rsidRPr="000C0B6C" w:rsidRDefault="002E0643" w:rsidP="002E0643">
            <w:r>
              <w:t>C</w:t>
            </w:r>
          </w:p>
        </w:tc>
        <w:tc>
          <w:tcPr>
            <w:tcW w:w="1172" w:type="dxa"/>
            <w:gridSpan w:val="2"/>
          </w:tcPr>
          <w:p w14:paraId="10BEDCA6" w14:textId="77777777" w:rsidR="002E0643" w:rsidRPr="000C0B6C" w:rsidRDefault="002E0643" w:rsidP="002E0643">
            <w:r>
              <w:t>129-131</w:t>
            </w:r>
          </w:p>
        </w:tc>
        <w:tc>
          <w:tcPr>
            <w:tcW w:w="5181" w:type="dxa"/>
          </w:tcPr>
          <w:p w14:paraId="4B8B88D0" w14:textId="34F3F65E" w:rsidR="00C21CFD" w:rsidRDefault="002E0643" w:rsidP="00C21CFD">
            <w:pPr>
              <w:rPr>
                <w:rStyle w:val="CommentReference"/>
              </w:rPr>
            </w:pPr>
            <w:r w:rsidRPr="11D3D8DA">
              <w:rPr>
                <w:b/>
                <w:bCs/>
              </w:rPr>
              <w:t xml:space="preserve">Indicator for Monitoring element for T10.3. (Regulation of freshwater quantity, quality, </w:t>
            </w:r>
            <w:proofErr w:type="gramStart"/>
            <w:r w:rsidRPr="11D3D8DA">
              <w:rPr>
                <w:b/>
                <w:bCs/>
              </w:rPr>
              <w:t>location</w:t>
            </w:r>
            <w:proofErr w:type="gramEnd"/>
            <w:r w:rsidRPr="11D3D8DA">
              <w:rPr>
                <w:b/>
                <w:bCs/>
              </w:rPr>
              <w:t xml:space="preserve"> and timing): Trends in natural freshwater ecosystems proving good ambient water</w:t>
            </w:r>
            <w:r w:rsidR="0072037D" w:rsidRPr="11D3D8DA">
              <w:rPr>
                <w:b/>
                <w:bCs/>
              </w:rPr>
              <w:t>.</w:t>
            </w:r>
          </w:p>
          <w:p w14:paraId="467361A1" w14:textId="5DE50107" w:rsidR="002E0643" w:rsidRDefault="71648543" w:rsidP="00C21CFD">
            <w:r>
              <w:t xml:space="preserve">We propose to adjust two of the proposed indicators for this element as follows:  </w:t>
            </w:r>
          </w:p>
          <w:p w14:paraId="35656494" w14:textId="77777777" w:rsidR="00D90001" w:rsidRPr="000C0B6C" w:rsidRDefault="00D90001" w:rsidP="00C21CFD"/>
          <w:p w14:paraId="6CD1B41D" w14:textId="0BEAD5FE" w:rsidR="002E0643" w:rsidRPr="000C0B6C" w:rsidRDefault="71648543" w:rsidP="00C21CFD">
            <w:r>
              <w:t xml:space="preserve">(1) Revise this indicator to “Change in the extent and status of water-related ecosystems over time (modified SDG indicator 6.6.1)”.  </w:t>
            </w:r>
          </w:p>
          <w:p w14:paraId="199C3AF0" w14:textId="0612CC24" w:rsidR="002E0643" w:rsidRPr="000C0B6C" w:rsidRDefault="71648543" w:rsidP="00C21CFD">
            <w:r>
              <w:t xml:space="preserve"> </w:t>
            </w:r>
          </w:p>
          <w:p w14:paraId="7B97BF58" w14:textId="645240F7" w:rsidR="002E0643" w:rsidRPr="000C0B6C" w:rsidRDefault="71648543" w:rsidP="00C21CFD">
            <w:r>
              <w:t xml:space="preserve">Additionally, define "water related ecosystems" to include both aquatic ecosystems and the terrestrial ecosystems that are essential for regulating the quality, </w:t>
            </w:r>
            <w:proofErr w:type="gramStart"/>
            <w:r>
              <w:t>quantity</w:t>
            </w:r>
            <w:proofErr w:type="gramEnd"/>
            <w:r>
              <w:t xml:space="preserve"> and timing of water. </w:t>
            </w:r>
          </w:p>
          <w:p w14:paraId="6C4B431F" w14:textId="65C12239" w:rsidR="002E0643" w:rsidRPr="000C0B6C" w:rsidRDefault="71648543" w:rsidP="00C21CFD">
            <w:r>
              <w:t xml:space="preserve"> </w:t>
            </w:r>
          </w:p>
          <w:p w14:paraId="10BEDCA8" w14:textId="4862C6EA" w:rsidR="002E0643" w:rsidRPr="000C0B6C" w:rsidRDefault="71648543" w:rsidP="11D3D8DA">
            <w:r>
              <w:t xml:space="preserve">(2) Proportion of bodies of water (inclusive of rivers, groundwater, floodplains, lakes, and </w:t>
            </w:r>
            <w:r>
              <w:lastRenderedPageBreak/>
              <w:t>wetlands) with good ambient water quality and quantity, including variations in quantity over time (modified SDG indicator 6.3.2) </w:t>
            </w:r>
          </w:p>
        </w:tc>
      </w:tr>
      <w:tr w:rsidR="002E0643" w:rsidRPr="000C0B6C" w14:paraId="10BEDCB1" w14:textId="77777777" w:rsidTr="11D3D8DA">
        <w:trPr>
          <w:trHeight w:val="224"/>
        </w:trPr>
        <w:tc>
          <w:tcPr>
            <w:tcW w:w="803" w:type="dxa"/>
          </w:tcPr>
          <w:p w14:paraId="10BEDCAA" w14:textId="77777777" w:rsidR="002E0643" w:rsidRPr="000C0B6C" w:rsidRDefault="002E0643" w:rsidP="002E0643">
            <w:r>
              <w:lastRenderedPageBreak/>
              <w:t>2</w:t>
            </w:r>
          </w:p>
        </w:tc>
        <w:tc>
          <w:tcPr>
            <w:tcW w:w="914" w:type="dxa"/>
          </w:tcPr>
          <w:p w14:paraId="10BEDCAB" w14:textId="77777777" w:rsidR="002E0643" w:rsidRPr="000C0B6C" w:rsidRDefault="002E0643" w:rsidP="002E0643">
            <w:r>
              <w:t>22</w:t>
            </w:r>
          </w:p>
        </w:tc>
        <w:tc>
          <w:tcPr>
            <w:tcW w:w="1536" w:type="dxa"/>
          </w:tcPr>
          <w:p w14:paraId="10BEDCAC" w14:textId="77777777" w:rsidR="002E0643" w:rsidRPr="000C0B6C" w:rsidRDefault="002E0643" w:rsidP="002E0643">
            <w:r>
              <w:t>A</w:t>
            </w:r>
          </w:p>
        </w:tc>
        <w:tc>
          <w:tcPr>
            <w:tcW w:w="1172" w:type="dxa"/>
            <w:gridSpan w:val="2"/>
          </w:tcPr>
          <w:p w14:paraId="10BEDCAD" w14:textId="77777777" w:rsidR="002E0643" w:rsidRPr="000C0B6C" w:rsidRDefault="002E0643" w:rsidP="002E0643">
            <w:r>
              <w:t>133-139</w:t>
            </w:r>
          </w:p>
        </w:tc>
        <w:tc>
          <w:tcPr>
            <w:tcW w:w="5181" w:type="dxa"/>
          </w:tcPr>
          <w:p w14:paraId="10BEDCAE" w14:textId="77777777" w:rsidR="002E0643" w:rsidRPr="00B81ED7" w:rsidRDefault="002E0643" w:rsidP="002E0643">
            <w:pPr>
              <w:rPr>
                <w:b/>
                <w:bCs/>
              </w:rPr>
            </w:pPr>
            <w:r w:rsidRPr="11D3D8DA">
              <w:rPr>
                <w:b/>
                <w:bCs/>
              </w:rPr>
              <w:t xml:space="preserve">T11.2. Contributions of biodiversity to human health and well-being </w:t>
            </w:r>
          </w:p>
          <w:p w14:paraId="10BEDCB0" w14:textId="665804B3" w:rsidR="002E0643" w:rsidRPr="000C0B6C" w:rsidRDefault="34827C22" w:rsidP="11D3D8DA">
            <w:r>
              <w:t>We recommend that clear definitions of human health and well-being need to first be agreed before detailed monitoring can take place. Human and ecosystem well-being are multidimensional concepts, therefore there are numerous methods to measure well-being. Once these dimensions are agreed, then a process can be undertaken to identify appropriate indicators. Conservation International has a team of social scientists and other experts that can contribute to this overall process and more specific methodologies on indicators.</w:t>
            </w:r>
          </w:p>
        </w:tc>
      </w:tr>
      <w:tr w:rsidR="002E0643" w:rsidRPr="000C0B6C" w14:paraId="10BEDCB8" w14:textId="77777777" w:rsidTr="11D3D8DA">
        <w:trPr>
          <w:trHeight w:val="224"/>
        </w:trPr>
        <w:tc>
          <w:tcPr>
            <w:tcW w:w="803" w:type="dxa"/>
          </w:tcPr>
          <w:p w14:paraId="10BEDCB2" w14:textId="77777777" w:rsidR="002E0643" w:rsidRPr="000C0B6C" w:rsidRDefault="002E0643" w:rsidP="002E0643">
            <w:r>
              <w:t>2</w:t>
            </w:r>
          </w:p>
        </w:tc>
        <w:tc>
          <w:tcPr>
            <w:tcW w:w="914" w:type="dxa"/>
          </w:tcPr>
          <w:p w14:paraId="10BEDCB3" w14:textId="77777777" w:rsidR="002E0643" w:rsidRPr="000C0B6C" w:rsidRDefault="002E0643" w:rsidP="002E0643">
            <w:r>
              <w:t>25</w:t>
            </w:r>
          </w:p>
        </w:tc>
        <w:tc>
          <w:tcPr>
            <w:tcW w:w="1536" w:type="dxa"/>
          </w:tcPr>
          <w:p w14:paraId="10BEDCB4" w14:textId="77777777" w:rsidR="002E0643" w:rsidRPr="000C0B6C" w:rsidRDefault="002E0643" w:rsidP="002E0643">
            <w:r>
              <w:t>C</w:t>
            </w:r>
          </w:p>
        </w:tc>
        <w:tc>
          <w:tcPr>
            <w:tcW w:w="1172" w:type="dxa"/>
            <w:gridSpan w:val="2"/>
          </w:tcPr>
          <w:p w14:paraId="10BEDCB5" w14:textId="77777777" w:rsidR="002E0643" w:rsidRPr="000C0B6C" w:rsidRDefault="002E0643" w:rsidP="002E0643">
            <w:r>
              <w:t>152</w:t>
            </w:r>
          </w:p>
        </w:tc>
        <w:tc>
          <w:tcPr>
            <w:tcW w:w="5181" w:type="dxa"/>
          </w:tcPr>
          <w:p w14:paraId="10BEDCB6" w14:textId="77777777" w:rsidR="002E0643" w:rsidRPr="00CD2F26" w:rsidRDefault="002E0643" w:rsidP="002E0643">
            <w:pPr>
              <w:rPr>
                <w:b/>
                <w:bCs/>
              </w:rPr>
            </w:pPr>
            <w:r w:rsidRPr="00CD2F26">
              <w:rPr>
                <w:b/>
                <w:bCs/>
              </w:rPr>
              <w:t xml:space="preserve">Indicator for monitoring element (Trends in integration of biodiversity and ecosystem service values into planning processes) for T13.1. (Biodiversity reflected in policies and planning at all levels): (a) Number of countries that have established national targets in accordance with or similar to Aichi Biodiversity Target 2 of the Strategic Plan for Biodiversity 2011–2020 in their national biodiversity strategy and action plans and the progress reported towards these targets; and (b) integration of biodiversity into national accounting and reporting systems, </w:t>
            </w:r>
            <w:r w:rsidRPr="00E125CF">
              <w:rPr>
                <w:b/>
                <w:bCs/>
              </w:rPr>
              <w:t>defined as implementation of the System of Environmental- Economic Accounting (SDG indicator 15.9.1).</w:t>
            </w:r>
            <w:r w:rsidRPr="00CD2F26">
              <w:rPr>
                <w:b/>
                <w:bCs/>
              </w:rPr>
              <w:t xml:space="preserve"> </w:t>
            </w:r>
          </w:p>
          <w:p w14:paraId="10BEDCB7" w14:textId="77777777" w:rsidR="002E0643" w:rsidRPr="000C0B6C" w:rsidRDefault="002E0643" w:rsidP="002E0643">
            <w:r>
              <w:t xml:space="preserve">We support the inclusion of SEEA and urge that is be kept as an indicator. </w:t>
            </w:r>
          </w:p>
        </w:tc>
      </w:tr>
      <w:tr w:rsidR="002E0643" w:rsidRPr="000C0B6C" w14:paraId="10BEDCBF" w14:textId="77777777" w:rsidTr="11D3D8DA">
        <w:trPr>
          <w:trHeight w:val="224"/>
        </w:trPr>
        <w:tc>
          <w:tcPr>
            <w:tcW w:w="803" w:type="dxa"/>
          </w:tcPr>
          <w:p w14:paraId="10BEDCB9" w14:textId="77777777" w:rsidR="002E0643" w:rsidRPr="000C0B6C" w:rsidRDefault="002E0643" w:rsidP="002E0643">
            <w:r>
              <w:t>2</w:t>
            </w:r>
          </w:p>
        </w:tc>
        <w:tc>
          <w:tcPr>
            <w:tcW w:w="914" w:type="dxa"/>
          </w:tcPr>
          <w:p w14:paraId="10BEDCBA" w14:textId="77777777" w:rsidR="002E0643" w:rsidRPr="000C0B6C" w:rsidRDefault="002E0643" w:rsidP="002E0643">
            <w:r>
              <w:t>26</w:t>
            </w:r>
          </w:p>
        </w:tc>
        <w:tc>
          <w:tcPr>
            <w:tcW w:w="1536" w:type="dxa"/>
          </w:tcPr>
          <w:p w14:paraId="10BEDCBB" w14:textId="77777777" w:rsidR="002E0643" w:rsidRPr="000C0B6C" w:rsidRDefault="002E0643" w:rsidP="002E0643">
            <w:r>
              <w:t>C</w:t>
            </w:r>
          </w:p>
        </w:tc>
        <w:tc>
          <w:tcPr>
            <w:tcW w:w="1172" w:type="dxa"/>
            <w:gridSpan w:val="2"/>
          </w:tcPr>
          <w:p w14:paraId="10BEDCBC" w14:textId="77777777" w:rsidR="002E0643" w:rsidRPr="000C0B6C" w:rsidRDefault="002E0643" w:rsidP="002E0643">
            <w:r>
              <w:t>157</w:t>
            </w:r>
          </w:p>
        </w:tc>
        <w:tc>
          <w:tcPr>
            <w:tcW w:w="5181" w:type="dxa"/>
          </w:tcPr>
          <w:p w14:paraId="10BEDCBD" w14:textId="77777777" w:rsidR="002E0643" w:rsidRPr="00F4558F" w:rsidRDefault="002E0643" w:rsidP="002E0643">
            <w:pPr>
              <w:rPr>
                <w:b/>
                <w:bCs/>
              </w:rPr>
            </w:pPr>
            <w:r w:rsidRPr="00F4558F">
              <w:rPr>
                <w:b/>
                <w:bCs/>
              </w:rPr>
              <w:t>Indicator for monitoring element (Trends in integration of biodiversity and ecosystem service values into national accounts) for T13.2. (Biodiversity reflected in national and other accounts): (a) Number of countries that have established national targets in accordance with or similar to Aichi Biodiversity Target 2 of the Strategic Plan for Biodiversity 2011–2020 in their national biodiversity strategy and action plans and the progress reported towards these targets; and (b) integration of</w:t>
            </w:r>
            <w:r>
              <w:rPr>
                <w:b/>
                <w:bCs/>
              </w:rPr>
              <w:t xml:space="preserve"> </w:t>
            </w:r>
            <w:r w:rsidRPr="00F4558F">
              <w:rPr>
                <w:b/>
                <w:bCs/>
              </w:rPr>
              <w:t>biodiversity into national accounting and reporting</w:t>
            </w:r>
            <w:r>
              <w:rPr>
                <w:b/>
                <w:bCs/>
              </w:rPr>
              <w:t xml:space="preserve"> </w:t>
            </w:r>
            <w:r w:rsidRPr="00F4558F">
              <w:rPr>
                <w:b/>
                <w:bCs/>
              </w:rPr>
              <w:t xml:space="preserve">systems, defined as implementation of the System of </w:t>
            </w:r>
            <w:r w:rsidRPr="00F4558F">
              <w:rPr>
                <w:b/>
                <w:bCs/>
              </w:rPr>
              <w:lastRenderedPageBreak/>
              <w:t>Environmental- Economic Accounting (SDG indicator</w:t>
            </w:r>
            <w:r>
              <w:rPr>
                <w:b/>
                <w:bCs/>
              </w:rPr>
              <w:t xml:space="preserve"> </w:t>
            </w:r>
            <w:r w:rsidRPr="00F4558F">
              <w:rPr>
                <w:b/>
                <w:bCs/>
              </w:rPr>
              <w:t xml:space="preserve">15.9.1). </w:t>
            </w:r>
          </w:p>
          <w:p w14:paraId="10BEDCBE" w14:textId="77777777" w:rsidR="002E0643" w:rsidRPr="000C0B6C" w:rsidRDefault="002E0643" w:rsidP="002E0643">
            <w:r>
              <w:t xml:space="preserve">We support the inclusion of SEEA and urge that is be kept as an indicator. </w:t>
            </w:r>
          </w:p>
        </w:tc>
      </w:tr>
      <w:tr w:rsidR="002E0643" w:rsidRPr="000C0B6C" w14:paraId="10BEDCC6" w14:textId="77777777" w:rsidTr="11D3D8DA">
        <w:trPr>
          <w:trHeight w:val="224"/>
        </w:trPr>
        <w:tc>
          <w:tcPr>
            <w:tcW w:w="803" w:type="dxa"/>
          </w:tcPr>
          <w:p w14:paraId="10BEDCC0" w14:textId="77777777" w:rsidR="002E0643" w:rsidRPr="000C0B6C" w:rsidRDefault="002E0643" w:rsidP="002E0643">
            <w:r>
              <w:lastRenderedPageBreak/>
              <w:t>2</w:t>
            </w:r>
          </w:p>
        </w:tc>
        <w:tc>
          <w:tcPr>
            <w:tcW w:w="914" w:type="dxa"/>
          </w:tcPr>
          <w:p w14:paraId="10BEDCC1" w14:textId="77777777" w:rsidR="002E0643" w:rsidRPr="000C0B6C" w:rsidRDefault="002E0643" w:rsidP="002E0643">
            <w:r>
              <w:t>39</w:t>
            </w:r>
          </w:p>
        </w:tc>
        <w:tc>
          <w:tcPr>
            <w:tcW w:w="1536" w:type="dxa"/>
          </w:tcPr>
          <w:p w14:paraId="10BEDCC2" w14:textId="77777777" w:rsidR="002E0643" w:rsidRPr="000C0B6C" w:rsidRDefault="002E0643" w:rsidP="002E0643">
            <w:r>
              <w:t>C</w:t>
            </w:r>
          </w:p>
        </w:tc>
        <w:tc>
          <w:tcPr>
            <w:tcW w:w="1172" w:type="dxa"/>
            <w:gridSpan w:val="2"/>
          </w:tcPr>
          <w:p w14:paraId="10BEDCC3" w14:textId="77777777" w:rsidR="002E0643" w:rsidRPr="000C0B6C" w:rsidRDefault="002E0643" w:rsidP="002E0643">
            <w:r>
              <w:t>242</w:t>
            </w:r>
          </w:p>
        </w:tc>
        <w:tc>
          <w:tcPr>
            <w:tcW w:w="5181" w:type="dxa"/>
          </w:tcPr>
          <w:p w14:paraId="10BEDCC4" w14:textId="77777777" w:rsidR="002E0643" w:rsidRPr="001E3475" w:rsidRDefault="002E0643" w:rsidP="002E0643">
            <w:pPr>
              <w:rPr>
                <w:b/>
                <w:bCs/>
              </w:rPr>
            </w:pPr>
            <w:r w:rsidRPr="11D3D8DA">
              <w:rPr>
                <w:b/>
                <w:bCs/>
              </w:rPr>
              <w:t xml:space="preserve">Indicator for monitoring element (Trends in the recognition of rights over relevant resources) for T20.1. (Equitable participation of IPLCs in decision-making related to biodiversity and rights over relevant resources): Trends in land-use change and land tenure in the traditional territories of indigenous and local communities (decision X/43). </w:t>
            </w:r>
          </w:p>
          <w:p w14:paraId="10BEDCC5" w14:textId="7BBF547D" w:rsidR="002E0643" w:rsidRPr="000C0B6C" w:rsidRDefault="0390C08A" w:rsidP="11D3D8DA">
            <w:r>
              <w:t>We support this indicator and recommend it includes measures of the extent of IPLCs lands that have some form of recognition, documentation and/or titling. We also propose adding the following to the text of the indicator: “ensuring that additional data sources, including those verified from IPLCs, are included”. We encourage the use of a wide range of studies and datasets, including forthcoming reports, that can help inform the analysis of this trend. Some current studies lack inclusive processes or quality data. Given the large proportion of intact lands under IPLC tenure or management, this governance type of protected and conserved area needs concerted efforts for assessment. This will lead to strengthening of security and contribute to long-term biodiversity protection.</w:t>
            </w:r>
          </w:p>
        </w:tc>
      </w:tr>
      <w:tr w:rsidR="002E0643" w:rsidRPr="000C0B6C" w14:paraId="10BEDCCD" w14:textId="77777777" w:rsidTr="11D3D8DA">
        <w:trPr>
          <w:trHeight w:val="224"/>
        </w:trPr>
        <w:tc>
          <w:tcPr>
            <w:tcW w:w="803" w:type="dxa"/>
          </w:tcPr>
          <w:p w14:paraId="10BEDCC7" w14:textId="77777777" w:rsidR="002E0643" w:rsidRPr="000C0B6C" w:rsidRDefault="002E0643" w:rsidP="002E0643">
            <w:bookmarkStart w:id="4" w:name="_Hlk44514124"/>
            <w:r>
              <w:t>2</w:t>
            </w:r>
          </w:p>
        </w:tc>
        <w:tc>
          <w:tcPr>
            <w:tcW w:w="914" w:type="dxa"/>
          </w:tcPr>
          <w:p w14:paraId="10BEDCC8" w14:textId="77777777" w:rsidR="002E0643" w:rsidRPr="000C0B6C" w:rsidRDefault="002E0643" w:rsidP="002E0643">
            <w:r>
              <w:t>39-40</w:t>
            </w:r>
          </w:p>
        </w:tc>
        <w:tc>
          <w:tcPr>
            <w:tcW w:w="1536" w:type="dxa"/>
          </w:tcPr>
          <w:p w14:paraId="10BEDCC9" w14:textId="77777777" w:rsidR="002E0643" w:rsidRPr="000C0B6C" w:rsidRDefault="002E0643" w:rsidP="002E0643">
            <w:r>
              <w:t>A</w:t>
            </w:r>
          </w:p>
        </w:tc>
        <w:tc>
          <w:tcPr>
            <w:tcW w:w="1172" w:type="dxa"/>
            <w:gridSpan w:val="2"/>
          </w:tcPr>
          <w:p w14:paraId="10BEDCCA" w14:textId="77777777" w:rsidR="002E0643" w:rsidRPr="000C0B6C" w:rsidRDefault="002E0643" w:rsidP="002E0643">
            <w:r>
              <w:t>244-246</w:t>
            </w:r>
          </w:p>
        </w:tc>
        <w:tc>
          <w:tcPr>
            <w:tcW w:w="5181" w:type="dxa"/>
          </w:tcPr>
          <w:p w14:paraId="10BEDCCB" w14:textId="77777777" w:rsidR="002E0643" w:rsidRPr="001E3475" w:rsidRDefault="002E0643" w:rsidP="002E0643">
            <w:pPr>
              <w:rPr>
                <w:b/>
                <w:bCs/>
              </w:rPr>
            </w:pPr>
            <w:r w:rsidRPr="001E3475">
              <w:rPr>
                <w:b/>
                <w:bCs/>
              </w:rPr>
              <w:t>T20.2. Equitable participation of women and girls in decision-making related to biodiversity and rights over relevant resources</w:t>
            </w:r>
            <w:r>
              <w:rPr>
                <w:b/>
                <w:bCs/>
              </w:rPr>
              <w:t>.</w:t>
            </w:r>
            <w:r w:rsidRPr="001E3475">
              <w:rPr>
                <w:b/>
                <w:bCs/>
              </w:rPr>
              <w:t xml:space="preserve"> </w:t>
            </w:r>
          </w:p>
          <w:p w14:paraId="10BEDCCC" w14:textId="12E47873" w:rsidR="002E0643" w:rsidRPr="000C0B6C" w:rsidRDefault="002E0643" w:rsidP="002E0643">
            <w:r>
              <w:t xml:space="preserve">We recommend adding “participation </w:t>
            </w:r>
            <w:r w:rsidRPr="55917AB6">
              <w:rPr>
                <w:i/>
                <w:iCs/>
              </w:rPr>
              <w:t xml:space="preserve">and leadership” </w:t>
            </w:r>
            <w:r>
              <w:t xml:space="preserve">to </w:t>
            </w:r>
            <w:r w:rsidR="57F7171F">
              <w:t>this monitoring</w:t>
            </w:r>
            <w:r>
              <w:t xml:space="preserve"> element to recognize that women and girls not only participate in </w:t>
            </w:r>
            <w:r w:rsidR="1F965C5A">
              <w:t>decisions,</w:t>
            </w:r>
            <w:r>
              <w:t xml:space="preserve"> but they can lead the processes of decision-making. This is a timely and critical precedent to set the tone for the next decade. Thank you for considering this.</w:t>
            </w:r>
          </w:p>
        </w:tc>
      </w:tr>
      <w:bookmarkEnd w:id="4"/>
    </w:tbl>
    <w:p w14:paraId="10BEDCCE" w14:textId="77777777" w:rsidR="00AA726F" w:rsidRPr="00532BBA" w:rsidRDefault="00AA726F" w:rsidP="00DB71FC">
      <w:pPr>
        <w:pStyle w:val="Default"/>
        <w:jc w:val="center"/>
        <w:rPr>
          <w:b/>
          <w:sz w:val="22"/>
          <w:szCs w:val="22"/>
          <w:u w:val="single"/>
        </w:rPr>
      </w:pPr>
    </w:p>
    <w:p w14:paraId="10BEDCCF" w14:textId="77777777" w:rsidR="00AA726F" w:rsidRPr="00624FAA" w:rsidRDefault="00624FAA" w:rsidP="00DB71FC">
      <w:pPr>
        <w:jc w:val="both"/>
        <w:rPr>
          <w:i/>
          <w:szCs w:val="22"/>
        </w:rPr>
      </w:pPr>
      <w:r w:rsidRPr="00624FAA">
        <w:rPr>
          <w:i/>
          <w:sz w:val="22"/>
          <w:szCs w:val="22"/>
        </w:rPr>
        <w:t xml:space="preserve">Comments should be sent by e-mail to </w:t>
      </w:r>
      <w:hyperlink r:id="rId13"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even" r:id="rId14"/>
      <w:headerReference w:type="default" r:id="rId15"/>
      <w:footerReference w:type="even" r:id="rId16"/>
      <w:footerReference w:type="default" r:id="rId17"/>
      <w:headerReference w:type="first" r:id="rId18"/>
      <w:footerReference w:type="first" r:id="rId1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DDD4" w14:textId="77777777" w:rsidR="000D040A" w:rsidRDefault="000D040A">
      <w:r>
        <w:separator/>
      </w:r>
    </w:p>
  </w:endnote>
  <w:endnote w:type="continuationSeparator" w:id="0">
    <w:p w14:paraId="22DCC960" w14:textId="77777777" w:rsidR="000D040A" w:rsidRDefault="000D040A">
      <w:r>
        <w:continuationSeparator/>
      </w:r>
    </w:p>
  </w:endnote>
  <w:endnote w:type="continuationNotice" w:id="1">
    <w:p w14:paraId="521924AA" w14:textId="77777777" w:rsidR="000D040A" w:rsidRDefault="000D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CD6" w14:textId="77777777" w:rsidR="00AF7550" w:rsidRDefault="00AF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CD7" w14:textId="77777777" w:rsidR="003F0EA5" w:rsidRDefault="003F0EA5">
    <w:pPr>
      <w:pStyle w:val="Footer"/>
      <w:jc w:val="right"/>
    </w:pPr>
    <w:r>
      <w:fldChar w:fldCharType="begin"/>
    </w:r>
    <w:r>
      <w:instrText xml:space="preserve"> PAGE   \* MERGEFORMAT </w:instrText>
    </w:r>
    <w:r>
      <w:fldChar w:fldCharType="separate"/>
    </w:r>
    <w:r>
      <w:rPr>
        <w:noProof/>
      </w:rPr>
      <w:t>2</w:t>
    </w:r>
    <w:r>
      <w:rPr>
        <w:noProof/>
      </w:rPr>
      <w:fldChar w:fldCharType="end"/>
    </w:r>
  </w:p>
  <w:p w14:paraId="10BEDCD8" w14:textId="77777777" w:rsidR="00306FC1" w:rsidRDefault="00306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CDA" w14:textId="77777777" w:rsidR="00AF7550" w:rsidRDefault="00AF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796F" w14:textId="77777777" w:rsidR="000D040A" w:rsidRDefault="000D040A">
      <w:r>
        <w:separator/>
      </w:r>
    </w:p>
  </w:footnote>
  <w:footnote w:type="continuationSeparator" w:id="0">
    <w:p w14:paraId="6ED3F0E9" w14:textId="77777777" w:rsidR="000D040A" w:rsidRDefault="000D040A">
      <w:r>
        <w:continuationSeparator/>
      </w:r>
    </w:p>
  </w:footnote>
  <w:footnote w:type="continuationNotice" w:id="1">
    <w:p w14:paraId="23B2568C" w14:textId="77777777" w:rsidR="000D040A" w:rsidRDefault="000D040A"/>
  </w:footnote>
  <w:footnote w:id="2">
    <w:p w14:paraId="10BEDCDB" w14:textId="77777777"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3">
    <w:p w14:paraId="10BEDCDC" w14:textId="77777777"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CD4" w14:textId="77777777" w:rsidR="00AF7550" w:rsidRDefault="00AF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CD5" w14:textId="77777777" w:rsidR="00AF7550" w:rsidRDefault="00AF7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DCD9"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6B0ECB"/>
    <w:multiLevelType w:val="hybridMultilevel"/>
    <w:tmpl w:val="9126D122"/>
    <w:lvl w:ilvl="0" w:tplc="F09E6992">
      <w:start w:val="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6CDA"/>
    <w:multiLevelType w:val="hybridMultilevel"/>
    <w:tmpl w:val="951008EA"/>
    <w:lvl w:ilvl="0" w:tplc="61E63D7E">
      <w:start w:val="13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762DC"/>
    <w:multiLevelType w:val="hybridMultilevel"/>
    <w:tmpl w:val="42BEEEC6"/>
    <w:lvl w:ilvl="0" w:tplc="C26AD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9C3598"/>
    <w:multiLevelType w:val="hybridMultilevel"/>
    <w:tmpl w:val="5DEA591E"/>
    <w:lvl w:ilvl="0" w:tplc="4CA0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25C27"/>
    <w:multiLevelType w:val="hybridMultilevel"/>
    <w:tmpl w:val="D398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1"/>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2C4C"/>
    <w:rsid w:val="00015C7A"/>
    <w:rsid w:val="0001655B"/>
    <w:rsid w:val="00020CB7"/>
    <w:rsid w:val="00022591"/>
    <w:rsid w:val="0002384F"/>
    <w:rsid w:val="000353D7"/>
    <w:rsid w:val="00051CE6"/>
    <w:rsid w:val="00053583"/>
    <w:rsid w:val="00060F26"/>
    <w:rsid w:val="0007017A"/>
    <w:rsid w:val="00082816"/>
    <w:rsid w:val="00090581"/>
    <w:rsid w:val="000968B8"/>
    <w:rsid w:val="000A1EAF"/>
    <w:rsid w:val="000B4278"/>
    <w:rsid w:val="000B6228"/>
    <w:rsid w:val="000B7CA9"/>
    <w:rsid w:val="000C0B6C"/>
    <w:rsid w:val="000C7D01"/>
    <w:rsid w:val="000D040A"/>
    <w:rsid w:val="000D3137"/>
    <w:rsid w:val="000E131E"/>
    <w:rsid w:val="000F3260"/>
    <w:rsid w:val="0011023C"/>
    <w:rsid w:val="0011369D"/>
    <w:rsid w:val="001208DE"/>
    <w:rsid w:val="00124046"/>
    <w:rsid w:val="00131A78"/>
    <w:rsid w:val="00147596"/>
    <w:rsid w:val="0014794D"/>
    <w:rsid w:val="00153018"/>
    <w:rsid w:val="00166C3A"/>
    <w:rsid w:val="00170A3F"/>
    <w:rsid w:val="00171BE0"/>
    <w:rsid w:val="00172D59"/>
    <w:rsid w:val="00174595"/>
    <w:rsid w:val="001771FC"/>
    <w:rsid w:val="00180E2E"/>
    <w:rsid w:val="001A7B51"/>
    <w:rsid w:val="001B136C"/>
    <w:rsid w:val="001B7642"/>
    <w:rsid w:val="001B7C8D"/>
    <w:rsid w:val="001C22A5"/>
    <w:rsid w:val="001C3370"/>
    <w:rsid w:val="001C3F63"/>
    <w:rsid w:val="001C7109"/>
    <w:rsid w:val="001D3754"/>
    <w:rsid w:val="001E3475"/>
    <w:rsid w:val="001E3E11"/>
    <w:rsid w:val="001E6A4D"/>
    <w:rsid w:val="001E71A9"/>
    <w:rsid w:val="001F34E8"/>
    <w:rsid w:val="001F5813"/>
    <w:rsid w:val="00203867"/>
    <w:rsid w:val="00211568"/>
    <w:rsid w:val="00221239"/>
    <w:rsid w:val="002324A3"/>
    <w:rsid w:val="002337AC"/>
    <w:rsid w:val="00244FE0"/>
    <w:rsid w:val="00247402"/>
    <w:rsid w:val="00271790"/>
    <w:rsid w:val="002760D0"/>
    <w:rsid w:val="00290379"/>
    <w:rsid w:val="00290B46"/>
    <w:rsid w:val="00293F53"/>
    <w:rsid w:val="00297A07"/>
    <w:rsid w:val="00297A2F"/>
    <w:rsid w:val="002A1FFE"/>
    <w:rsid w:val="002A5D51"/>
    <w:rsid w:val="002A6DA8"/>
    <w:rsid w:val="002B0DDE"/>
    <w:rsid w:val="002B567E"/>
    <w:rsid w:val="002D065D"/>
    <w:rsid w:val="002E0643"/>
    <w:rsid w:val="002F47C7"/>
    <w:rsid w:val="00305B1F"/>
    <w:rsid w:val="00306FC1"/>
    <w:rsid w:val="0031060A"/>
    <w:rsid w:val="00312698"/>
    <w:rsid w:val="00323670"/>
    <w:rsid w:val="003249B9"/>
    <w:rsid w:val="00332A6E"/>
    <w:rsid w:val="00333F18"/>
    <w:rsid w:val="00335407"/>
    <w:rsid w:val="00343578"/>
    <w:rsid w:val="003455C7"/>
    <w:rsid w:val="003535EA"/>
    <w:rsid w:val="0035406E"/>
    <w:rsid w:val="00364B1B"/>
    <w:rsid w:val="00376426"/>
    <w:rsid w:val="00383E96"/>
    <w:rsid w:val="00384EB6"/>
    <w:rsid w:val="00390B55"/>
    <w:rsid w:val="00396302"/>
    <w:rsid w:val="003A3691"/>
    <w:rsid w:val="003B1C84"/>
    <w:rsid w:val="003B2653"/>
    <w:rsid w:val="003C3B06"/>
    <w:rsid w:val="003D6BBF"/>
    <w:rsid w:val="003E0BA2"/>
    <w:rsid w:val="003E63A9"/>
    <w:rsid w:val="003F0EA5"/>
    <w:rsid w:val="003F10B4"/>
    <w:rsid w:val="003F584B"/>
    <w:rsid w:val="003F5EC1"/>
    <w:rsid w:val="0040122B"/>
    <w:rsid w:val="00404BD3"/>
    <w:rsid w:val="00406D94"/>
    <w:rsid w:val="0043164D"/>
    <w:rsid w:val="00454CE8"/>
    <w:rsid w:val="00455AAF"/>
    <w:rsid w:val="004710AE"/>
    <w:rsid w:val="0047129A"/>
    <w:rsid w:val="00487C28"/>
    <w:rsid w:val="00493E1E"/>
    <w:rsid w:val="00495268"/>
    <w:rsid w:val="004A0E46"/>
    <w:rsid w:val="004C74A7"/>
    <w:rsid w:val="004E0928"/>
    <w:rsid w:val="004E4BCF"/>
    <w:rsid w:val="004F1EB4"/>
    <w:rsid w:val="004F3B34"/>
    <w:rsid w:val="004F4351"/>
    <w:rsid w:val="00503178"/>
    <w:rsid w:val="00505468"/>
    <w:rsid w:val="00506FCD"/>
    <w:rsid w:val="00510F5B"/>
    <w:rsid w:val="0052237E"/>
    <w:rsid w:val="005315DA"/>
    <w:rsid w:val="00532BBA"/>
    <w:rsid w:val="005469ED"/>
    <w:rsid w:val="0055668B"/>
    <w:rsid w:val="0057082A"/>
    <w:rsid w:val="005824FC"/>
    <w:rsid w:val="00585692"/>
    <w:rsid w:val="00590627"/>
    <w:rsid w:val="005932D5"/>
    <w:rsid w:val="005B0BDE"/>
    <w:rsid w:val="005B7619"/>
    <w:rsid w:val="005C0B72"/>
    <w:rsid w:val="005C1AB2"/>
    <w:rsid w:val="005C3F60"/>
    <w:rsid w:val="005D018A"/>
    <w:rsid w:val="005D2E65"/>
    <w:rsid w:val="005D5557"/>
    <w:rsid w:val="005E2407"/>
    <w:rsid w:val="005E52BC"/>
    <w:rsid w:val="005F0260"/>
    <w:rsid w:val="005F4EFC"/>
    <w:rsid w:val="005F63B9"/>
    <w:rsid w:val="00600804"/>
    <w:rsid w:val="00603186"/>
    <w:rsid w:val="006056FD"/>
    <w:rsid w:val="00612722"/>
    <w:rsid w:val="00623073"/>
    <w:rsid w:val="00624C82"/>
    <w:rsid w:val="00624FAA"/>
    <w:rsid w:val="00626CE8"/>
    <w:rsid w:val="00642AC0"/>
    <w:rsid w:val="00646E24"/>
    <w:rsid w:val="00651F45"/>
    <w:rsid w:val="0065205F"/>
    <w:rsid w:val="00661157"/>
    <w:rsid w:val="006618C3"/>
    <w:rsid w:val="00665BC7"/>
    <w:rsid w:val="00666B6B"/>
    <w:rsid w:val="006864A5"/>
    <w:rsid w:val="00690111"/>
    <w:rsid w:val="00696282"/>
    <w:rsid w:val="006B013A"/>
    <w:rsid w:val="006B4D9B"/>
    <w:rsid w:val="006B5B5E"/>
    <w:rsid w:val="006D13DD"/>
    <w:rsid w:val="006D5291"/>
    <w:rsid w:val="006F40ED"/>
    <w:rsid w:val="006F4D56"/>
    <w:rsid w:val="00711588"/>
    <w:rsid w:val="0072037D"/>
    <w:rsid w:val="00733B0E"/>
    <w:rsid w:val="007370B8"/>
    <w:rsid w:val="00750EDF"/>
    <w:rsid w:val="00751233"/>
    <w:rsid w:val="00754928"/>
    <w:rsid w:val="00757A3C"/>
    <w:rsid w:val="00775135"/>
    <w:rsid w:val="00786106"/>
    <w:rsid w:val="0079367D"/>
    <w:rsid w:val="007A24E9"/>
    <w:rsid w:val="007A355F"/>
    <w:rsid w:val="007B025B"/>
    <w:rsid w:val="007B1A10"/>
    <w:rsid w:val="007B47D8"/>
    <w:rsid w:val="007B4E0B"/>
    <w:rsid w:val="007C0C1B"/>
    <w:rsid w:val="007C4699"/>
    <w:rsid w:val="007D13B8"/>
    <w:rsid w:val="007D544F"/>
    <w:rsid w:val="007F04C6"/>
    <w:rsid w:val="007F487A"/>
    <w:rsid w:val="007F6C20"/>
    <w:rsid w:val="00801D1A"/>
    <w:rsid w:val="00804363"/>
    <w:rsid w:val="0080449F"/>
    <w:rsid w:val="00810290"/>
    <w:rsid w:val="0081661D"/>
    <w:rsid w:val="0082277B"/>
    <w:rsid w:val="00832E1E"/>
    <w:rsid w:val="008371FC"/>
    <w:rsid w:val="00840313"/>
    <w:rsid w:val="00841F73"/>
    <w:rsid w:val="008544D3"/>
    <w:rsid w:val="008724BF"/>
    <w:rsid w:val="008764FA"/>
    <w:rsid w:val="008911E7"/>
    <w:rsid w:val="008A6C83"/>
    <w:rsid w:val="008B0624"/>
    <w:rsid w:val="008C77CF"/>
    <w:rsid w:val="008D1AC0"/>
    <w:rsid w:val="008D41C9"/>
    <w:rsid w:val="008D46F4"/>
    <w:rsid w:val="008E4FA9"/>
    <w:rsid w:val="008E5267"/>
    <w:rsid w:val="008E5866"/>
    <w:rsid w:val="008E5DA6"/>
    <w:rsid w:val="008E6C79"/>
    <w:rsid w:val="008F019F"/>
    <w:rsid w:val="008F59A1"/>
    <w:rsid w:val="009262A7"/>
    <w:rsid w:val="00926329"/>
    <w:rsid w:val="00945444"/>
    <w:rsid w:val="00947BAE"/>
    <w:rsid w:val="00954037"/>
    <w:rsid w:val="00985B44"/>
    <w:rsid w:val="00990C4C"/>
    <w:rsid w:val="009A5C8A"/>
    <w:rsid w:val="009B53FD"/>
    <w:rsid w:val="009C0234"/>
    <w:rsid w:val="009D0254"/>
    <w:rsid w:val="009D02A0"/>
    <w:rsid w:val="009E5F12"/>
    <w:rsid w:val="009E7135"/>
    <w:rsid w:val="009E7EB7"/>
    <w:rsid w:val="009F18C9"/>
    <w:rsid w:val="009F28E0"/>
    <w:rsid w:val="00A00569"/>
    <w:rsid w:val="00A10D16"/>
    <w:rsid w:val="00A2000C"/>
    <w:rsid w:val="00A2238F"/>
    <w:rsid w:val="00A271E9"/>
    <w:rsid w:val="00A277B7"/>
    <w:rsid w:val="00A312D8"/>
    <w:rsid w:val="00A31D1D"/>
    <w:rsid w:val="00A3598E"/>
    <w:rsid w:val="00A35A86"/>
    <w:rsid w:val="00A46870"/>
    <w:rsid w:val="00A62047"/>
    <w:rsid w:val="00A634C5"/>
    <w:rsid w:val="00A64C36"/>
    <w:rsid w:val="00A667AA"/>
    <w:rsid w:val="00A80436"/>
    <w:rsid w:val="00A8443C"/>
    <w:rsid w:val="00A94A24"/>
    <w:rsid w:val="00AA45C5"/>
    <w:rsid w:val="00AA726F"/>
    <w:rsid w:val="00AB0B8C"/>
    <w:rsid w:val="00AB21E4"/>
    <w:rsid w:val="00AB3C5E"/>
    <w:rsid w:val="00AC158A"/>
    <w:rsid w:val="00AC5815"/>
    <w:rsid w:val="00AC73F7"/>
    <w:rsid w:val="00AD37F7"/>
    <w:rsid w:val="00AD7824"/>
    <w:rsid w:val="00AE13F2"/>
    <w:rsid w:val="00AE6FEC"/>
    <w:rsid w:val="00AF6208"/>
    <w:rsid w:val="00AF7550"/>
    <w:rsid w:val="00B0290E"/>
    <w:rsid w:val="00B02B94"/>
    <w:rsid w:val="00B06B2E"/>
    <w:rsid w:val="00B169BB"/>
    <w:rsid w:val="00B3357F"/>
    <w:rsid w:val="00B411D0"/>
    <w:rsid w:val="00B43832"/>
    <w:rsid w:val="00B5225A"/>
    <w:rsid w:val="00B56FF6"/>
    <w:rsid w:val="00B65D31"/>
    <w:rsid w:val="00B7219C"/>
    <w:rsid w:val="00B768EE"/>
    <w:rsid w:val="00B76BE3"/>
    <w:rsid w:val="00B81ED7"/>
    <w:rsid w:val="00B93D50"/>
    <w:rsid w:val="00BA0180"/>
    <w:rsid w:val="00BA3876"/>
    <w:rsid w:val="00BC09B3"/>
    <w:rsid w:val="00BC11E4"/>
    <w:rsid w:val="00BC39BA"/>
    <w:rsid w:val="00BC3D9A"/>
    <w:rsid w:val="00BD13C7"/>
    <w:rsid w:val="00BD4070"/>
    <w:rsid w:val="00BE0C31"/>
    <w:rsid w:val="00BF7ACC"/>
    <w:rsid w:val="00C0100A"/>
    <w:rsid w:val="00C115A2"/>
    <w:rsid w:val="00C21CFD"/>
    <w:rsid w:val="00C60611"/>
    <w:rsid w:val="00C638CA"/>
    <w:rsid w:val="00C65EF1"/>
    <w:rsid w:val="00C70547"/>
    <w:rsid w:val="00C73F78"/>
    <w:rsid w:val="00C75937"/>
    <w:rsid w:val="00C813ED"/>
    <w:rsid w:val="00C9464F"/>
    <w:rsid w:val="00C96EBB"/>
    <w:rsid w:val="00CA3CDA"/>
    <w:rsid w:val="00CB31A6"/>
    <w:rsid w:val="00CB6CB9"/>
    <w:rsid w:val="00CC04B3"/>
    <w:rsid w:val="00CC2E8C"/>
    <w:rsid w:val="00CD2F26"/>
    <w:rsid w:val="00CF16C6"/>
    <w:rsid w:val="00CF5AC8"/>
    <w:rsid w:val="00D05399"/>
    <w:rsid w:val="00D143C1"/>
    <w:rsid w:val="00D17C13"/>
    <w:rsid w:val="00D30B3F"/>
    <w:rsid w:val="00D33DAF"/>
    <w:rsid w:val="00D36F18"/>
    <w:rsid w:val="00D50F5B"/>
    <w:rsid w:val="00D5253A"/>
    <w:rsid w:val="00D53A97"/>
    <w:rsid w:val="00D63452"/>
    <w:rsid w:val="00D63732"/>
    <w:rsid w:val="00D72B8D"/>
    <w:rsid w:val="00D80001"/>
    <w:rsid w:val="00D8033C"/>
    <w:rsid w:val="00D90001"/>
    <w:rsid w:val="00D9146A"/>
    <w:rsid w:val="00D9467E"/>
    <w:rsid w:val="00DB066F"/>
    <w:rsid w:val="00DB71FC"/>
    <w:rsid w:val="00DC1FCD"/>
    <w:rsid w:val="00DC466F"/>
    <w:rsid w:val="00DC7317"/>
    <w:rsid w:val="00DD3897"/>
    <w:rsid w:val="00DE4E34"/>
    <w:rsid w:val="00DF0EE0"/>
    <w:rsid w:val="00E034BA"/>
    <w:rsid w:val="00E11152"/>
    <w:rsid w:val="00E125CF"/>
    <w:rsid w:val="00E14C4F"/>
    <w:rsid w:val="00E3346E"/>
    <w:rsid w:val="00E35E16"/>
    <w:rsid w:val="00E47EE6"/>
    <w:rsid w:val="00E542DB"/>
    <w:rsid w:val="00E6426D"/>
    <w:rsid w:val="00E67B27"/>
    <w:rsid w:val="00E74140"/>
    <w:rsid w:val="00E77899"/>
    <w:rsid w:val="00E77D89"/>
    <w:rsid w:val="00E80F46"/>
    <w:rsid w:val="00E86A51"/>
    <w:rsid w:val="00E87833"/>
    <w:rsid w:val="00EA1873"/>
    <w:rsid w:val="00EA18E2"/>
    <w:rsid w:val="00EB0152"/>
    <w:rsid w:val="00EB7B59"/>
    <w:rsid w:val="00EC787C"/>
    <w:rsid w:val="00ED613D"/>
    <w:rsid w:val="00ED6840"/>
    <w:rsid w:val="00F16439"/>
    <w:rsid w:val="00F17CAC"/>
    <w:rsid w:val="00F20DAF"/>
    <w:rsid w:val="00F26756"/>
    <w:rsid w:val="00F35F42"/>
    <w:rsid w:val="00F44714"/>
    <w:rsid w:val="00F4558F"/>
    <w:rsid w:val="00F54888"/>
    <w:rsid w:val="00F55E0E"/>
    <w:rsid w:val="00F60126"/>
    <w:rsid w:val="00F61250"/>
    <w:rsid w:val="00F864A6"/>
    <w:rsid w:val="00F91F01"/>
    <w:rsid w:val="00FA066A"/>
    <w:rsid w:val="00FA6305"/>
    <w:rsid w:val="00FD7120"/>
    <w:rsid w:val="00FE0B76"/>
    <w:rsid w:val="00FF02FE"/>
    <w:rsid w:val="0198F830"/>
    <w:rsid w:val="029A9C41"/>
    <w:rsid w:val="0390C08A"/>
    <w:rsid w:val="0481C6C2"/>
    <w:rsid w:val="04FCF47D"/>
    <w:rsid w:val="09F0FD58"/>
    <w:rsid w:val="0C1EEB83"/>
    <w:rsid w:val="0D3726FA"/>
    <w:rsid w:val="0E755042"/>
    <w:rsid w:val="0F601A02"/>
    <w:rsid w:val="0FDC9FA1"/>
    <w:rsid w:val="11D3D8DA"/>
    <w:rsid w:val="14F75001"/>
    <w:rsid w:val="1594C488"/>
    <w:rsid w:val="1855B763"/>
    <w:rsid w:val="19715192"/>
    <w:rsid w:val="19B03373"/>
    <w:rsid w:val="1D65BD3A"/>
    <w:rsid w:val="1DA98B4B"/>
    <w:rsid w:val="1E1E39C3"/>
    <w:rsid w:val="1F7F59DB"/>
    <w:rsid w:val="1F965C5A"/>
    <w:rsid w:val="217A1EE5"/>
    <w:rsid w:val="2186DA8F"/>
    <w:rsid w:val="23998BFE"/>
    <w:rsid w:val="23EF533F"/>
    <w:rsid w:val="2914DBC8"/>
    <w:rsid w:val="2A2316F8"/>
    <w:rsid w:val="33F7430A"/>
    <w:rsid w:val="34827C22"/>
    <w:rsid w:val="367809F7"/>
    <w:rsid w:val="398558A5"/>
    <w:rsid w:val="3A1E9942"/>
    <w:rsid w:val="3B9133A5"/>
    <w:rsid w:val="3F9C8CBC"/>
    <w:rsid w:val="4197FFC9"/>
    <w:rsid w:val="42B928AB"/>
    <w:rsid w:val="4B637877"/>
    <w:rsid w:val="4DBBD1F9"/>
    <w:rsid w:val="4E5DBF93"/>
    <w:rsid w:val="4F972BDC"/>
    <w:rsid w:val="53652EC1"/>
    <w:rsid w:val="55554C31"/>
    <w:rsid w:val="55917AB6"/>
    <w:rsid w:val="575F4C3E"/>
    <w:rsid w:val="57F7171F"/>
    <w:rsid w:val="5844C0FF"/>
    <w:rsid w:val="58EE60A3"/>
    <w:rsid w:val="5C27DB22"/>
    <w:rsid w:val="5D0178BC"/>
    <w:rsid w:val="5ED1FBCD"/>
    <w:rsid w:val="5ED70D1E"/>
    <w:rsid w:val="60015897"/>
    <w:rsid w:val="609C1003"/>
    <w:rsid w:val="617E4620"/>
    <w:rsid w:val="6213C203"/>
    <w:rsid w:val="62FF69C0"/>
    <w:rsid w:val="661868A1"/>
    <w:rsid w:val="67C2480B"/>
    <w:rsid w:val="688E0614"/>
    <w:rsid w:val="6D23BC94"/>
    <w:rsid w:val="6DDFCEAA"/>
    <w:rsid w:val="6E02F876"/>
    <w:rsid w:val="6EFE5F61"/>
    <w:rsid w:val="7005B708"/>
    <w:rsid w:val="71648543"/>
    <w:rsid w:val="7528A9A6"/>
    <w:rsid w:val="758097A6"/>
    <w:rsid w:val="79C3D91B"/>
    <w:rsid w:val="7C8A5954"/>
    <w:rsid w:val="7F84B850"/>
    <w:rsid w:val="7FB92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BED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96EBB"/>
    <w:rPr>
      <w:sz w:val="24"/>
      <w:szCs w:val="24"/>
      <w:lang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customStyle="1" w:styleId="ColorfulList-Accent11">
    <w:name w:val="Colorful List - Accent 11"/>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1">
    <w:name w:val="Unresolved Mention1"/>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styleId="UnresolvedMention">
    <w:name w:val="Unresolved Mention"/>
    <w:uiPriority w:val="47"/>
    <w:rsid w:val="00271790"/>
    <w:rPr>
      <w:color w:val="605E5C"/>
      <w:shd w:val="clear" w:color="auto" w:fill="E1DFDD"/>
    </w:rPr>
  </w:style>
  <w:style w:type="paragraph" w:customStyle="1" w:styleId="TableParagraph">
    <w:name w:val="Table Paragraph"/>
    <w:basedOn w:val="Normal"/>
    <w:uiPriority w:val="1"/>
    <w:qFormat/>
    <w:rsid w:val="00F26756"/>
    <w:pPr>
      <w:widowControl w:val="0"/>
      <w:autoSpaceDE w:val="0"/>
      <w:autoSpaceDN w:val="0"/>
    </w:pPr>
    <w:rPr>
      <w:sz w:val="22"/>
      <w:szCs w:val="22"/>
    </w:rPr>
  </w:style>
  <w:style w:type="character" w:customStyle="1" w:styleId="normaltextrun">
    <w:name w:val="normaltextrun"/>
    <w:rsid w:val="00BA0180"/>
  </w:style>
  <w:style w:type="character" w:customStyle="1" w:styleId="eop">
    <w:name w:val="eop"/>
    <w:rsid w:val="00BA0180"/>
  </w:style>
  <w:style w:type="paragraph" w:customStyle="1" w:styleId="paragraph">
    <w:name w:val="paragraph"/>
    <w:basedOn w:val="Normal"/>
    <w:rsid w:val="00C21CFD"/>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4F435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5752">
      <w:bodyDiv w:val="1"/>
      <w:marLeft w:val="0"/>
      <w:marRight w:val="0"/>
      <w:marTop w:val="0"/>
      <w:marBottom w:val="0"/>
      <w:divBdr>
        <w:top w:val="none" w:sz="0" w:space="0" w:color="auto"/>
        <w:left w:val="none" w:sz="0" w:space="0" w:color="auto"/>
        <w:bottom w:val="none" w:sz="0" w:space="0" w:color="auto"/>
        <w:right w:val="none" w:sz="0" w:space="0" w:color="auto"/>
      </w:divBdr>
    </w:div>
    <w:div w:id="632448359">
      <w:bodyDiv w:val="1"/>
      <w:marLeft w:val="0"/>
      <w:marRight w:val="0"/>
      <w:marTop w:val="0"/>
      <w:marBottom w:val="0"/>
      <w:divBdr>
        <w:top w:val="none" w:sz="0" w:space="0" w:color="auto"/>
        <w:left w:val="none" w:sz="0" w:space="0" w:color="auto"/>
        <w:bottom w:val="none" w:sz="0" w:space="0" w:color="auto"/>
        <w:right w:val="none" w:sz="0" w:space="0" w:color="auto"/>
      </w:divBdr>
    </w:div>
    <w:div w:id="667294818">
      <w:bodyDiv w:val="1"/>
      <w:marLeft w:val="0"/>
      <w:marRight w:val="0"/>
      <w:marTop w:val="0"/>
      <w:marBottom w:val="0"/>
      <w:divBdr>
        <w:top w:val="none" w:sz="0" w:space="0" w:color="auto"/>
        <w:left w:val="none" w:sz="0" w:space="0" w:color="auto"/>
        <w:bottom w:val="none" w:sz="0" w:space="0" w:color="auto"/>
        <w:right w:val="none" w:sz="0" w:space="0" w:color="auto"/>
      </w:divBdr>
    </w:div>
    <w:div w:id="743841406">
      <w:bodyDiv w:val="1"/>
      <w:marLeft w:val="0"/>
      <w:marRight w:val="0"/>
      <w:marTop w:val="0"/>
      <w:marBottom w:val="0"/>
      <w:divBdr>
        <w:top w:val="none" w:sz="0" w:space="0" w:color="auto"/>
        <w:left w:val="none" w:sz="0" w:space="0" w:color="auto"/>
        <w:bottom w:val="none" w:sz="0" w:space="0" w:color="auto"/>
        <w:right w:val="none" w:sz="0" w:space="0" w:color="auto"/>
      </w:divBdr>
    </w:div>
    <w:div w:id="1189565359">
      <w:bodyDiv w:val="1"/>
      <w:marLeft w:val="0"/>
      <w:marRight w:val="0"/>
      <w:marTop w:val="0"/>
      <w:marBottom w:val="0"/>
      <w:divBdr>
        <w:top w:val="none" w:sz="0" w:space="0" w:color="auto"/>
        <w:left w:val="none" w:sz="0" w:space="0" w:color="auto"/>
        <w:bottom w:val="none" w:sz="0" w:space="0" w:color="auto"/>
        <w:right w:val="none" w:sz="0" w:space="0" w:color="auto"/>
      </w:divBdr>
      <w:divsChild>
        <w:div w:id="1034506179">
          <w:marLeft w:val="0"/>
          <w:marRight w:val="0"/>
          <w:marTop w:val="0"/>
          <w:marBottom w:val="0"/>
          <w:divBdr>
            <w:top w:val="none" w:sz="0" w:space="0" w:color="auto"/>
            <w:left w:val="none" w:sz="0" w:space="0" w:color="auto"/>
            <w:bottom w:val="none" w:sz="0" w:space="0" w:color="auto"/>
            <w:right w:val="none" w:sz="0" w:space="0" w:color="auto"/>
          </w:divBdr>
          <w:divsChild>
            <w:div w:id="1006905405">
              <w:marLeft w:val="0"/>
              <w:marRight w:val="0"/>
              <w:marTop w:val="0"/>
              <w:marBottom w:val="0"/>
              <w:divBdr>
                <w:top w:val="none" w:sz="0" w:space="0" w:color="auto"/>
                <w:left w:val="none" w:sz="0" w:space="0" w:color="auto"/>
                <w:bottom w:val="none" w:sz="0" w:space="0" w:color="auto"/>
                <w:right w:val="none" w:sz="0" w:space="0" w:color="auto"/>
              </w:divBdr>
            </w:div>
          </w:divsChild>
        </w:div>
        <w:div w:id="1425151319">
          <w:marLeft w:val="0"/>
          <w:marRight w:val="0"/>
          <w:marTop w:val="0"/>
          <w:marBottom w:val="0"/>
          <w:divBdr>
            <w:top w:val="none" w:sz="0" w:space="0" w:color="auto"/>
            <w:left w:val="none" w:sz="0" w:space="0" w:color="auto"/>
            <w:bottom w:val="none" w:sz="0" w:space="0" w:color="auto"/>
            <w:right w:val="none" w:sz="0" w:space="0" w:color="auto"/>
          </w:divBdr>
          <w:divsChild>
            <w:div w:id="123743254">
              <w:marLeft w:val="0"/>
              <w:marRight w:val="0"/>
              <w:marTop w:val="0"/>
              <w:marBottom w:val="0"/>
              <w:divBdr>
                <w:top w:val="none" w:sz="0" w:space="0" w:color="auto"/>
                <w:left w:val="none" w:sz="0" w:space="0" w:color="auto"/>
                <w:bottom w:val="none" w:sz="0" w:space="0" w:color="auto"/>
                <w:right w:val="none" w:sz="0" w:space="0" w:color="auto"/>
              </w:divBdr>
            </w:div>
          </w:divsChild>
        </w:div>
        <w:div w:id="375130848">
          <w:marLeft w:val="0"/>
          <w:marRight w:val="0"/>
          <w:marTop w:val="0"/>
          <w:marBottom w:val="0"/>
          <w:divBdr>
            <w:top w:val="none" w:sz="0" w:space="0" w:color="auto"/>
            <w:left w:val="none" w:sz="0" w:space="0" w:color="auto"/>
            <w:bottom w:val="none" w:sz="0" w:space="0" w:color="auto"/>
            <w:right w:val="none" w:sz="0" w:space="0" w:color="auto"/>
          </w:divBdr>
          <w:divsChild>
            <w:div w:id="1064718742">
              <w:marLeft w:val="0"/>
              <w:marRight w:val="0"/>
              <w:marTop w:val="0"/>
              <w:marBottom w:val="0"/>
              <w:divBdr>
                <w:top w:val="none" w:sz="0" w:space="0" w:color="auto"/>
                <w:left w:val="none" w:sz="0" w:space="0" w:color="auto"/>
                <w:bottom w:val="none" w:sz="0" w:space="0" w:color="auto"/>
                <w:right w:val="none" w:sz="0" w:space="0" w:color="auto"/>
              </w:divBdr>
            </w:div>
          </w:divsChild>
        </w:div>
        <w:div w:id="255482349">
          <w:marLeft w:val="0"/>
          <w:marRight w:val="0"/>
          <w:marTop w:val="0"/>
          <w:marBottom w:val="0"/>
          <w:divBdr>
            <w:top w:val="none" w:sz="0" w:space="0" w:color="auto"/>
            <w:left w:val="none" w:sz="0" w:space="0" w:color="auto"/>
            <w:bottom w:val="none" w:sz="0" w:space="0" w:color="auto"/>
            <w:right w:val="none" w:sz="0" w:space="0" w:color="auto"/>
          </w:divBdr>
          <w:divsChild>
            <w:div w:id="1120031831">
              <w:marLeft w:val="0"/>
              <w:marRight w:val="0"/>
              <w:marTop w:val="0"/>
              <w:marBottom w:val="0"/>
              <w:divBdr>
                <w:top w:val="none" w:sz="0" w:space="0" w:color="auto"/>
                <w:left w:val="none" w:sz="0" w:space="0" w:color="auto"/>
                <w:bottom w:val="none" w:sz="0" w:space="0" w:color="auto"/>
                <w:right w:val="none" w:sz="0" w:space="0" w:color="auto"/>
              </w:divBdr>
            </w:div>
            <w:div w:id="5338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4290">
      <w:bodyDiv w:val="1"/>
      <w:marLeft w:val="0"/>
      <w:marRight w:val="0"/>
      <w:marTop w:val="0"/>
      <w:marBottom w:val="0"/>
      <w:divBdr>
        <w:top w:val="none" w:sz="0" w:space="0" w:color="auto"/>
        <w:left w:val="none" w:sz="0" w:space="0" w:color="auto"/>
        <w:bottom w:val="none" w:sz="0" w:space="0" w:color="auto"/>
        <w:right w:val="none" w:sz="0" w:space="0" w:color="auto"/>
      </w:divBdr>
    </w:div>
    <w:div w:id="1635406523">
      <w:bodyDiv w:val="1"/>
      <w:marLeft w:val="0"/>
      <w:marRight w:val="0"/>
      <w:marTop w:val="0"/>
      <w:marBottom w:val="0"/>
      <w:divBdr>
        <w:top w:val="none" w:sz="0" w:space="0" w:color="auto"/>
        <w:left w:val="none" w:sz="0" w:space="0" w:color="auto"/>
        <w:bottom w:val="none" w:sz="0" w:space="0" w:color="auto"/>
        <w:right w:val="none" w:sz="0" w:space="0" w:color="auto"/>
      </w:divBdr>
      <w:divsChild>
        <w:div w:id="867715104">
          <w:marLeft w:val="0"/>
          <w:marRight w:val="0"/>
          <w:marTop w:val="0"/>
          <w:marBottom w:val="0"/>
          <w:divBdr>
            <w:top w:val="none" w:sz="0" w:space="0" w:color="auto"/>
            <w:left w:val="none" w:sz="0" w:space="0" w:color="auto"/>
            <w:bottom w:val="none" w:sz="0" w:space="0" w:color="auto"/>
            <w:right w:val="none" w:sz="0" w:space="0" w:color="auto"/>
          </w:divBdr>
        </w:div>
        <w:div w:id="335694435">
          <w:marLeft w:val="0"/>
          <w:marRight w:val="0"/>
          <w:marTop w:val="0"/>
          <w:marBottom w:val="0"/>
          <w:divBdr>
            <w:top w:val="none" w:sz="0" w:space="0" w:color="auto"/>
            <w:left w:val="none" w:sz="0" w:space="0" w:color="auto"/>
            <w:bottom w:val="none" w:sz="0" w:space="0" w:color="auto"/>
            <w:right w:val="none" w:sz="0" w:space="0" w:color="auto"/>
          </w:divBdr>
        </w:div>
      </w:divsChild>
    </w:div>
    <w:div w:id="1676611184">
      <w:bodyDiv w:val="1"/>
      <w:marLeft w:val="0"/>
      <w:marRight w:val="0"/>
      <w:marTop w:val="0"/>
      <w:marBottom w:val="0"/>
      <w:divBdr>
        <w:top w:val="none" w:sz="0" w:space="0" w:color="auto"/>
        <w:left w:val="none" w:sz="0" w:space="0" w:color="auto"/>
        <w:bottom w:val="none" w:sz="0" w:space="0" w:color="auto"/>
        <w:right w:val="none" w:sz="0" w:space="0" w:color="auto"/>
      </w:divBdr>
    </w:div>
    <w:div w:id="1677881179">
      <w:bodyDiv w:val="1"/>
      <w:marLeft w:val="0"/>
      <w:marRight w:val="0"/>
      <w:marTop w:val="0"/>
      <w:marBottom w:val="0"/>
      <w:divBdr>
        <w:top w:val="none" w:sz="0" w:space="0" w:color="auto"/>
        <w:left w:val="none" w:sz="0" w:space="0" w:color="auto"/>
        <w:bottom w:val="none" w:sz="0" w:space="0" w:color="auto"/>
        <w:right w:val="none" w:sz="0" w:space="0" w:color="auto"/>
      </w:divBdr>
      <w:divsChild>
        <w:div w:id="1113211561">
          <w:marLeft w:val="0"/>
          <w:marRight w:val="0"/>
          <w:marTop w:val="0"/>
          <w:marBottom w:val="0"/>
          <w:divBdr>
            <w:top w:val="none" w:sz="0" w:space="0" w:color="auto"/>
            <w:left w:val="none" w:sz="0" w:space="0" w:color="auto"/>
            <w:bottom w:val="none" w:sz="0" w:space="0" w:color="auto"/>
            <w:right w:val="none" w:sz="0" w:space="0" w:color="auto"/>
          </w:divBdr>
        </w:div>
        <w:div w:id="1829638134">
          <w:marLeft w:val="0"/>
          <w:marRight w:val="0"/>
          <w:marTop w:val="0"/>
          <w:marBottom w:val="0"/>
          <w:divBdr>
            <w:top w:val="none" w:sz="0" w:space="0" w:color="auto"/>
            <w:left w:val="none" w:sz="0" w:space="0" w:color="auto"/>
            <w:bottom w:val="none" w:sz="0" w:space="0" w:color="auto"/>
            <w:right w:val="none" w:sz="0" w:space="0" w:color="auto"/>
          </w:divBdr>
        </w:div>
      </w:divsChild>
    </w:div>
    <w:div w:id="1717701553">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2082219048">
      <w:bodyDiv w:val="1"/>
      <w:marLeft w:val="0"/>
      <w:marRight w:val="0"/>
      <w:marTop w:val="0"/>
      <w:marBottom w:val="0"/>
      <w:divBdr>
        <w:top w:val="none" w:sz="0" w:space="0" w:color="auto"/>
        <w:left w:val="none" w:sz="0" w:space="0" w:color="auto"/>
        <w:bottom w:val="none" w:sz="0" w:space="0" w:color="auto"/>
        <w:right w:val="none" w:sz="0" w:space="0" w:color="auto"/>
      </w:divBdr>
      <w:divsChild>
        <w:div w:id="1345281031">
          <w:marLeft w:val="0"/>
          <w:marRight w:val="0"/>
          <w:marTop w:val="0"/>
          <w:marBottom w:val="0"/>
          <w:divBdr>
            <w:top w:val="none" w:sz="0" w:space="0" w:color="auto"/>
            <w:left w:val="none" w:sz="0" w:space="0" w:color="auto"/>
            <w:bottom w:val="none" w:sz="0" w:space="0" w:color="auto"/>
            <w:right w:val="none" w:sz="0" w:space="0" w:color="auto"/>
          </w:divBdr>
          <w:divsChild>
            <w:div w:id="1889027092">
              <w:marLeft w:val="0"/>
              <w:marRight w:val="0"/>
              <w:marTop w:val="0"/>
              <w:marBottom w:val="0"/>
              <w:divBdr>
                <w:top w:val="none" w:sz="0" w:space="0" w:color="auto"/>
                <w:left w:val="none" w:sz="0" w:space="0" w:color="auto"/>
                <w:bottom w:val="none" w:sz="0" w:space="0" w:color="auto"/>
                <w:right w:val="none" w:sz="0" w:space="0" w:color="auto"/>
              </w:divBdr>
            </w:div>
          </w:divsChild>
        </w:div>
        <w:div w:id="864757434">
          <w:marLeft w:val="0"/>
          <w:marRight w:val="0"/>
          <w:marTop w:val="0"/>
          <w:marBottom w:val="0"/>
          <w:divBdr>
            <w:top w:val="none" w:sz="0" w:space="0" w:color="auto"/>
            <w:left w:val="none" w:sz="0" w:space="0" w:color="auto"/>
            <w:bottom w:val="none" w:sz="0" w:space="0" w:color="auto"/>
            <w:right w:val="none" w:sz="0" w:space="0" w:color="auto"/>
          </w:divBdr>
          <w:divsChild>
            <w:div w:id="574436824">
              <w:marLeft w:val="0"/>
              <w:marRight w:val="0"/>
              <w:marTop w:val="0"/>
              <w:marBottom w:val="0"/>
              <w:divBdr>
                <w:top w:val="none" w:sz="0" w:space="0" w:color="auto"/>
                <w:left w:val="none" w:sz="0" w:space="0" w:color="auto"/>
                <w:bottom w:val="none" w:sz="0" w:space="0" w:color="auto"/>
                <w:right w:val="none" w:sz="0" w:space="0" w:color="auto"/>
              </w:divBdr>
            </w:div>
          </w:divsChild>
        </w:div>
        <w:div w:id="1201288310">
          <w:marLeft w:val="0"/>
          <w:marRight w:val="0"/>
          <w:marTop w:val="0"/>
          <w:marBottom w:val="0"/>
          <w:divBdr>
            <w:top w:val="none" w:sz="0" w:space="0" w:color="auto"/>
            <w:left w:val="none" w:sz="0" w:space="0" w:color="auto"/>
            <w:bottom w:val="none" w:sz="0" w:space="0" w:color="auto"/>
            <w:right w:val="none" w:sz="0" w:space="0" w:color="auto"/>
          </w:divBdr>
          <w:divsChild>
            <w:div w:id="1265260255">
              <w:marLeft w:val="0"/>
              <w:marRight w:val="0"/>
              <w:marTop w:val="0"/>
              <w:marBottom w:val="0"/>
              <w:divBdr>
                <w:top w:val="none" w:sz="0" w:space="0" w:color="auto"/>
                <w:left w:val="none" w:sz="0" w:space="0" w:color="auto"/>
                <w:bottom w:val="none" w:sz="0" w:space="0" w:color="auto"/>
                <w:right w:val="none" w:sz="0" w:space="0" w:color="auto"/>
              </w:divBdr>
            </w:div>
          </w:divsChild>
        </w:div>
        <w:div w:id="698166093">
          <w:marLeft w:val="0"/>
          <w:marRight w:val="0"/>
          <w:marTop w:val="0"/>
          <w:marBottom w:val="0"/>
          <w:divBdr>
            <w:top w:val="none" w:sz="0" w:space="0" w:color="auto"/>
            <w:left w:val="none" w:sz="0" w:space="0" w:color="auto"/>
            <w:bottom w:val="none" w:sz="0" w:space="0" w:color="auto"/>
            <w:right w:val="none" w:sz="0" w:space="0" w:color="auto"/>
          </w:divBdr>
          <w:divsChild>
            <w:div w:id="597064641">
              <w:marLeft w:val="0"/>
              <w:marRight w:val="0"/>
              <w:marTop w:val="0"/>
              <w:marBottom w:val="0"/>
              <w:divBdr>
                <w:top w:val="none" w:sz="0" w:space="0" w:color="auto"/>
                <w:left w:val="none" w:sz="0" w:space="0" w:color="auto"/>
                <w:bottom w:val="none" w:sz="0" w:space="0" w:color="auto"/>
                <w:right w:val="none" w:sz="0" w:space="0" w:color="auto"/>
              </w:divBdr>
            </w:div>
            <w:div w:id="9063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643">
      <w:bodyDiv w:val="1"/>
      <w:marLeft w:val="0"/>
      <w:marRight w:val="0"/>
      <w:marTop w:val="0"/>
      <w:marBottom w:val="0"/>
      <w:divBdr>
        <w:top w:val="none" w:sz="0" w:space="0" w:color="auto"/>
        <w:left w:val="none" w:sz="0" w:space="0" w:color="auto"/>
        <w:bottom w:val="none" w:sz="0" w:space="0" w:color="auto"/>
        <w:right w:val="none" w:sz="0" w:space="0" w:color="auto"/>
      </w:divBdr>
      <w:divsChild>
        <w:div w:id="799416855">
          <w:marLeft w:val="0"/>
          <w:marRight w:val="0"/>
          <w:marTop w:val="0"/>
          <w:marBottom w:val="0"/>
          <w:divBdr>
            <w:top w:val="none" w:sz="0" w:space="0" w:color="auto"/>
            <w:left w:val="none" w:sz="0" w:space="0" w:color="auto"/>
            <w:bottom w:val="none" w:sz="0" w:space="0" w:color="auto"/>
            <w:right w:val="none" w:sz="0" w:space="0" w:color="auto"/>
          </w:divBdr>
        </w:div>
        <w:div w:id="1820073277">
          <w:marLeft w:val="0"/>
          <w:marRight w:val="0"/>
          <w:marTop w:val="0"/>
          <w:marBottom w:val="0"/>
          <w:divBdr>
            <w:top w:val="none" w:sz="0" w:space="0" w:color="auto"/>
            <w:left w:val="none" w:sz="0" w:space="0" w:color="auto"/>
            <w:bottom w:val="none" w:sz="0" w:space="0" w:color="auto"/>
            <w:right w:val="none" w:sz="0" w:space="0" w:color="auto"/>
          </w:divBdr>
        </w:div>
        <w:div w:id="798380484">
          <w:marLeft w:val="0"/>
          <w:marRight w:val="0"/>
          <w:marTop w:val="0"/>
          <w:marBottom w:val="0"/>
          <w:divBdr>
            <w:top w:val="none" w:sz="0" w:space="0" w:color="auto"/>
            <w:left w:val="none" w:sz="0" w:space="0" w:color="auto"/>
            <w:bottom w:val="none" w:sz="0" w:space="0" w:color="auto"/>
            <w:right w:val="none" w:sz="0" w:space="0" w:color="auto"/>
          </w:divBdr>
        </w:div>
        <w:div w:id="168894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d702ae-7d3a-4ab8-a4f2-7fbfba16ee5f">
      <UserInfo>
        <DisplayName>Lina Barrera</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C879D10E7B384EAFF3335F1D3803EB" ma:contentTypeVersion="12" ma:contentTypeDescription="Create a new document." ma:contentTypeScope="" ma:versionID="3221df4c7b73a0b1caa21ad0169adf0d">
  <xsd:schema xmlns:xsd="http://www.w3.org/2001/XMLSchema" xmlns:xs="http://www.w3.org/2001/XMLSchema" xmlns:p="http://schemas.microsoft.com/office/2006/metadata/properties" xmlns:ns2="5bc78bce-5e98-4ad6-a2fa-b101abe4856c" xmlns:ns3="42d702ae-7d3a-4ab8-a4f2-7fbfba16ee5f" targetNamespace="http://schemas.microsoft.com/office/2006/metadata/properties" ma:root="true" ma:fieldsID="1a50a8cf63d51592d56ef9d4adb1911f" ns2:_="" ns3:_="">
    <xsd:import namespace="5bc78bce-5e98-4ad6-a2fa-b101abe4856c"/>
    <xsd:import namespace="42d702ae-7d3a-4ab8-a4f2-7fbfba16ee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8bce-5e98-4ad6-a2fa-b101abe4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702ae-7d3a-4ab8-a4f2-7fbfba16ee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72B0-A8BB-4E10-9CDF-30FBF09DE9B9}">
  <ds:schemaRefs>
    <ds:schemaRef ds:uri="http://schemas.microsoft.com/sharepoint/v3/contenttype/forms"/>
  </ds:schemaRefs>
</ds:datastoreItem>
</file>

<file path=customXml/itemProps2.xml><?xml version="1.0" encoding="utf-8"?>
<ds:datastoreItem xmlns:ds="http://schemas.openxmlformats.org/officeDocument/2006/customXml" ds:itemID="{D5665796-057F-4A44-9F43-21A3C1773982}">
  <ds:schemaRefs>
    <ds:schemaRef ds:uri="http://schemas.microsoft.com/office/infopath/2007/PartnerControls"/>
    <ds:schemaRef ds:uri="d2fd63ce-6de8-4707-a7ac-4e597ee19987"/>
    <ds:schemaRef ds:uri="http://schemas.microsoft.com/office/2006/metadata/properties"/>
    <ds:schemaRef ds:uri="http://purl.org/dc/dcmitype/"/>
    <ds:schemaRef ds:uri="6182eeba-e445-4428-a770-f03af0c80bfc"/>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1C642B1-6608-427A-B7CB-77F55B31C329}">
  <ds:schemaRefs>
    <ds:schemaRef ds:uri="http://schemas.openxmlformats.org/officeDocument/2006/bibliography"/>
  </ds:schemaRefs>
</ds:datastoreItem>
</file>

<file path=customXml/itemProps4.xml><?xml version="1.0" encoding="utf-8"?>
<ds:datastoreItem xmlns:ds="http://schemas.openxmlformats.org/officeDocument/2006/customXml" ds:itemID="{3749B2DC-B910-45D0-8167-3D71ED181B6F}"/>
</file>

<file path=docProps/app.xml><?xml version="1.0" encoding="utf-8"?>
<Properties xmlns="http://schemas.openxmlformats.org/officeDocument/2006/extended-properties" xmlns:vt="http://schemas.openxmlformats.org/officeDocument/2006/docPropsVTypes">
  <Template>letter-en-undb-cop11-colour</Template>
  <TotalTime>0</TotalTime>
  <Pages>11</Pages>
  <Words>3474</Words>
  <Characters>19805</Characters>
  <Application>Microsoft Office Word</Application>
  <DocSecurity>0</DocSecurity>
  <Lines>165</Lines>
  <Paragraphs>46</Paragraphs>
  <ScaleCrop>false</ScaleCrop>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2020-07-24T19:12:00Z</dcterms:created>
  <dcterms:modified xsi:type="dcterms:W3CDTF">2020-07-24T19:12:00Z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0x010100C8C879D10E7B384EAFF3335F1D3803EB</vt:lpwstr>
  </property>
</Properties>
</file>