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7D3C" w14:textId="34C307BF" w:rsidR="00CD6699" w:rsidRDefault="00CB764C" w:rsidP="00CB764C">
      <w:pPr>
        <w:jc w:val="center"/>
        <w:rPr>
          <w:rFonts w:ascii="Times New Roman" w:hAnsi="Times New Roman" w:cs="Times New Roman"/>
          <w:b/>
          <w:bCs/>
          <w:sz w:val="28"/>
        </w:rPr>
      </w:pPr>
      <w:r w:rsidRPr="005333CE">
        <w:rPr>
          <w:rFonts w:ascii="Times New Roman" w:hAnsi="Times New Roman" w:cs="Times New Roman"/>
          <w:b/>
          <w:bCs/>
          <w:sz w:val="28"/>
        </w:rPr>
        <w:t xml:space="preserve">FAO </w:t>
      </w:r>
      <w:r w:rsidR="00927E3C" w:rsidRPr="005333CE">
        <w:rPr>
          <w:rFonts w:ascii="Times New Roman" w:hAnsi="Times New Roman" w:cs="Times New Roman"/>
          <w:b/>
          <w:bCs/>
          <w:sz w:val="28"/>
        </w:rPr>
        <w:t>INPUTS</w:t>
      </w:r>
      <w:r w:rsidRPr="005333CE">
        <w:rPr>
          <w:rFonts w:ascii="Times New Roman" w:hAnsi="Times New Roman" w:cs="Times New Roman"/>
          <w:b/>
          <w:bCs/>
          <w:sz w:val="28"/>
        </w:rPr>
        <w:t xml:space="preserve"> ON POST-2020 GLOBAL BIODIVERSITY FRAMEWORK DISCUSSION PAPER (CBD/POST2020/PREP/1/1)</w:t>
      </w:r>
    </w:p>
    <w:p w14:paraId="7D8CD142" w14:textId="0092C047" w:rsidR="00F63323" w:rsidRPr="00CD6699" w:rsidRDefault="00E50052" w:rsidP="00CB764C">
      <w:pPr>
        <w:jc w:val="center"/>
        <w:rPr>
          <w:rFonts w:ascii="Times New Roman" w:hAnsi="Times New Roman" w:cs="Times New Roman"/>
          <w:b/>
          <w:bCs/>
          <w:i/>
          <w:sz w:val="28"/>
        </w:rPr>
      </w:pPr>
      <w:r>
        <w:rPr>
          <w:rFonts w:ascii="Times New Roman" w:hAnsi="Times New Roman" w:cs="Times New Roman"/>
          <w:b/>
          <w:bCs/>
          <w:i/>
          <w:sz w:val="28"/>
        </w:rPr>
        <w:t>Friday, 03</w:t>
      </w:r>
      <w:r w:rsidR="00CD6699" w:rsidRPr="00CD6699">
        <w:rPr>
          <w:rFonts w:ascii="Times New Roman" w:hAnsi="Times New Roman" w:cs="Times New Roman"/>
          <w:b/>
          <w:bCs/>
          <w:i/>
          <w:sz w:val="28"/>
        </w:rPr>
        <w:t xml:space="preserve"> May 2019</w:t>
      </w:r>
    </w:p>
    <w:p w14:paraId="1E44C63E" w14:textId="77777777" w:rsidR="00022F7F" w:rsidRPr="005333CE" w:rsidRDefault="00022F7F" w:rsidP="00CB764C">
      <w:pPr>
        <w:rPr>
          <w:rFonts w:ascii="Times New Roman" w:hAnsi="Times New Roman" w:cs="Times New Roman"/>
          <w:b/>
          <w:bCs/>
          <w:sz w:val="24"/>
        </w:rPr>
      </w:pPr>
    </w:p>
    <w:p w14:paraId="4F75F657" w14:textId="77777777" w:rsidR="001F30E8" w:rsidRPr="005333CE" w:rsidRDefault="001F30E8" w:rsidP="00022F7F">
      <w:pPr>
        <w:pStyle w:val="ListParagraph"/>
        <w:numPr>
          <w:ilvl w:val="0"/>
          <w:numId w:val="5"/>
        </w:numPr>
        <w:spacing w:before="240" w:line="257" w:lineRule="auto"/>
        <w:contextualSpacing w:val="0"/>
        <w:jc w:val="center"/>
        <w:rPr>
          <w:rFonts w:ascii="Times New Roman" w:hAnsi="Times New Roman" w:cs="Times New Roman"/>
          <w:b/>
          <w:bCs/>
          <w:sz w:val="28"/>
        </w:rPr>
      </w:pPr>
      <w:r w:rsidRPr="005333CE">
        <w:rPr>
          <w:rFonts w:ascii="Times New Roman" w:hAnsi="Times New Roman" w:cs="Times New Roman"/>
          <w:b/>
          <w:bCs/>
          <w:sz w:val="28"/>
        </w:rPr>
        <w:t>Background</w:t>
      </w:r>
    </w:p>
    <w:p w14:paraId="7B783BD2" w14:textId="77777777" w:rsidR="00CB764C" w:rsidRPr="005333CE" w:rsidRDefault="002C364E" w:rsidP="00022F7F">
      <w:pPr>
        <w:spacing w:before="240"/>
        <w:rPr>
          <w:rFonts w:ascii="Times New Roman" w:hAnsi="Times New Roman" w:cs="Times New Roman"/>
          <w:b/>
          <w:bCs/>
          <w:sz w:val="24"/>
        </w:rPr>
      </w:pPr>
      <w:r w:rsidRPr="005333CE">
        <w:rPr>
          <w:rFonts w:ascii="Times New Roman" w:hAnsi="Times New Roman" w:cs="Times New Roman"/>
          <w:b/>
          <w:bCs/>
          <w:sz w:val="24"/>
        </w:rPr>
        <w:t>The agricultural sectors</w:t>
      </w:r>
      <w:r w:rsidR="00CB764C" w:rsidRPr="005333CE">
        <w:rPr>
          <w:rFonts w:ascii="Times New Roman" w:hAnsi="Times New Roman" w:cs="Times New Roman"/>
          <w:b/>
          <w:bCs/>
          <w:sz w:val="24"/>
        </w:rPr>
        <w:t xml:space="preserve"> and biodiversity</w:t>
      </w:r>
    </w:p>
    <w:p w14:paraId="4E9BEDC9" w14:textId="58180E89" w:rsidR="001714A6" w:rsidRPr="005333CE" w:rsidRDefault="002A6AD2" w:rsidP="00DD1D7E">
      <w:pPr>
        <w:jc w:val="both"/>
        <w:rPr>
          <w:rFonts w:ascii="Times New Roman" w:hAnsi="Times New Roman" w:cs="Times New Roman"/>
          <w:szCs w:val="24"/>
        </w:rPr>
      </w:pPr>
      <w:r w:rsidRPr="005333CE">
        <w:rPr>
          <w:rFonts w:ascii="Times New Roman" w:hAnsi="Times New Roman" w:cs="Times New Roman"/>
          <w:szCs w:val="24"/>
        </w:rPr>
        <w:t>Biodiversity is indispensa</w:t>
      </w:r>
      <w:bookmarkStart w:id="0" w:name="_GoBack"/>
      <w:bookmarkEnd w:id="0"/>
      <w:r w:rsidRPr="005333CE">
        <w:rPr>
          <w:rFonts w:ascii="Times New Roman" w:hAnsi="Times New Roman" w:cs="Times New Roman"/>
          <w:szCs w:val="24"/>
        </w:rPr>
        <w:t>ble to food security</w:t>
      </w:r>
      <w:r w:rsidR="00CC764F">
        <w:rPr>
          <w:rFonts w:ascii="Times New Roman" w:hAnsi="Times New Roman" w:cs="Times New Roman"/>
          <w:szCs w:val="24"/>
        </w:rPr>
        <w:t xml:space="preserve"> and nutrition</w:t>
      </w:r>
      <w:r w:rsidRPr="005333CE">
        <w:rPr>
          <w:rFonts w:ascii="Times New Roman" w:hAnsi="Times New Roman" w:cs="Times New Roman"/>
          <w:szCs w:val="24"/>
        </w:rPr>
        <w:t xml:space="preserve">, sustainable development and the supply of many vital ecosystem services. </w:t>
      </w:r>
      <w:r w:rsidR="001714A6" w:rsidRPr="005333CE">
        <w:rPr>
          <w:rFonts w:ascii="Times New Roman" w:hAnsi="Times New Roman" w:cs="Times New Roman"/>
          <w:szCs w:val="24"/>
        </w:rPr>
        <w:t xml:space="preserve">It </w:t>
      </w:r>
      <w:r w:rsidR="00CB764C" w:rsidRPr="005333CE">
        <w:rPr>
          <w:rFonts w:ascii="Times New Roman" w:hAnsi="Times New Roman" w:cs="Times New Roman"/>
          <w:szCs w:val="24"/>
        </w:rPr>
        <w:t>is vital to efforts to meet humanity’s growing need for food, feed, fibre and fuel while protecting the planet for future generations.</w:t>
      </w:r>
      <w:r w:rsidR="00A955C0" w:rsidRPr="005333CE">
        <w:rPr>
          <w:rFonts w:ascii="Times New Roman" w:hAnsi="Times New Roman" w:cs="Times New Roman"/>
          <w:szCs w:val="24"/>
        </w:rPr>
        <w:t xml:space="preserve"> </w:t>
      </w:r>
      <w:r w:rsidRPr="005333CE">
        <w:rPr>
          <w:rFonts w:ascii="Times New Roman" w:hAnsi="Times New Roman" w:cs="Times New Roman"/>
          <w:szCs w:val="24"/>
        </w:rPr>
        <w:t xml:space="preserve">Biodiversity makes production systems and livelihoods more resilient to shocks and stresses, including to the effects of climate change. It is a key resource in efforts to </w:t>
      </w:r>
      <w:r w:rsidR="00CC764F">
        <w:rPr>
          <w:rFonts w:ascii="Times New Roman" w:hAnsi="Times New Roman" w:cs="Times New Roman"/>
          <w:szCs w:val="24"/>
        </w:rPr>
        <w:t xml:space="preserve">sustainably </w:t>
      </w:r>
      <w:r w:rsidRPr="005333CE">
        <w:rPr>
          <w:rFonts w:ascii="Times New Roman" w:hAnsi="Times New Roman" w:cs="Times New Roman"/>
          <w:szCs w:val="24"/>
        </w:rPr>
        <w:t xml:space="preserve">increase food production while limiting negative impacts on the environment. </w:t>
      </w:r>
    </w:p>
    <w:p w14:paraId="4EFE13A8" w14:textId="62C402BB" w:rsidR="00110C54" w:rsidRPr="005333CE" w:rsidRDefault="001714A6" w:rsidP="00110C54">
      <w:pPr>
        <w:spacing w:before="240" w:after="120" w:line="240" w:lineRule="auto"/>
        <w:jc w:val="both"/>
        <w:rPr>
          <w:rFonts w:asciiTheme="majorBidi" w:eastAsia="Times New Roman" w:hAnsiTheme="majorBidi" w:cstheme="majorBidi"/>
          <w:color w:val="000000" w:themeColor="text1"/>
          <w:szCs w:val="24"/>
        </w:rPr>
      </w:pPr>
      <w:r w:rsidRPr="005333CE">
        <w:rPr>
          <w:rFonts w:ascii="Times New Roman" w:hAnsi="Times New Roman" w:cs="Times New Roman"/>
          <w:szCs w:val="24"/>
        </w:rPr>
        <w:t xml:space="preserve">Biodiversity includes the sub-category of biodiversity for food and agriculture. An understanding of the importance of biodiversity for food and agriculture is essential for the design of an effective post-2020 global biodiversity framework. </w:t>
      </w:r>
      <w:r w:rsidR="00CC764F">
        <w:rPr>
          <w:rFonts w:ascii="Times New Roman" w:hAnsi="Times New Roman" w:cs="Times New Roman"/>
          <w:szCs w:val="24"/>
        </w:rPr>
        <w:t xml:space="preserve">One of the most important factors </w:t>
      </w:r>
      <w:r w:rsidRPr="005333CE">
        <w:rPr>
          <w:rFonts w:ascii="Times New Roman" w:hAnsi="Times New Roman" w:cs="Times New Roman"/>
          <w:szCs w:val="24"/>
        </w:rPr>
        <w:t xml:space="preserve">for the future of biodiversity </w:t>
      </w:r>
      <w:r w:rsidR="00CC764F">
        <w:rPr>
          <w:rFonts w:ascii="Times New Roman" w:hAnsi="Times New Roman" w:cs="Times New Roman"/>
          <w:szCs w:val="24"/>
        </w:rPr>
        <w:t xml:space="preserve">is </w:t>
      </w:r>
      <w:r w:rsidRPr="005333CE">
        <w:rPr>
          <w:rFonts w:ascii="Times New Roman" w:hAnsi="Times New Roman" w:cs="Times New Roman"/>
          <w:szCs w:val="24"/>
        </w:rPr>
        <w:t xml:space="preserve">the way our food and agriculture systems evolve. </w:t>
      </w:r>
      <w:r w:rsidR="00944D1C" w:rsidRPr="005333CE">
        <w:rPr>
          <w:rFonts w:asciiTheme="majorBidi" w:eastAsia="Times New Roman" w:hAnsiTheme="majorBidi" w:cstheme="majorBidi"/>
          <w:color w:val="000000" w:themeColor="text1"/>
          <w:szCs w:val="24"/>
        </w:rPr>
        <w:t xml:space="preserve">The agricultural </w:t>
      </w:r>
      <w:r w:rsidR="007A111C" w:rsidRPr="005333CE">
        <w:rPr>
          <w:rFonts w:asciiTheme="majorBidi" w:eastAsia="Times New Roman" w:hAnsiTheme="majorBidi" w:cstheme="majorBidi"/>
          <w:color w:val="000000" w:themeColor="text1"/>
          <w:szCs w:val="24"/>
        </w:rPr>
        <w:t>sectors</w:t>
      </w:r>
      <w:r w:rsidR="00A87C44" w:rsidRPr="005333CE">
        <w:rPr>
          <w:rFonts w:asciiTheme="majorBidi" w:eastAsia="Times New Roman" w:hAnsiTheme="majorBidi" w:cstheme="majorBidi"/>
          <w:color w:val="000000" w:themeColor="text1"/>
          <w:szCs w:val="24"/>
        </w:rPr>
        <w:t>,</w:t>
      </w:r>
      <w:r w:rsidR="007A111C" w:rsidRPr="005333CE">
        <w:rPr>
          <w:rFonts w:asciiTheme="majorBidi" w:eastAsia="Times New Roman" w:hAnsiTheme="majorBidi" w:cstheme="majorBidi"/>
          <w:color w:val="000000" w:themeColor="text1"/>
          <w:szCs w:val="24"/>
        </w:rPr>
        <w:t xml:space="preserve"> i.e. crop, livestock, forestry, fisheries and aquaculture,</w:t>
      </w:r>
      <w:r w:rsidR="00944D1C" w:rsidRPr="005333CE">
        <w:rPr>
          <w:rFonts w:asciiTheme="majorBidi" w:eastAsia="Times New Roman" w:hAnsiTheme="majorBidi" w:cstheme="majorBidi"/>
          <w:color w:val="000000" w:themeColor="text1"/>
          <w:szCs w:val="24"/>
        </w:rPr>
        <w:t xml:space="preserve"> are major users of biodiversity and have a considerable potential to contribute to its conservation and sustainable use. Together they manage the largest terrestrial, freshwater and marine areas on earth. When managed sustainably, agricultural sectors contribute to ecosystem functions essential for sustainable production. </w:t>
      </w:r>
    </w:p>
    <w:p w14:paraId="0444F37E" w14:textId="1AC325FC" w:rsidR="00944D1C" w:rsidRPr="005333CE" w:rsidRDefault="00110C54" w:rsidP="005333CE">
      <w:pPr>
        <w:spacing w:before="240" w:after="120" w:line="240" w:lineRule="auto"/>
        <w:jc w:val="both"/>
        <w:rPr>
          <w:rFonts w:asciiTheme="majorBidi" w:eastAsia="Times New Roman" w:hAnsiTheme="majorBidi" w:cstheme="majorBidi"/>
          <w:color w:val="000000" w:themeColor="text1"/>
          <w:szCs w:val="24"/>
          <w:lang w:val="en-US"/>
        </w:rPr>
      </w:pPr>
      <w:r w:rsidRPr="005333CE">
        <w:rPr>
          <w:rFonts w:asciiTheme="majorBidi" w:eastAsia="Times New Roman" w:hAnsiTheme="majorBidi" w:cstheme="majorBidi"/>
          <w:color w:val="000000" w:themeColor="text1"/>
          <w:szCs w:val="24"/>
        </w:rPr>
        <w:t>There are many well-established approaches for improving the sustainability of agriculture sectors. In fisheries and aquaculture, the ecosystem approach has proven to be key for the conservation and sustainable use of marine and aquatic biodiversity. In forestry, sustainable forest management brings together a number of approaches, including agroforestry and community-based forestry, to maintain and enhance multiple forest values. Examples from crop production</w:t>
      </w:r>
      <w:r w:rsidR="00CC764F">
        <w:rPr>
          <w:rFonts w:asciiTheme="majorBidi" w:eastAsia="Times New Roman" w:hAnsiTheme="majorBidi" w:cstheme="majorBidi"/>
          <w:color w:val="000000" w:themeColor="text1"/>
          <w:szCs w:val="24"/>
        </w:rPr>
        <w:t xml:space="preserve"> approaches</w:t>
      </w:r>
      <w:r w:rsidRPr="005333CE">
        <w:rPr>
          <w:rFonts w:asciiTheme="majorBidi" w:eastAsia="Times New Roman" w:hAnsiTheme="majorBidi" w:cstheme="majorBidi"/>
          <w:color w:val="000000" w:themeColor="text1"/>
          <w:szCs w:val="24"/>
        </w:rPr>
        <w:t xml:space="preserve"> include </w:t>
      </w:r>
      <w:r w:rsidR="00CC764F">
        <w:rPr>
          <w:rFonts w:asciiTheme="majorBidi" w:eastAsia="Times New Roman" w:hAnsiTheme="majorBidi" w:cstheme="majorBidi"/>
          <w:color w:val="000000" w:themeColor="text1"/>
          <w:szCs w:val="24"/>
        </w:rPr>
        <w:t xml:space="preserve">crop diversification, </w:t>
      </w:r>
      <w:r w:rsidRPr="005333CE">
        <w:rPr>
          <w:rFonts w:asciiTheme="majorBidi" w:eastAsia="Times New Roman" w:hAnsiTheme="majorBidi" w:cstheme="majorBidi"/>
          <w:color w:val="000000" w:themeColor="text1"/>
          <w:szCs w:val="24"/>
        </w:rPr>
        <w:t>poly-cultures,</w:t>
      </w:r>
      <w:r w:rsidR="00CC764F">
        <w:rPr>
          <w:rFonts w:asciiTheme="majorBidi" w:eastAsia="Times New Roman" w:hAnsiTheme="majorBidi" w:cstheme="majorBidi"/>
          <w:color w:val="000000" w:themeColor="text1"/>
          <w:szCs w:val="24"/>
        </w:rPr>
        <w:t xml:space="preserve"> increasing soil organic matter, </w:t>
      </w:r>
      <w:r w:rsidRPr="005333CE">
        <w:rPr>
          <w:rFonts w:asciiTheme="majorBidi" w:eastAsia="Times New Roman" w:hAnsiTheme="majorBidi" w:cstheme="majorBidi"/>
          <w:color w:val="000000" w:themeColor="text1"/>
          <w:szCs w:val="24"/>
        </w:rPr>
        <w:t>integrated management</w:t>
      </w:r>
      <w:r w:rsidR="00CC764F">
        <w:rPr>
          <w:rFonts w:asciiTheme="majorBidi" w:eastAsia="Times New Roman" w:hAnsiTheme="majorBidi" w:cstheme="majorBidi"/>
          <w:color w:val="000000" w:themeColor="text1"/>
          <w:szCs w:val="24"/>
        </w:rPr>
        <w:t xml:space="preserve"> of pests and diseases, </w:t>
      </w:r>
      <w:r w:rsidR="00CC764F">
        <w:rPr>
          <w:rFonts w:asciiTheme="majorBidi" w:eastAsia="Times New Roman" w:hAnsiTheme="majorBidi" w:cstheme="majorBidi"/>
          <w:color w:val="000000" w:themeColor="text1"/>
          <w:szCs w:val="24"/>
        </w:rPr>
        <w:t xml:space="preserve">minimum soil disturbance, permanent soil cover, </w:t>
      </w:r>
      <w:r w:rsidR="00CC764F">
        <w:rPr>
          <w:rFonts w:asciiTheme="majorBidi" w:eastAsia="Times New Roman" w:hAnsiTheme="majorBidi" w:cstheme="majorBidi"/>
          <w:color w:val="000000" w:themeColor="text1"/>
          <w:szCs w:val="24"/>
        </w:rPr>
        <w:t xml:space="preserve">and </w:t>
      </w:r>
      <w:r w:rsidR="00CC764F">
        <w:rPr>
          <w:rFonts w:asciiTheme="majorBidi" w:eastAsia="Times New Roman" w:hAnsiTheme="majorBidi" w:cstheme="majorBidi"/>
          <w:color w:val="000000" w:themeColor="text1"/>
          <w:szCs w:val="24"/>
        </w:rPr>
        <w:t>app</w:t>
      </w:r>
      <w:r w:rsidR="00CC764F">
        <w:rPr>
          <w:rFonts w:asciiTheme="majorBidi" w:eastAsia="Times New Roman" w:hAnsiTheme="majorBidi" w:cstheme="majorBidi"/>
          <w:color w:val="000000" w:themeColor="text1"/>
          <w:szCs w:val="24"/>
        </w:rPr>
        <w:t>ropriate mechanisation services</w:t>
      </w:r>
      <w:r w:rsidRPr="005333CE">
        <w:rPr>
          <w:rFonts w:asciiTheme="majorBidi" w:eastAsia="Times New Roman" w:hAnsiTheme="majorBidi" w:cstheme="majorBidi"/>
          <w:color w:val="000000" w:themeColor="text1"/>
          <w:szCs w:val="24"/>
        </w:rPr>
        <w:t>.</w:t>
      </w:r>
      <w:r w:rsidRPr="005333CE">
        <w:rPr>
          <w:rFonts w:asciiTheme="majorBidi" w:eastAsia="Times New Roman" w:hAnsiTheme="majorBidi" w:cstheme="majorBidi"/>
          <w:color w:val="000000" w:themeColor="text1"/>
          <w:szCs w:val="24"/>
        </w:rPr>
        <w:t xml:space="preserve"> Securing ecosystem services requires enhancing biodiversity at the landscape</w:t>
      </w:r>
      <w:r w:rsidR="00590219">
        <w:rPr>
          <w:rFonts w:asciiTheme="majorBidi" w:eastAsia="Times New Roman" w:hAnsiTheme="majorBidi" w:cstheme="majorBidi"/>
          <w:color w:val="000000" w:themeColor="text1"/>
          <w:szCs w:val="24"/>
        </w:rPr>
        <w:t xml:space="preserve"> and seascape</w:t>
      </w:r>
      <w:r w:rsidRPr="005333CE">
        <w:rPr>
          <w:rFonts w:asciiTheme="majorBidi" w:eastAsia="Times New Roman" w:hAnsiTheme="majorBidi" w:cstheme="majorBidi"/>
          <w:color w:val="000000" w:themeColor="text1"/>
          <w:szCs w:val="24"/>
        </w:rPr>
        <w:t xml:space="preserve"> level, for instance through agroecology</w:t>
      </w:r>
      <w:r w:rsidR="00590219">
        <w:rPr>
          <w:rFonts w:asciiTheme="majorBidi" w:eastAsia="Times New Roman" w:hAnsiTheme="majorBidi" w:cstheme="majorBidi"/>
          <w:color w:val="000000" w:themeColor="text1"/>
          <w:szCs w:val="24"/>
        </w:rPr>
        <w:t>,</w:t>
      </w:r>
      <w:r w:rsidRPr="005333CE">
        <w:rPr>
          <w:rFonts w:asciiTheme="majorBidi" w:eastAsia="Times New Roman" w:hAnsiTheme="majorBidi" w:cstheme="majorBidi"/>
          <w:color w:val="000000" w:themeColor="text1"/>
          <w:szCs w:val="24"/>
        </w:rPr>
        <w:t xml:space="preserve"> agroforestry</w:t>
      </w:r>
      <w:r w:rsidR="00590219">
        <w:rPr>
          <w:rFonts w:asciiTheme="majorBidi" w:eastAsia="Times New Roman" w:hAnsiTheme="majorBidi" w:cstheme="majorBidi"/>
          <w:color w:val="000000" w:themeColor="text1"/>
          <w:szCs w:val="24"/>
        </w:rPr>
        <w:t xml:space="preserve"> and the Ecosystem Approach to Fisheries</w:t>
      </w:r>
      <w:r w:rsidRPr="005333CE">
        <w:rPr>
          <w:rFonts w:asciiTheme="majorBidi" w:eastAsia="Times New Roman" w:hAnsiTheme="majorBidi" w:cstheme="majorBidi"/>
          <w:color w:val="000000" w:themeColor="text1"/>
          <w:szCs w:val="24"/>
        </w:rPr>
        <w:t xml:space="preserve">. </w:t>
      </w:r>
    </w:p>
    <w:p w14:paraId="643DEBFB" w14:textId="77777777" w:rsidR="00A955C0" w:rsidRPr="005333CE" w:rsidRDefault="00A955C0" w:rsidP="00022F7F">
      <w:pPr>
        <w:spacing w:before="240"/>
        <w:rPr>
          <w:rFonts w:ascii="Times New Roman" w:hAnsi="Times New Roman" w:cs="Times New Roman"/>
          <w:b/>
          <w:bCs/>
          <w:sz w:val="24"/>
        </w:rPr>
      </w:pPr>
      <w:r w:rsidRPr="005333CE">
        <w:rPr>
          <w:rFonts w:ascii="Times New Roman" w:hAnsi="Times New Roman" w:cs="Times New Roman"/>
          <w:b/>
          <w:bCs/>
          <w:sz w:val="24"/>
        </w:rPr>
        <w:t>Recent developments in FAO</w:t>
      </w:r>
    </w:p>
    <w:p w14:paraId="6BB6E946" w14:textId="77777777" w:rsidR="005B0BC5" w:rsidRPr="005B0BC5" w:rsidRDefault="005B0BC5" w:rsidP="005B0BC5">
      <w:pPr>
        <w:jc w:val="both"/>
        <w:rPr>
          <w:rFonts w:ascii="Times New Roman" w:hAnsi="Times New Roman" w:cs="Times New Roman"/>
          <w:szCs w:val="24"/>
        </w:rPr>
      </w:pPr>
      <w:r w:rsidRPr="005B0BC5">
        <w:rPr>
          <w:rFonts w:ascii="Times New Roman" w:hAnsi="Times New Roman" w:cs="Times New Roman"/>
          <w:szCs w:val="24"/>
        </w:rPr>
        <w:t>FAO promotes sustainable development in the agriculture sectors</w:t>
      </w:r>
      <w:r w:rsidRPr="005B0BC5">
        <w:rPr>
          <w:rFonts w:ascii="Times New Roman" w:hAnsi="Times New Roman" w:cs="Times New Roman"/>
          <w:szCs w:val="24"/>
          <w:vertAlign w:val="superscript"/>
        </w:rPr>
        <w:footnoteReference w:id="2"/>
      </w:r>
      <w:r w:rsidRPr="005B0BC5">
        <w:rPr>
          <w:rFonts w:ascii="Times New Roman" w:hAnsi="Times New Roman" w:cs="Times New Roman"/>
          <w:szCs w:val="24"/>
          <w:vertAlign w:val="superscript"/>
        </w:rPr>
        <w:t xml:space="preserve"> </w:t>
      </w:r>
      <w:r w:rsidRPr="005B0BC5">
        <w:rPr>
          <w:rFonts w:ascii="Times New Roman" w:hAnsi="Times New Roman" w:cs="Times New Roman"/>
          <w:szCs w:val="24"/>
        </w:rPr>
        <w:t xml:space="preserve">(including crop and livestock production, forestry, fisheries and aquaculture) as a means to alleviate poverty and end hunger and malnutrition. </w:t>
      </w:r>
    </w:p>
    <w:p w14:paraId="3692F9C4" w14:textId="77777777" w:rsidR="00A87C44" w:rsidRPr="005333CE" w:rsidRDefault="00A955C0" w:rsidP="00DD1D7E">
      <w:pPr>
        <w:jc w:val="both"/>
        <w:rPr>
          <w:rFonts w:ascii="Times New Roman" w:hAnsi="Times New Roman" w:cs="Times New Roman"/>
          <w:szCs w:val="24"/>
        </w:rPr>
      </w:pPr>
      <w:r w:rsidRPr="005333CE">
        <w:rPr>
          <w:rFonts w:ascii="Times New Roman" w:hAnsi="Times New Roman" w:cs="Times New Roman"/>
          <w:szCs w:val="24"/>
        </w:rPr>
        <w:t>In 2016, FAO announced the establishment of the Biodiversity Mainstreaming Platform, and established the Climate, Biodiversity, Land and Water Department. The Multi-stakeholder Dialogue on Biodiversity Mainstreaming across the Agricultural Sectors was one of the first activities of the Biodiversity Mainstreaming Platform and was co-organized with the CBD in May 2018 in Rome</w:t>
      </w:r>
      <w:r w:rsidR="00A87C44" w:rsidRPr="005333CE">
        <w:rPr>
          <w:rFonts w:ascii="Times New Roman" w:hAnsi="Times New Roman" w:cs="Times New Roman"/>
          <w:szCs w:val="24"/>
        </w:rPr>
        <w:t>.</w:t>
      </w:r>
      <w:r w:rsidR="009C41B7" w:rsidRPr="005333CE">
        <w:rPr>
          <w:rStyle w:val="FootnoteReference"/>
          <w:rFonts w:ascii="Times New Roman" w:hAnsi="Times New Roman" w:cs="Times New Roman"/>
          <w:szCs w:val="24"/>
        </w:rPr>
        <w:footnoteReference w:id="3"/>
      </w:r>
      <w:r w:rsidRPr="005333CE">
        <w:rPr>
          <w:rFonts w:ascii="Times New Roman" w:hAnsi="Times New Roman" w:cs="Times New Roman"/>
          <w:szCs w:val="24"/>
        </w:rPr>
        <w:t xml:space="preserve"> </w:t>
      </w:r>
    </w:p>
    <w:p w14:paraId="3F84982A" w14:textId="0D7A628C" w:rsidR="00A87C44" w:rsidRPr="005333CE" w:rsidRDefault="00A87C44" w:rsidP="00DD1D7E">
      <w:pPr>
        <w:jc w:val="both"/>
        <w:rPr>
          <w:rFonts w:ascii="Times New Roman" w:hAnsi="Times New Roman" w:cs="Times New Roman"/>
          <w:szCs w:val="24"/>
        </w:rPr>
      </w:pPr>
      <w:r w:rsidRPr="005333CE">
        <w:rPr>
          <w:rFonts w:ascii="Times New Roman" w:hAnsi="Times New Roman" w:cs="Times New Roman"/>
          <w:szCs w:val="24"/>
        </w:rPr>
        <w:lastRenderedPageBreak/>
        <w:t xml:space="preserve">FAO’s Commission on Genetic Resources for Food and Agriculture launched, in February 2019, the first report on </w:t>
      </w:r>
      <w:r w:rsidRPr="005333CE">
        <w:rPr>
          <w:rFonts w:ascii="Times New Roman" w:hAnsi="Times New Roman" w:cs="Times New Roman"/>
          <w:i/>
          <w:iCs/>
          <w:szCs w:val="24"/>
        </w:rPr>
        <w:t>The State of the World’s Biodiversity for Food and Agricultur</w:t>
      </w:r>
      <w:r w:rsidRPr="005333CE">
        <w:rPr>
          <w:rFonts w:ascii="Times New Roman" w:hAnsi="Times New Roman" w:cs="Times New Roman"/>
          <w:szCs w:val="24"/>
        </w:rPr>
        <w:t>e,</w:t>
      </w:r>
      <w:r w:rsidRPr="005333CE">
        <w:rPr>
          <w:rStyle w:val="FootnoteReference"/>
          <w:rFonts w:ascii="Times New Roman" w:hAnsi="Times New Roman" w:cs="Times New Roman"/>
          <w:szCs w:val="24"/>
        </w:rPr>
        <w:footnoteReference w:id="4"/>
      </w:r>
      <w:r w:rsidRPr="005333CE">
        <w:rPr>
          <w:rFonts w:ascii="Times New Roman" w:hAnsi="Times New Roman" w:cs="Times New Roman"/>
          <w:szCs w:val="24"/>
        </w:rPr>
        <w:t xml:space="preserve"> an essential step in creating a comprehensive picture of the state and use of this biodiversity. The report provides a strong foundation for the design of effective interventions towards more sustainable, resilient food systems.</w:t>
      </w:r>
      <w:r w:rsidR="00AB1526">
        <w:rPr>
          <w:rFonts w:ascii="Times New Roman" w:hAnsi="Times New Roman" w:cs="Times New Roman"/>
          <w:szCs w:val="24"/>
        </w:rPr>
        <w:t xml:space="preserve"> The Commission called for a timely and clear cross-sectoral follow-up document and agreed on an intersessional process with the motivation to have </w:t>
      </w:r>
      <w:r w:rsidR="00162C93">
        <w:rPr>
          <w:rFonts w:ascii="Times New Roman" w:hAnsi="Times New Roman" w:cs="Times New Roman"/>
          <w:szCs w:val="24"/>
        </w:rPr>
        <w:t>the document adopted as a Global Plan of Action by the FAO Conference at its 42</w:t>
      </w:r>
      <w:r w:rsidR="00162C93" w:rsidRPr="0062145A">
        <w:rPr>
          <w:rFonts w:ascii="Times New Roman" w:hAnsi="Times New Roman" w:cs="Times New Roman"/>
          <w:szCs w:val="24"/>
          <w:vertAlign w:val="superscript"/>
        </w:rPr>
        <w:t>nd</w:t>
      </w:r>
      <w:r w:rsidR="00162C93">
        <w:rPr>
          <w:rFonts w:ascii="Times New Roman" w:hAnsi="Times New Roman" w:cs="Times New Roman"/>
          <w:szCs w:val="24"/>
        </w:rPr>
        <w:t xml:space="preserve"> session in 2021.</w:t>
      </w:r>
      <w:r w:rsidR="00070B85">
        <w:rPr>
          <w:rStyle w:val="FootnoteReference"/>
          <w:rFonts w:ascii="Times New Roman" w:hAnsi="Times New Roman" w:cs="Times New Roman"/>
          <w:szCs w:val="24"/>
        </w:rPr>
        <w:footnoteReference w:id="5"/>
      </w:r>
    </w:p>
    <w:p w14:paraId="4B20B415" w14:textId="34982AD1" w:rsidR="0062145A" w:rsidRDefault="00A955C0" w:rsidP="0062145A">
      <w:pPr>
        <w:jc w:val="both"/>
        <w:rPr>
          <w:color w:val="000000" w:themeColor="text1"/>
        </w:rPr>
      </w:pPr>
      <w:r w:rsidRPr="005333CE">
        <w:rPr>
          <w:rFonts w:ascii="Times New Roman" w:hAnsi="Times New Roman" w:cs="Times New Roman"/>
          <w:szCs w:val="24"/>
        </w:rPr>
        <w:t xml:space="preserve">FAO governing bodies in 2018 </w:t>
      </w:r>
      <w:r w:rsidR="00A87C44" w:rsidRPr="005333CE">
        <w:rPr>
          <w:rFonts w:ascii="Times New Roman" w:hAnsi="Times New Roman" w:cs="Times New Roman"/>
          <w:szCs w:val="24"/>
        </w:rPr>
        <w:t>discussed biodiversity mainstreaming across the agricultural sectors and requested</w:t>
      </w:r>
      <w:r w:rsidRPr="005333CE">
        <w:rPr>
          <w:rFonts w:ascii="Times New Roman" w:hAnsi="Times New Roman" w:cs="Times New Roman"/>
          <w:szCs w:val="24"/>
        </w:rPr>
        <w:t xml:space="preserve"> FAO to develop a strategy on biodiversity mainstreaming across the agricultural sectors.</w:t>
      </w:r>
      <w:r w:rsidR="002A6AD2" w:rsidRPr="005333CE">
        <w:rPr>
          <w:rStyle w:val="FootnoteReference"/>
          <w:rFonts w:ascii="Times New Roman" w:hAnsi="Times New Roman" w:cs="Times New Roman"/>
          <w:szCs w:val="24"/>
        </w:rPr>
        <w:footnoteReference w:id="6"/>
      </w:r>
    </w:p>
    <w:p w14:paraId="5CCE536E" w14:textId="58A922CF" w:rsidR="00DD1D7E" w:rsidRPr="005333CE" w:rsidRDefault="00DD1D7E" w:rsidP="00DD1D7E">
      <w:pPr>
        <w:jc w:val="both"/>
        <w:rPr>
          <w:rFonts w:ascii="Times New Roman" w:hAnsi="Times New Roman" w:cs="Times New Roman"/>
          <w:szCs w:val="24"/>
        </w:rPr>
      </w:pPr>
      <w:r w:rsidRPr="005333CE">
        <w:rPr>
          <w:rFonts w:ascii="Times New Roman" w:hAnsi="Times New Roman" w:cs="Times New Roman"/>
          <w:szCs w:val="24"/>
        </w:rPr>
        <w:t>The FAO Council is expected to endorse the FAO Strategy on Biodiversity Mainstreaming across Agricultural Sectors in December 2019.</w:t>
      </w:r>
    </w:p>
    <w:p w14:paraId="72638A6F" w14:textId="77777777" w:rsidR="001F30E8" w:rsidRPr="005333CE" w:rsidRDefault="001F30E8" w:rsidP="00022F7F">
      <w:pPr>
        <w:pStyle w:val="ListParagraph"/>
        <w:numPr>
          <w:ilvl w:val="0"/>
          <w:numId w:val="5"/>
        </w:numPr>
        <w:spacing w:before="240" w:line="257" w:lineRule="auto"/>
        <w:contextualSpacing w:val="0"/>
        <w:jc w:val="center"/>
        <w:rPr>
          <w:rFonts w:ascii="Times New Roman" w:hAnsi="Times New Roman" w:cs="Times New Roman"/>
          <w:b/>
          <w:bCs/>
          <w:sz w:val="28"/>
        </w:rPr>
      </w:pPr>
      <w:r w:rsidRPr="005333CE">
        <w:rPr>
          <w:rFonts w:ascii="Times New Roman" w:hAnsi="Times New Roman" w:cs="Times New Roman"/>
          <w:b/>
          <w:bCs/>
          <w:sz w:val="28"/>
        </w:rPr>
        <w:t>FAO inputs to the discussion paper</w:t>
      </w:r>
    </w:p>
    <w:p w14:paraId="50AA58DB" w14:textId="0C7AED1E" w:rsidR="00D76D21" w:rsidRPr="00D76D21" w:rsidRDefault="00D76D21" w:rsidP="00D76D21">
      <w:pPr>
        <w:spacing w:before="240"/>
        <w:jc w:val="both"/>
        <w:rPr>
          <w:rFonts w:ascii="Times New Roman" w:hAnsi="Times New Roman" w:cs="Times New Roman"/>
          <w:i/>
          <w:szCs w:val="24"/>
        </w:rPr>
      </w:pPr>
      <w:r w:rsidRPr="00D76D21">
        <w:rPr>
          <w:rFonts w:ascii="Times New Roman" w:hAnsi="Times New Roman" w:cs="Times New Roman"/>
          <w:i/>
          <w:szCs w:val="24"/>
        </w:rPr>
        <w:t>FAO will strengthen its work on biodiversity mainstreaming over the coming months as it prepares its own strategy on biodiversity mainstreaming across the agriculture sectors. FAO looks forward to providing more in-depth responses to future notifications from the CBD on the post-2020 global biodiversity framework.</w:t>
      </w:r>
    </w:p>
    <w:p w14:paraId="1D172AEF" w14:textId="73FD1F65" w:rsidR="00F139E8" w:rsidRPr="005333CE" w:rsidRDefault="00F139E8" w:rsidP="00022F7F">
      <w:pPr>
        <w:spacing w:before="240"/>
        <w:rPr>
          <w:rFonts w:ascii="Times New Roman" w:hAnsi="Times New Roman" w:cs="Times New Roman"/>
          <w:b/>
          <w:bCs/>
          <w:sz w:val="24"/>
        </w:rPr>
      </w:pPr>
      <w:r w:rsidRPr="005333CE">
        <w:rPr>
          <w:rFonts w:ascii="Times New Roman" w:hAnsi="Times New Roman" w:cs="Times New Roman"/>
          <w:b/>
          <w:bCs/>
          <w:sz w:val="24"/>
        </w:rPr>
        <w:t>2050 Vision for Biodiversity and Mission of the post-2020 global biodiversity framework</w:t>
      </w:r>
      <w:r w:rsidR="006D6565" w:rsidRPr="005333CE">
        <w:rPr>
          <w:rFonts w:ascii="Times New Roman" w:hAnsi="Times New Roman" w:cs="Times New Roman"/>
          <w:b/>
          <w:bCs/>
          <w:sz w:val="24"/>
        </w:rPr>
        <w:t xml:space="preserve"> </w:t>
      </w:r>
      <w:r w:rsidR="006D6565" w:rsidRPr="005333CE">
        <w:rPr>
          <w:rFonts w:ascii="Times New Roman" w:hAnsi="Times New Roman" w:cs="Times New Roman"/>
          <w:bCs/>
          <w:sz w:val="24"/>
        </w:rPr>
        <w:t>(Section C – Paragraph 13</w:t>
      </w:r>
      <w:r w:rsidR="002D5D34" w:rsidRPr="005333CE">
        <w:rPr>
          <w:rFonts w:ascii="Times New Roman" w:hAnsi="Times New Roman" w:cs="Times New Roman"/>
          <w:bCs/>
          <w:sz w:val="24"/>
        </w:rPr>
        <w:t xml:space="preserve"> and Section D – Paragraph 14</w:t>
      </w:r>
      <w:r w:rsidR="006D6565" w:rsidRPr="005333CE">
        <w:rPr>
          <w:rFonts w:ascii="Times New Roman" w:hAnsi="Times New Roman" w:cs="Times New Roman"/>
          <w:bCs/>
          <w:sz w:val="24"/>
        </w:rPr>
        <w:t>)</w:t>
      </w:r>
    </w:p>
    <w:p w14:paraId="1CD6D896" w14:textId="6DCE7D8E" w:rsidR="00593D2C" w:rsidRPr="005333CE" w:rsidRDefault="00593D2C" w:rsidP="00DD1D7E">
      <w:pPr>
        <w:jc w:val="both"/>
        <w:rPr>
          <w:rFonts w:ascii="Times New Roman" w:hAnsi="Times New Roman" w:cs="Times New Roman"/>
          <w:szCs w:val="24"/>
        </w:rPr>
      </w:pPr>
      <w:r w:rsidRPr="005333CE">
        <w:rPr>
          <w:rFonts w:ascii="Times New Roman" w:hAnsi="Times New Roman" w:cs="Times New Roman"/>
          <w:szCs w:val="24"/>
        </w:rPr>
        <w:t>The 2050 Vision for Biodiversity recognises that biodiversity delivers benefits essential for all people.</w:t>
      </w:r>
      <w:r w:rsidR="005B0BC5">
        <w:rPr>
          <w:rFonts w:ascii="Times New Roman" w:hAnsi="Times New Roman" w:cs="Times New Roman"/>
          <w:szCs w:val="24"/>
        </w:rPr>
        <w:t xml:space="preserve"> </w:t>
      </w:r>
      <w:r w:rsidR="00D76D21">
        <w:rPr>
          <w:rFonts w:ascii="Times New Roman" w:hAnsi="Times New Roman" w:cs="Times New Roman"/>
          <w:szCs w:val="24"/>
        </w:rPr>
        <w:t xml:space="preserve">Biodiversity provides a wide range of benefits including </w:t>
      </w:r>
      <w:r w:rsidR="005B0BC5" w:rsidRPr="005B0BC5">
        <w:rPr>
          <w:rFonts w:ascii="Times New Roman" w:hAnsi="Times New Roman" w:cs="Times New Roman"/>
          <w:szCs w:val="24"/>
        </w:rPr>
        <w:t xml:space="preserve">the provision of food, water, timber, and </w:t>
      </w:r>
      <w:r w:rsidR="00637261" w:rsidRPr="005B0BC5">
        <w:rPr>
          <w:rFonts w:ascii="Times New Roman" w:hAnsi="Times New Roman" w:cs="Times New Roman"/>
          <w:szCs w:val="24"/>
        </w:rPr>
        <w:t>fibre</w:t>
      </w:r>
      <w:r w:rsidR="005B0BC5" w:rsidRPr="005B0BC5">
        <w:rPr>
          <w:rFonts w:ascii="Times New Roman" w:hAnsi="Times New Roman" w:cs="Times New Roman"/>
          <w:szCs w:val="24"/>
        </w:rPr>
        <w:t xml:space="preserve">; climate adaptation, and cultural benefits. </w:t>
      </w:r>
      <w:r w:rsidR="00D76D21">
        <w:rPr>
          <w:rFonts w:ascii="Times New Roman" w:hAnsi="Times New Roman" w:cs="Times New Roman"/>
          <w:szCs w:val="24"/>
        </w:rPr>
        <w:t xml:space="preserve">Sustainable </w:t>
      </w:r>
      <w:r w:rsidR="00F139E8" w:rsidRPr="005333CE">
        <w:rPr>
          <w:rFonts w:ascii="Times New Roman" w:hAnsi="Times New Roman" w:cs="Times New Roman"/>
          <w:szCs w:val="24"/>
        </w:rPr>
        <w:t>agricultural production</w:t>
      </w:r>
      <w:r w:rsidR="00D76D21">
        <w:rPr>
          <w:rFonts w:ascii="Times New Roman" w:hAnsi="Times New Roman" w:cs="Times New Roman"/>
          <w:szCs w:val="24"/>
        </w:rPr>
        <w:t>, which depends on biodiversity,</w:t>
      </w:r>
      <w:r w:rsidR="00F139E8" w:rsidRPr="005333CE">
        <w:rPr>
          <w:rFonts w:ascii="Times New Roman" w:hAnsi="Times New Roman" w:cs="Times New Roman"/>
          <w:szCs w:val="24"/>
        </w:rPr>
        <w:t xml:space="preserve"> </w:t>
      </w:r>
      <w:r w:rsidR="005B0BC5">
        <w:rPr>
          <w:rFonts w:ascii="Times New Roman" w:hAnsi="Times New Roman" w:cs="Times New Roman"/>
          <w:szCs w:val="24"/>
        </w:rPr>
        <w:t xml:space="preserve">provides </w:t>
      </w:r>
      <w:r w:rsidR="00F139E8" w:rsidRPr="005333CE">
        <w:rPr>
          <w:rFonts w:ascii="Times New Roman" w:hAnsi="Times New Roman" w:cs="Times New Roman"/>
          <w:szCs w:val="24"/>
        </w:rPr>
        <w:t>food security and nutrition</w:t>
      </w:r>
      <w:r w:rsidR="002C364E" w:rsidRPr="005333CE">
        <w:rPr>
          <w:rFonts w:ascii="Times New Roman" w:hAnsi="Times New Roman" w:cs="Times New Roman"/>
          <w:szCs w:val="24"/>
        </w:rPr>
        <w:t>,</w:t>
      </w:r>
      <w:r w:rsidR="00F139E8" w:rsidRPr="005333CE">
        <w:rPr>
          <w:rFonts w:ascii="Times New Roman" w:hAnsi="Times New Roman" w:cs="Times New Roman"/>
          <w:szCs w:val="24"/>
        </w:rPr>
        <w:t xml:space="preserve"> </w:t>
      </w:r>
      <w:r w:rsidR="00870FC0" w:rsidRPr="005333CE">
        <w:rPr>
          <w:rFonts w:ascii="Times New Roman" w:hAnsi="Times New Roman" w:cs="Times New Roman"/>
          <w:szCs w:val="24"/>
        </w:rPr>
        <w:t xml:space="preserve">as well as </w:t>
      </w:r>
      <w:r w:rsidR="005333CE">
        <w:rPr>
          <w:rFonts w:ascii="Times New Roman" w:hAnsi="Times New Roman" w:cs="Times New Roman"/>
          <w:szCs w:val="24"/>
        </w:rPr>
        <w:t xml:space="preserve">sustainable livelihoods, </w:t>
      </w:r>
      <w:r w:rsidR="00F139E8" w:rsidRPr="005333CE">
        <w:rPr>
          <w:rFonts w:ascii="Times New Roman" w:hAnsi="Times New Roman" w:cs="Times New Roman"/>
          <w:szCs w:val="24"/>
        </w:rPr>
        <w:t>poverty eradication</w:t>
      </w:r>
      <w:r w:rsidR="005333CE">
        <w:rPr>
          <w:rFonts w:ascii="Times New Roman" w:hAnsi="Times New Roman" w:cs="Times New Roman"/>
          <w:szCs w:val="24"/>
        </w:rPr>
        <w:t xml:space="preserve"> and dietary diversity</w:t>
      </w:r>
      <w:r w:rsidR="00870FC0" w:rsidRPr="005333CE">
        <w:rPr>
          <w:rFonts w:ascii="Times New Roman" w:hAnsi="Times New Roman" w:cs="Times New Roman"/>
          <w:szCs w:val="24"/>
        </w:rPr>
        <w:t>,</w:t>
      </w:r>
      <w:r w:rsidR="00F139E8" w:rsidRPr="005333CE">
        <w:rPr>
          <w:rFonts w:ascii="Times New Roman" w:hAnsi="Times New Roman" w:cs="Times New Roman"/>
          <w:szCs w:val="24"/>
        </w:rPr>
        <w:t xml:space="preserve"> </w:t>
      </w:r>
      <w:r w:rsidR="005B0BC5">
        <w:rPr>
          <w:rFonts w:ascii="Times New Roman" w:hAnsi="Times New Roman" w:cs="Times New Roman"/>
          <w:szCs w:val="24"/>
        </w:rPr>
        <w:t xml:space="preserve">which </w:t>
      </w:r>
      <w:r w:rsidR="00F139E8" w:rsidRPr="005333CE">
        <w:rPr>
          <w:rFonts w:ascii="Times New Roman" w:hAnsi="Times New Roman" w:cs="Times New Roman"/>
          <w:szCs w:val="24"/>
        </w:rPr>
        <w:t xml:space="preserve">are central to </w:t>
      </w:r>
      <w:r w:rsidRPr="005333CE">
        <w:rPr>
          <w:rFonts w:ascii="Times New Roman" w:hAnsi="Times New Roman" w:cs="Times New Roman"/>
          <w:szCs w:val="24"/>
        </w:rPr>
        <w:t xml:space="preserve">human </w:t>
      </w:r>
      <w:r w:rsidR="00F139E8" w:rsidRPr="005333CE">
        <w:rPr>
          <w:rFonts w:ascii="Times New Roman" w:hAnsi="Times New Roman" w:cs="Times New Roman"/>
          <w:szCs w:val="24"/>
        </w:rPr>
        <w:t>well-being</w:t>
      </w:r>
      <w:r w:rsidRPr="005333CE">
        <w:rPr>
          <w:rFonts w:ascii="Times New Roman" w:hAnsi="Times New Roman" w:cs="Times New Roman"/>
          <w:szCs w:val="24"/>
        </w:rPr>
        <w:t xml:space="preserve"> and social order</w:t>
      </w:r>
      <w:r w:rsidR="00F139E8" w:rsidRPr="005333CE">
        <w:rPr>
          <w:rFonts w:ascii="Times New Roman" w:hAnsi="Times New Roman" w:cs="Times New Roman"/>
          <w:szCs w:val="24"/>
        </w:rPr>
        <w:t xml:space="preserve">. </w:t>
      </w:r>
    </w:p>
    <w:p w14:paraId="793FAA16" w14:textId="23AF7179" w:rsidR="0026592B" w:rsidRPr="005333CE" w:rsidRDefault="002C364E" w:rsidP="0026592B">
      <w:pPr>
        <w:jc w:val="both"/>
        <w:rPr>
          <w:rFonts w:ascii="Times New Roman" w:hAnsi="Times New Roman" w:cs="Times New Roman"/>
          <w:szCs w:val="24"/>
        </w:rPr>
      </w:pPr>
      <w:r w:rsidRPr="005333CE">
        <w:rPr>
          <w:rFonts w:ascii="Times New Roman" w:hAnsi="Times New Roman" w:cs="Times New Roman"/>
          <w:szCs w:val="24"/>
        </w:rPr>
        <w:t xml:space="preserve">It is therefore proposed that </w:t>
      </w:r>
      <w:r w:rsidR="00593D2C" w:rsidRPr="005333CE">
        <w:rPr>
          <w:rFonts w:ascii="Times New Roman" w:hAnsi="Times New Roman" w:cs="Times New Roman"/>
          <w:szCs w:val="24"/>
        </w:rPr>
        <w:t xml:space="preserve">the recognition of the direct </w:t>
      </w:r>
      <w:r w:rsidR="00590219">
        <w:rPr>
          <w:rFonts w:ascii="Times New Roman" w:hAnsi="Times New Roman" w:cs="Times New Roman"/>
          <w:szCs w:val="24"/>
        </w:rPr>
        <w:t xml:space="preserve">and indirect </w:t>
      </w:r>
      <w:r w:rsidR="00593D2C" w:rsidRPr="005333CE">
        <w:rPr>
          <w:rFonts w:ascii="Times New Roman" w:hAnsi="Times New Roman" w:cs="Times New Roman"/>
          <w:szCs w:val="24"/>
        </w:rPr>
        <w:t xml:space="preserve">contribution of biodiversity </w:t>
      </w:r>
      <w:r w:rsidR="005333CE">
        <w:rPr>
          <w:rFonts w:ascii="Times New Roman" w:hAnsi="Times New Roman" w:cs="Times New Roman"/>
          <w:szCs w:val="24"/>
        </w:rPr>
        <w:t xml:space="preserve">mainstreaming </w:t>
      </w:r>
      <w:r w:rsidR="00593D2C" w:rsidRPr="005333CE">
        <w:rPr>
          <w:rFonts w:ascii="Times New Roman" w:hAnsi="Times New Roman" w:cs="Times New Roman"/>
          <w:szCs w:val="24"/>
        </w:rPr>
        <w:t xml:space="preserve">to </w:t>
      </w:r>
      <w:r w:rsidR="0026592B" w:rsidRPr="005333CE">
        <w:rPr>
          <w:rFonts w:ascii="Times New Roman" w:hAnsi="Times New Roman" w:cs="Times New Roman"/>
          <w:szCs w:val="24"/>
        </w:rPr>
        <w:t>food security and nutrition</w:t>
      </w:r>
      <w:r w:rsidR="00870FC0" w:rsidRPr="005333CE">
        <w:rPr>
          <w:rFonts w:ascii="Times New Roman" w:hAnsi="Times New Roman" w:cs="Times New Roman"/>
          <w:szCs w:val="24"/>
        </w:rPr>
        <w:t xml:space="preserve">, sustainable livelihoods and poverty eradication be </w:t>
      </w:r>
      <w:r w:rsidR="00593D2C" w:rsidRPr="005333CE">
        <w:rPr>
          <w:rFonts w:ascii="Times New Roman" w:hAnsi="Times New Roman" w:cs="Times New Roman"/>
          <w:szCs w:val="24"/>
        </w:rPr>
        <w:t>highlighted in the post-2020 global biodiversity framework</w:t>
      </w:r>
      <w:r w:rsidR="00870FC0" w:rsidRPr="005333CE">
        <w:rPr>
          <w:rFonts w:ascii="Times New Roman" w:hAnsi="Times New Roman" w:cs="Times New Roman"/>
          <w:szCs w:val="24"/>
        </w:rPr>
        <w:t xml:space="preserve">. This would support </w:t>
      </w:r>
      <w:r w:rsidR="00593D2C" w:rsidRPr="005333CE">
        <w:rPr>
          <w:rFonts w:ascii="Times New Roman" w:hAnsi="Times New Roman" w:cs="Times New Roman"/>
          <w:szCs w:val="24"/>
        </w:rPr>
        <w:t>build</w:t>
      </w:r>
      <w:r w:rsidR="00870FC0" w:rsidRPr="005333CE">
        <w:rPr>
          <w:rFonts w:ascii="Times New Roman" w:hAnsi="Times New Roman" w:cs="Times New Roman"/>
          <w:szCs w:val="24"/>
        </w:rPr>
        <w:t>ing</w:t>
      </w:r>
      <w:r w:rsidR="00593D2C" w:rsidRPr="005333CE">
        <w:rPr>
          <w:rFonts w:ascii="Times New Roman" w:hAnsi="Times New Roman" w:cs="Times New Roman"/>
          <w:szCs w:val="24"/>
        </w:rPr>
        <w:t xml:space="preserve"> a bridge between the agricultural</w:t>
      </w:r>
      <w:r w:rsidR="005B0BC5">
        <w:rPr>
          <w:rFonts w:ascii="Times New Roman" w:hAnsi="Times New Roman" w:cs="Times New Roman"/>
          <w:szCs w:val="24"/>
        </w:rPr>
        <w:t xml:space="preserve"> (including crop, livestock, fisheries and forestry)</w:t>
      </w:r>
      <w:r w:rsidR="00593D2C" w:rsidRPr="005333CE">
        <w:rPr>
          <w:rFonts w:ascii="Times New Roman" w:hAnsi="Times New Roman" w:cs="Times New Roman"/>
          <w:szCs w:val="24"/>
        </w:rPr>
        <w:t xml:space="preserve"> and environmental sectors</w:t>
      </w:r>
      <w:r w:rsidR="00D76D21">
        <w:rPr>
          <w:rFonts w:ascii="Times New Roman" w:hAnsi="Times New Roman" w:cs="Times New Roman"/>
          <w:szCs w:val="24"/>
        </w:rPr>
        <w:t>, which is necessary to support the essential task of mainstreaming biodiversity across the agricultural sectors</w:t>
      </w:r>
      <w:r w:rsidR="00593D2C" w:rsidRPr="005333CE">
        <w:rPr>
          <w:rFonts w:ascii="Times New Roman" w:hAnsi="Times New Roman" w:cs="Times New Roman"/>
          <w:szCs w:val="24"/>
        </w:rPr>
        <w:t xml:space="preserve">. </w:t>
      </w:r>
      <w:r w:rsidR="00870FC0" w:rsidRPr="005333CE">
        <w:rPr>
          <w:rFonts w:ascii="Times New Roman" w:hAnsi="Times New Roman" w:cs="Times New Roman"/>
          <w:szCs w:val="24"/>
        </w:rPr>
        <w:t xml:space="preserve">Contributing to </w:t>
      </w:r>
      <w:r w:rsidR="0026592B" w:rsidRPr="005333CE">
        <w:rPr>
          <w:rFonts w:ascii="Times New Roman" w:hAnsi="Times New Roman" w:cs="Times New Roman"/>
          <w:szCs w:val="24"/>
        </w:rPr>
        <w:t>food security and nutrition</w:t>
      </w:r>
      <w:r w:rsidR="00655FC6" w:rsidRPr="005333CE">
        <w:rPr>
          <w:rFonts w:ascii="Times New Roman" w:hAnsi="Times New Roman" w:cs="Times New Roman"/>
          <w:szCs w:val="24"/>
        </w:rPr>
        <w:t xml:space="preserve"> </w:t>
      </w:r>
      <w:r w:rsidR="00870FC0" w:rsidRPr="005333CE">
        <w:rPr>
          <w:rFonts w:ascii="Times New Roman" w:hAnsi="Times New Roman" w:cs="Times New Roman"/>
          <w:szCs w:val="24"/>
        </w:rPr>
        <w:t xml:space="preserve">should </w:t>
      </w:r>
      <w:r w:rsidR="00655FC6" w:rsidRPr="005333CE">
        <w:rPr>
          <w:rFonts w:ascii="Times New Roman" w:hAnsi="Times New Roman" w:cs="Times New Roman"/>
          <w:szCs w:val="24"/>
        </w:rPr>
        <w:t xml:space="preserve">therefore be </w:t>
      </w:r>
      <w:r w:rsidR="00311EA9" w:rsidRPr="005333CE">
        <w:rPr>
          <w:rFonts w:ascii="Times New Roman" w:hAnsi="Times New Roman" w:cs="Times New Roman"/>
          <w:szCs w:val="24"/>
        </w:rPr>
        <w:t xml:space="preserve">included in the </w:t>
      </w:r>
      <w:r w:rsidR="00655FC6" w:rsidRPr="005333CE">
        <w:rPr>
          <w:rFonts w:ascii="Times New Roman" w:hAnsi="Times New Roman" w:cs="Times New Roman"/>
          <w:szCs w:val="24"/>
        </w:rPr>
        <w:t>Mission</w:t>
      </w:r>
      <w:r w:rsidR="00311EA9" w:rsidRPr="005333CE">
        <w:rPr>
          <w:rFonts w:ascii="Times New Roman" w:hAnsi="Times New Roman" w:cs="Times New Roman"/>
          <w:szCs w:val="24"/>
        </w:rPr>
        <w:t xml:space="preserve"> of the post-2020 global biodiversity framework</w:t>
      </w:r>
      <w:r w:rsidR="00655FC6" w:rsidRPr="005333CE">
        <w:rPr>
          <w:rFonts w:ascii="Times New Roman" w:hAnsi="Times New Roman" w:cs="Times New Roman"/>
          <w:szCs w:val="24"/>
        </w:rPr>
        <w:t xml:space="preserve">. </w:t>
      </w:r>
    </w:p>
    <w:p w14:paraId="1A6D05A8" w14:textId="77777777" w:rsidR="005D1E62" w:rsidRPr="005333CE" w:rsidRDefault="005D1E62" w:rsidP="00022F7F">
      <w:pPr>
        <w:spacing w:before="240"/>
        <w:rPr>
          <w:rFonts w:ascii="Times New Roman" w:hAnsi="Times New Roman" w:cs="Times New Roman"/>
          <w:b/>
          <w:bCs/>
          <w:sz w:val="24"/>
        </w:rPr>
      </w:pPr>
      <w:r w:rsidRPr="005333CE">
        <w:rPr>
          <w:rFonts w:ascii="Times New Roman" w:hAnsi="Times New Roman" w:cs="Times New Roman"/>
          <w:b/>
          <w:bCs/>
          <w:sz w:val="24"/>
        </w:rPr>
        <w:t xml:space="preserve">Biodiversity </w:t>
      </w:r>
      <w:r w:rsidR="00877051" w:rsidRPr="005333CE">
        <w:rPr>
          <w:rFonts w:ascii="Times New Roman" w:hAnsi="Times New Roman" w:cs="Times New Roman"/>
          <w:b/>
          <w:bCs/>
          <w:sz w:val="24"/>
        </w:rPr>
        <w:t xml:space="preserve">Targets </w:t>
      </w:r>
      <w:r w:rsidR="006D6565" w:rsidRPr="005333CE">
        <w:rPr>
          <w:rFonts w:ascii="Times New Roman" w:hAnsi="Times New Roman" w:cs="Times New Roman"/>
          <w:bCs/>
          <w:sz w:val="24"/>
        </w:rPr>
        <w:t>(Section E – Paragraph 15)</w:t>
      </w:r>
    </w:p>
    <w:p w14:paraId="637EB4A7" w14:textId="4F3D811E" w:rsidR="0017728B" w:rsidRDefault="00476A21" w:rsidP="00AC23E0">
      <w:pPr>
        <w:jc w:val="both"/>
        <w:rPr>
          <w:rFonts w:ascii="Times New Roman" w:hAnsi="Times New Roman" w:cs="Times New Roman"/>
          <w:szCs w:val="24"/>
        </w:rPr>
      </w:pPr>
      <w:r>
        <w:rPr>
          <w:rFonts w:ascii="Times New Roman" w:hAnsi="Times New Roman" w:cs="Times New Roman"/>
          <w:szCs w:val="24"/>
        </w:rPr>
        <w:t xml:space="preserve">Biodiversity targets should be fully aligned with the 2030 Agenda for Sustainable Development. </w:t>
      </w:r>
      <w:r w:rsidR="00637261">
        <w:rPr>
          <w:rFonts w:ascii="Times New Roman" w:hAnsi="Times New Roman" w:cs="Times New Roman"/>
          <w:szCs w:val="24"/>
        </w:rPr>
        <w:t xml:space="preserve">The SDGs offer the main framework to guide national development processes and the international community should </w:t>
      </w:r>
      <w:r w:rsidR="00085185">
        <w:rPr>
          <w:rFonts w:ascii="Times New Roman" w:hAnsi="Times New Roman" w:cs="Times New Roman"/>
          <w:szCs w:val="24"/>
        </w:rPr>
        <w:t xml:space="preserve">promote a </w:t>
      </w:r>
      <w:r w:rsidR="00637261">
        <w:rPr>
          <w:rFonts w:ascii="Times New Roman" w:hAnsi="Times New Roman" w:cs="Times New Roman"/>
          <w:szCs w:val="24"/>
        </w:rPr>
        <w:t xml:space="preserve">coherent approach. FAO proposes to start with an assessment of existing biodiversity-related SDG targets and indicators. </w:t>
      </w:r>
      <w:r w:rsidR="00085185">
        <w:rPr>
          <w:rFonts w:ascii="Times New Roman" w:hAnsi="Times New Roman" w:cs="Times New Roman"/>
          <w:szCs w:val="24"/>
        </w:rPr>
        <w:t>Based on such an assessment, t</w:t>
      </w:r>
      <w:r w:rsidR="00637261">
        <w:rPr>
          <w:rFonts w:ascii="Times New Roman" w:hAnsi="Times New Roman" w:cs="Times New Roman"/>
          <w:szCs w:val="24"/>
        </w:rPr>
        <w:t>he post-2020 global biodiversity framework should aim to strategically fill in the most e</w:t>
      </w:r>
      <w:r w:rsidR="00085185">
        <w:rPr>
          <w:rFonts w:ascii="Times New Roman" w:hAnsi="Times New Roman" w:cs="Times New Roman"/>
          <w:szCs w:val="24"/>
        </w:rPr>
        <w:t>ssential gaps by proposing</w:t>
      </w:r>
      <w:r w:rsidR="00637261">
        <w:rPr>
          <w:rFonts w:ascii="Times New Roman" w:hAnsi="Times New Roman" w:cs="Times New Roman"/>
          <w:szCs w:val="24"/>
        </w:rPr>
        <w:t xml:space="preserve"> a limited number of targets and indicators (possibly drawing from the Aichi Biodiversity Targets)</w:t>
      </w:r>
      <w:r w:rsidR="00085185">
        <w:rPr>
          <w:rFonts w:ascii="Times New Roman" w:hAnsi="Times New Roman" w:cs="Times New Roman"/>
          <w:szCs w:val="24"/>
        </w:rPr>
        <w:t xml:space="preserve"> to complement the SDGs</w:t>
      </w:r>
      <w:r w:rsidR="00637261">
        <w:rPr>
          <w:rFonts w:ascii="Times New Roman" w:hAnsi="Times New Roman" w:cs="Times New Roman"/>
          <w:szCs w:val="24"/>
        </w:rPr>
        <w:t xml:space="preserve">. </w:t>
      </w:r>
      <w:r w:rsidR="00085185">
        <w:rPr>
          <w:rFonts w:ascii="Times New Roman" w:hAnsi="Times New Roman" w:cs="Times New Roman"/>
          <w:szCs w:val="24"/>
          <w:shd w:val="clear" w:color="auto" w:fill="FFFFFF"/>
        </w:rPr>
        <w:t>T</w:t>
      </w:r>
      <w:r w:rsidR="00085185" w:rsidRPr="005333CE">
        <w:rPr>
          <w:rFonts w:ascii="Times New Roman" w:hAnsi="Times New Roman" w:cs="Times New Roman"/>
          <w:szCs w:val="24"/>
          <w:shd w:val="clear" w:color="auto" w:fill="FFFFFF"/>
        </w:rPr>
        <w:t xml:space="preserve">he proposed overarching goals of the </w:t>
      </w:r>
      <w:r w:rsidR="00085185" w:rsidRPr="00471A90">
        <w:rPr>
          <w:rFonts w:ascii="Times New Roman" w:hAnsi="Times New Roman" w:cs="Times New Roman"/>
          <w:i/>
          <w:szCs w:val="24"/>
          <w:shd w:val="clear" w:color="auto" w:fill="FFFFFF"/>
        </w:rPr>
        <w:t xml:space="preserve">FAO </w:t>
      </w:r>
      <w:r w:rsidR="00085185" w:rsidRPr="00471A90">
        <w:rPr>
          <w:rFonts w:ascii="Times New Roman" w:hAnsi="Times New Roman" w:cs="Times New Roman"/>
          <w:i/>
          <w:szCs w:val="24"/>
        </w:rPr>
        <w:t>Strategy on Biodiversity Mainstreaming across Agricultural Sectors</w:t>
      </w:r>
      <w:r w:rsidR="00085185" w:rsidRPr="005333CE">
        <w:rPr>
          <w:rFonts w:ascii="Times New Roman" w:hAnsi="Times New Roman" w:cs="Times New Roman"/>
          <w:szCs w:val="24"/>
        </w:rPr>
        <w:t xml:space="preserve"> (which </w:t>
      </w:r>
      <w:r w:rsidR="00085185">
        <w:rPr>
          <w:rFonts w:ascii="Times New Roman" w:hAnsi="Times New Roman" w:cs="Times New Roman"/>
          <w:szCs w:val="24"/>
        </w:rPr>
        <w:t xml:space="preserve">will be presented to the </w:t>
      </w:r>
      <w:r w:rsidR="00085185" w:rsidRPr="005333CE">
        <w:rPr>
          <w:rFonts w:ascii="Times New Roman" w:hAnsi="Times New Roman" w:cs="Times New Roman"/>
          <w:szCs w:val="24"/>
        </w:rPr>
        <w:t xml:space="preserve">FAO Council </w:t>
      </w:r>
      <w:r w:rsidR="00085185">
        <w:rPr>
          <w:rFonts w:ascii="Times New Roman" w:hAnsi="Times New Roman" w:cs="Times New Roman"/>
          <w:szCs w:val="24"/>
        </w:rPr>
        <w:t xml:space="preserve">for endorsement </w:t>
      </w:r>
      <w:r w:rsidR="00085185" w:rsidRPr="005333CE">
        <w:rPr>
          <w:rFonts w:ascii="Times New Roman" w:hAnsi="Times New Roman" w:cs="Times New Roman"/>
          <w:szCs w:val="24"/>
        </w:rPr>
        <w:t>in December 2019)</w:t>
      </w:r>
      <w:r w:rsidR="00085185">
        <w:rPr>
          <w:rFonts w:ascii="Times New Roman" w:hAnsi="Times New Roman" w:cs="Times New Roman"/>
          <w:szCs w:val="24"/>
        </w:rPr>
        <w:t xml:space="preserve"> may be relevant for this exercise</w:t>
      </w:r>
      <w:r w:rsidR="00085185" w:rsidRPr="005333CE">
        <w:rPr>
          <w:rFonts w:ascii="Times New Roman" w:hAnsi="Times New Roman" w:cs="Times New Roman"/>
          <w:szCs w:val="24"/>
        </w:rPr>
        <w:t>.</w:t>
      </w:r>
    </w:p>
    <w:p w14:paraId="555D846D" w14:textId="070BB6BA" w:rsidR="009D46CB" w:rsidRPr="005333CE" w:rsidRDefault="00085185" w:rsidP="00AC23E0">
      <w:pPr>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T</w:t>
      </w:r>
      <w:r w:rsidRPr="005333CE">
        <w:rPr>
          <w:rFonts w:ascii="Times New Roman" w:hAnsi="Times New Roman" w:cs="Times New Roman"/>
          <w:szCs w:val="24"/>
          <w:shd w:val="clear" w:color="auto" w:fill="FFFFFF"/>
        </w:rPr>
        <w:t>o facilitate communication with stakeholders from the agricultural sectors</w:t>
      </w:r>
      <w:r>
        <w:rPr>
          <w:rFonts w:ascii="Times New Roman" w:hAnsi="Times New Roman" w:cs="Times New Roman"/>
          <w:szCs w:val="24"/>
          <w:shd w:val="clear" w:color="auto" w:fill="FFFFFF"/>
        </w:rPr>
        <w:t>, it</w:t>
      </w:r>
      <w:r w:rsidR="005B6D4B" w:rsidRPr="005333CE">
        <w:rPr>
          <w:rFonts w:ascii="Times New Roman" w:hAnsi="Times New Roman" w:cs="Times New Roman"/>
          <w:szCs w:val="24"/>
          <w:shd w:val="clear" w:color="auto" w:fill="FFFFFF"/>
        </w:rPr>
        <w:t xml:space="preserve"> </w:t>
      </w:r>
      <w:r w:rsidR="00CF4C5F">
        <w:rPr>
          <w:rFonts w:ascii="Times New Roman" w:hAnsi="Times New Roman" w:cs="Times New Roman"/>
          <w:szCs w:val="24"/>
          <w:shd w:val="clear" w:color="auto" w:fill="FFFFFF"/>
        </w:rPr>
        <w:t xml:space="preserve">may </w:t>
      </w:r>
      <w:r w:rsidR="005B6D4B" w:rsidRPr="005333CE">
        <w:rPr>
          <w:rFonts w:ascii="Times New Roman" w:hAnsi="Times New Roman" w:cs="Times New Roman"/>
          <w:szCs w:val="24"/>
          <w:shd w:val="clear" w:color="auto" w:fill="FFFFFF"/>
        </w:rPr>
        <w:t xml:space="preserve">be useful to group all targets related to the agricultural sectors together to highlight their importance. </w:t>
      </w:r>
    </w:p>
    <w:p w14:paraId="7FAE39D6" w14:textId="77777777" w:rsidR="005B6D4B" w:rsidRPr="005333CE" w:rsidRDefault="005B6D4B" w:rsidP="00022F7F">
      <w:pPr>
        <w:spacing w:before="240"/>
        <w:rPr>
          <w:rFonts w:ascii="Times New Roman" w:hAnsi="Times New Roman" w:cs="Times New Roman"/>
          <w:b/>
          <w:bCs/>
          <w:sz w:val="24"/>
        </w:rPr>
      </w:pPr>
      <w:r w:rsidRPr="005333CE">
        <w:rPr>
          <w:rFonts w:ascii="Times New Roman" w:hAnsi="Times New Roman" w:cs="Times New Roman"/>
          <w:b/>
          <w:bCs/>
          <w:sz w:val="24"/>
        </w:rPr>
        <w:t>Relationship between the post-2020 global biodiversity framework and other relevant processes</w:t>
      </w:r>
      <w:r w:rsidR="006D6565" w:rsidRPr="005333CE">
        <w:rPr>
          <w:rFonts w:ascii="Times New Roman" w:hAnsi="Times New Roman" w:cs="Times New Roman"/>
          <w:b/>
          <w:bCs/>
          <w:sz w:val="24"/>
        </w:rPr>
        <w:t xml:space="preserve"> </w:t>
      </w:r>
      <w:r w:rsidR="006D6565" w:rsidRPr="005333CE">
        <w:rPr>
          <w:rFonts w:ascii="Times New Roman" w:hAnsi="Times New Roman" w:cs="Times New Roman"/>
          <w:bCs/>
          <w:sz w:val="24"/>
        </w:rPr>
        <w:t>(Section G – Paragraph 17)</w:t>
      </w:r>
    </w:p>
    <w:p w14:paraId="7F608CDE" w14:textId="751D5421" w:rsidR="003E77A6" w:rsidRDefault="009E2646" w:rsidP="00476A21">
      <w:pPr>
        <w:jc w:val="both"/>
        <w:rPr>
          <w:rFonts w:ascii="Times New Roman" w:hAnsi="Times New Roman" w:cs="Times New Roman"/>
          <w:szCs w:val="24"/>
        </w:rPr>
      </w:pPr>
      <w:r>
        <w:rPr>
          <w:rFonts w:ascii="Times New Roman" w:hAnsi="Times New Roman" w:cs="Times New Roman"/>
          <w:szCs w:val="24"/>
        </w:rPr>
        <w:t>According to FAO, s</w:t>
      </w:r>
      <w:r w:rsidR="003E77A6" w:rsidRPr="009E2646">
        <w:rPr>
          <w:rFonts w:ascii="Times New Roman" w:hAnsi="Times New Roman" w:cs="Times New Roman"/>
          <w:szCs w:val="24"/>
        </w:rPr>
        <w:t>ustainable food and agriculture requires responsible and effective governance mechanism</w:t>
      </w:r>
      <w:r>
        <w:rPr>
          <w:rFonts w:ascii="Times New Roman" w:hAnsi="Times New Roman" w:cs="Times New Roman"/>
          <w:szCs w:val="24"/>
        </w:rPr>
        <w:t>s</w:t>
      </w:r>
      <w:r w:rsidRPr="009E2646">
        <w:rPr>
          <w:rFonts w:ascii="Times New Roman" w:hAnsi="Times New Roman" w:cs="Times New Roman"/>
          <w:szCs w:val="24"/>
        </w:rPr>
        <w:t>.</w:t>
      </w:r>
      <w:r w:rsidRPr="009E2646">
        <w:rPr>
          <w:rFonts w:ascii="Times New Roman" w:hAnsi="Times New Roman" w:cs="Times New Roman"/>
          <w:szCs w:val="24"/>
          <w:vertAlign w:val="superscript"/>
        </w:rPr>
        <w:footnoteReference w:id="7"/>
      </w:r>
      <w:r>
        <w:rPr>
          <w:rFonts w:ascii="Times New Roman" w:hAnsi="Times New Roman" w:cs="Times New Roman"/>
          <w:szCs w:val="24"/>
        </w:rPr>
        <w:t xml:space="preserve"> </w:t>
      </w:r>
      <w:r w:rsidR="001A3763">
        <w:rPr>
          <w:rFonts w:ascii="Times New Roman" w:hAnsi="Times New Roman" w:cs="Times New Roman"/>
          <w:szCs w:val="24"/>
        </w:rPr>
        <w:t xml:space="preserve">This </w:t>
      </w:r>
      <w:r w:rsidRPr="009E2646">
        <w:rPr>
          <w:rFonts w:ascii="Times New Roman" w:hAnsi="Times New Roman" w:cs="Times New Roman"/>
          <w:szCs w:val="24"/>
        </w:rPr>
        <w:t>requires enabling policy, legal and institutional environments that strike the right balance between private and public sector initiatives, and ensure accountability, equity, transparency and the rule of law.</w:t>
      </w:r>
      <w:r>
        <w:rPr>
          <w:rFonts w:ascii="Times New Roman" w:hAnsi="Times New Roman" w:cs="Times New Roman"/>
          <w:szCs w:val="24"/>
        </w:rPr>
        <w:t xml:space="preserve"> </w:t>
      </w:r>
    </w:p>
    <w:p w14:paraId="59EDCAB1" w14:textId="5EB304A7" w:rsidR="00476A21" w:rsidRPr="005333CE" w:rsidRDefault="00476A21" w:rsidP="00476A21">
      <w:pPr>
        <w:jc w:val="both"/>
        <w:rPr>
          <w:rFonts w:ascii="Times New Roman" w:hAnsi="Times New Roman" w:cs="Times New Roman"/>
          <w:szCs w:val="24"/>
        </w:rPr>
      </w:pPr>
      <w:r w:rsidRPr="005333CE">
        <w:rPr>
          <w:rFonts w:ascii="Times New Roman" w:hAnsi="Times New Roman" w:cs="Times New Roman"/>
          <w:szCs w:val="24"/>
        </w:rPr>
        <w:t xml:space="preserve">FAO plays an important role in </w:t>
      </w:r>
      <w:r w:rsidR="001A3763">
        <w:rPr>
          <w:rFonts w:ascii="Times New Roman" w:hAnsi="Times New Roman" w:cs="Times New Roman"/>
          <w:szCs w:val="24"/>
        </w:rPr>
        <w:t xml:space="preserve">facilitating </w:t>
      </w:r>
      <w:r>
        <w:rPr>
          <w:rFonts w:ascii="Times New Roman" w:hAnsi="Times New Roman" w:cs="Times New Roman"/>
          <w:szCs w:val="24"/>
        </w:rPr>
        <w:t>dialogue on, and</w:t>
      </w:r>
      <w:r w:rsidRPr="005333CE">
        <w:rPr>
          <w:rFonts w:ascii="Times New Roman" w:hAnsi="Times New Roman" w:cs="Times New Roman"/>
          <w:szCs w:val="24"/>
        </w:rPr>
        <w:t xml:space="preserve"> governance of</w:t>
      </w:r>
      <w:r>
        <w:rPr>
          <w:rFonts w:ascii="Times New Roman" w:hAnsi="Times New Roman" w:cs="Times New Roman"/>
          <w:szCs w:val="24"/>
        </w:rPr>
        <w:t>,</w:t>
      </w:r>
      <w:r w:rsidRPr="005333CE">
        <w:rPr>
          <w:rFonts w:ascii="Times New Roman" w:hAnsi="Times New Roman" w:cs="Times New Roman"/>
          <w:szCs w:val="24"/>
        </w:rPr>
        <w:t xml:space="preserve"> biodiversity for food and agricul</w:t>
      </w:r>
      <w:r>
        <w:rPr>
          <w:rFonts w:ascii="Times New Roman" w:hAnsi="Times New Roman" w:cs="Times New Roman"/>
          <w:szCs w:val="24"/>
        </w:rPr>
        <w:t xml:space="preserve">ture. </w:t>
      </w:r>
      <w:r w:rsidR="00070B85">
        <w:rPr>
          <w:rFonts w:ascii="Times New Roman" w:hAnsi="Times New Roman" w:cs="Times New Roman"/>
          <w:szCs w:val="24"/>
        </w:rPr>
        <w:t xml:space="preserve">Acting as </w:t>
      </w:r>
      <w:r w:rsidRPr="005333CE">
        <w:rPr>
          <w:rFonts w:ascii="Times New Roman" w:hAnsi="Times New Roman" w:cs="Times New Roman"/>
          <w:szCs w:val="24"/>
        </w:rPr>
        <w:t>Biodiversity Mainstreaming Platform</w:t>
      </w:r>
      <w:r w:rsidR="009E2646">
        <w:rPr>
          <w:rFonts w:ascii="Times New Roman" w:hAnsi="Times New Roman" w:cs="Times New Roman"/>
          <w:szCs w:val="24"/>
        </w:rPr>
        <w:t>, FAO</w:t>
      </w:r>
      <w:r w:rsidR="00070B85">
        <w:rPr>
          <w:rFonts w:ascii="Times New Roman" w:hAnsi="Times New Roman" w:cs="Times New Roman"/>
          <w:szCs w:val="24"/>
        </w:rPr>
        <w:t xml:space="preserve"> is ready to</w:t>
      </w:r>
      <w:r w:rsidRPr="005333CE">
        <w:rPr>
          <w:rFonts w:ascii="Times New Roman" w:hAnsi="Times New Roman" w:cs="Times New Roman"/>
          <w:szCs w:val="24"/>
        </w:rPr>
        <w:t xml:space="preserve"> facilitate dialogue, common understanding and the exchange of information between governments and other stakeholders and foster ownership and commitment for mainstreaming biodiversity</w:t>
      </w:r>
      <w:r>
        <w:rPr>
          <w:rFonts w:ascii="Times New Roman" w:hAnsi="Times New Roman" w:cs="Times New Roman"/>
          <w:szCs w:val="24"/>
        </w:rPr>
        <w:t xml:space="preserve"> across the agricultural sectors</w:t>
      </w:r>
      <w:r w:rsidRPr="005333CE">
        <w:rPr>
          <w:rFonts w:ascii="Times New Roman" w:hAnsi="Times New Roman" w:cs="Times New Roman"/>
          <w:szCs w:val="24"/>
        </w:rPr>
        <w:t>.</w:t>
      </w:r>
    </w:p>
    <w:p w14:paraId="1285BD33" w14:textId="66ABF0F8" w:rsidR="00F260B7" w:rsidRDefault="0046193B" w:rsidP="0046193B">
      <w:pPr>
        <w:jc w:val="both"/>
        <w:rPr>
          <w:rFonts w:ascii="Times New Roman" w:hAnsi="Times New Roman" w:cs="Times New Roman"/>
          <w:szCs w:val="24"/>
        </w:rPr>
      </w:pPr>
      <w:r>
        <w:rPr>
          <w:rFonts w:ascii="Times New Roman" w:hAnsi="Times New Roman" w:cs="Times New Roman"/>
          <w:szCs w:val="24"/>
        </w:rPr>
        <w:t xml:space="preserve">Various </w:t>
      </w:r>
      <w:r w:rsidRPr="005333CE">
        <w:rPr>
          <w:rFonts w:ascii="Times New Roman" w:hAnsi="Times New Roman" w:cs="Times New Roman"/>
          <w:szCs w:val="24"/>
        </w:rPr>
        <w:t xml:space="preserve">FAO bodies have a </w:t>
      </w:r>
      <w:r>
        <w:rPr>
          <w:rFonts w:ascii="Times New Roman" w:hAnsi="Times New Roman" w:cs="Times New Roman"/>
          <w:szCs w:val="24"/>
        </w:rPr>
        <w:t>specific</w:t>
      </w:r>
      <w:r w:rsidRPr="005333CE">
        <w:rPr>
          <w:rFonts w:ascii="Times New Roman" w:hAnsi="Times New Roman" w:cs="Times New Roman"/>
          <w:szCs w:val="24"/>
        </w:rPr>
        <w:t xml:space="preserve"> role in the governance of biodiversity for food and agriculture, and should be </w:t>
      </w:r>
      <w:r>
        <w:rPr>
          <w:rFonts w:ascii="Times New Roman" w:hAnsi="Times New Roman" w:cs="Times New Roman"/>
          <w:szCs w:val="24"/>
        </w:rPr>
        <w:t xml:space="preserve">considered </w:t>
      </w:r>
      <w:r w:rsidRPr="005333CE">
        <w:rPr>
          <w:rFonts w:ascii="Times New Roman" w:hAnsi="Times New Roman" w:cs="Times New Roman"/>
          <w:szCs w:val="24"/>
        </w:rPr>
        <w:t>as processes that are relevant to the post-2020 global biodiversity framework</w:t>
      </w:r>
      <w:r>
        <w:rPr>
          <w:rFonts w:ascii="Times New Roman" w:hAnsi="Times New Roman" w:cs="Times New Roman"/>
          <w:szCs w:val="24"/>
        </w:rPr>
        <w:t xml:space="preserve">. These include the </w:t>
      </w:r>
      <w:r w:rsidRPr="005333CE">
        <w:rPr>
          <w:rFonts w:ascii="Times New Roman" w:hAnsi="Times New Roman" w:cs="Times New Roman"/>
          <w:szCs w:val="24"/>
        </w:rPr>
        <w:t>Commission on Genetic Resources for Food and Agriculture</w:t>
      </w:r>
      <w:r>
        <w:rPr>
          <w:rFonts w:ascii="Times New Roman" w:hAnsi="Times New Roman" w:cs="Times New Roman"/>
          <w:szCs w:val="24"/>
        </w:rPr>
        <w:t xml:space="preserve">, the </w:t>
      </w:r>
      <w:r w:rsidRPr="005333CE">
        <w:rPr>
          <w:rFonts w:ascii="Times New Roman" w:hAnsi="Times New Roman" w:cs="Times New Roman"/>
          <w:szCs w:val="24"/>
        </w:rPr>
        <w:t>International Treaty on Plant Genetic Resources for Food and Agriculture</w:t>
      </w:r>
      <w:r>
        <w:rPr>
          <w:rFonts w:ascii="Times New Roman" w:hAnsi="Times New Roman" w:cs="Times New Roman"/>
          <w:szCs w:val="24"/>
        </w:rPr>
        <w:t xml:space="preserve">, and the </w:t>
      </w:r>
      <w:r w:rsidRPr="005333CE">
        <w:rPr>
          <w:rFonts w:ascii="Times New Roman" w:hAnsi="Times New Roman" w:cs="Times New Roman"/>
          <w:szCs w:val="24"/>
        </w:rPr>
        <w:t>International Plant Protection Convention</w:t>
      </w:r>
      <w:r>
        <w:rPr>
          <w:rFonts w:ascii="Times New Roman" w:hAnsi="Times New Roman" w:cs="Times New Roman"/>
          <w:szCs w:val="24"/>
        </w:rPr>
        <w:t>.</w:t>
      </w:r>
      <w:r>
        <w:rPr>
          <w:rStyle w:val="FootnoteReference"/>
          <w:rFonts w:ascii="Times New Roman" w:hAnsi="Times New Roman" w:cs="Times New Roman"/>
          <w:szCs w:val="24"/>
        </w:rPr>
        <w:footnoteReference w:id="8"/>
      </w:r>
      <w:r>
        <w:rPr>
          <w:rFonts w:ascii="Times New Roman" w:hAnsi="Times New Roman" w:cs="Times New Roman"/>
          <w:szCs w:val="24"/>
        </w:rPr>
        <w:t xml:space="preserve"> </w:t>
      </w:r>
      <w:r w:rsidR="00476A21">
        <w:rPr>
          <w:rFonts w:ascii="Times New Roman" w:hAnsi="Times New Roman" w:cs="Times New Roman"/>
          <w:szCs w:val="24"/>
        </w:rPr>
        <w:t>T</w:t>
      </w:r>
      <w:r w:rsidR="006F6F86" w:rsidRPr="005333CE">
        <w:rPr>
          <w:rFonts w:ascii="Times New Roman" w:hAnsi="Times New Roman" w:cs="Times New Roman"/>
          <w:szCs w:val="24"/>
        </w:rPr>
        <w:t xml:space="preserve">he instruments </w:t>
      </w:r>
      <w:r w:rsidR="00476A21">
        <w:rPr>
          <w:rFonts w:ascii="Times New Roman" w:hAnsi="Times New Roman" w:cs="Times New Roman"/>
          <w:szCs w:val="24"/>
        </w:rPr>
        <w:t xml:space="preserve">and guidance </w:t>
      </w:r>
      <w:r w:rsidR="006F6F86" w:rsidRPr="005333CE">
        <w:rPr>
          <w:rFonts w:ascii="Times New Roman" w:hAnsi="Times New Roman" w:cs="Times New Roman"/>
          <w:szCs w:val="24"/>
        </w:rPr>
        <w:t xml:space="preserve">that </w:t>
      </w:r>
      <w:r w:rsidR="00476A21">
        <w:rPr>
          <w:rFonts w:ascii="Times New Roman" w:hAnsi="Times New Roman" w:cs="Times New Roman"/>
          <w:szCs w:val="24"/>
        </w:rPr>
        <w:t xml:space="preserve">FAO </w:t>
      </w:r>
      <w:r w:rsidR="006F6F86" w:rsidRPr="005333CE">
        <w:rPr>
          <w:rFonts w:ascii="Times New Roman" w:hAnsi="Times New Roman" w:cs="Times New Roman"/>
          <w:szCs w:val="24"/>
        </w:rPr>
        <w:t xml:space="preserve">develops through its </w:t>
      </w:r>
      <w:r w:rsidR="00476A21">
        <w:rPr>
          <w:rFonts w:ascii="Times New Roman" w:hAnsi="Times New Roman" w:cs="Times New Roman"/>
          <w:szCs w:val="24"/>
        </w:rPr>
        <w:t>inter-governmental bodies</w:t>
      </w:r>
      <w:r>
        <w:rPr>
          <w:rStyle w:val="FootnoteReference"/>
          <w:rFonts w:ascii="Times New Roman" w:hAnsi="Times New Roman" w:cs="Times New Roman"/>
          <w:szCs w:val="24"/>
        </w:rPr>
        <w:footnoteReference w:id="9"/>
      </w:r>
      <w:r w:rsidRPr="005333CE">
        <w:rPr>
          <w:rFonts w:ascii="Times New Roman" w:hAnsi="Times New Roman" w:cs="Times New Roman"/>
          <w:szCs w:val="24"/>
        </w:rPr>
        <w:t xml:space="preserve"> </w:t>
      </w:r>
      <w:r w:rsidR="00476A21">
        <w:rPr>
          <w:rFonts w:ascii="Times New Roman" w:hAnsi="Times New Roman" w:cs="Times New Roman"/>
          <w:szCs w:val="24"/>
        </w:rPr>
        <w:t xml:space="preserve"> </w:t>
      </w:r>
      <w:r w:rsidR="006F6F86" w:rsidRPr="005333CE">
        <w:rPr>
          <w:rFonts w:ascii="Times New Roman" w:hAnsi="Times New Roman" w:cs="Times New Roman"/>
          <w:szCs w:val="24"/>
        </w:rPr>
        <w:t xml:space="preserve">influence governance of biodiversity for food and agriculture </w:t>
      </w:r>
      <w:r w:rsidR="00476A21">
        <w:rPr>
          <w:rFonts w:ascii="Times New Roman" w:hAnsi="Times New Roman" w:cs="Times New Roman"/>
          <w:szCs w:val="24"/>
        </w:rPr>
        <w:t xml:space="preserve">at national, </w:t>
      </w:r>
      <w:r w:rsidR="006F6F86" w:rsidRPr="005333CE">
        <w:rPr>
          <w:rFonts w:ascii="Times New Roman" w:hAnsi="Times New Roman" w:cs="Times New Roman"/>
          <w:szCs w:val="24"/>
        </w:rPr>
        <w:t xml:space="preserve">regional </w:t>
      </w:r>
      <w:r w:rsidR="00476A21">
        <w:rPr>
          <w:rFonts w:ascii="Times New Roman" w:hAnsi="Times New Roman" w:cs="Times New Roman"/>
          <w:szCs w:val="24"/>
        </w:rPr>
        <w:t xml:space="preserve">and global </w:t>
      </w:r>
      <w:r w:rsidR="006F6F86" w:rsidRPr="005333CE">
        <w:rPr>
          <w:rFonts w:ascii="Times New Roman" w:hAnsi="Times New Roman" w:cs="Times New Roman"/>
          <w:szCs w:val="24"/>
        </w:rPr>
        <w:t>levels.</w:t>
      </w:r>
      <w:r>
        <w:rPr>
          <w:rFonts w:ascii="Times New Roman" w:hAnsi="Times New Roman" w:cs="Times New Roman"/>
          <w:szCs w:val="24"/>
        </w:rPr>
        <w:t xml:space="preserve"> </w:t>
      </w:r>
    </w:p>
    <w:p w14:paraId="3FE3425B" w14:textId="77777777" w:rsidR="005B6D4B" w:rsidRPr="005333CE" w:rsidRDefault="005B6D4B" w:rsidP="00022F7F">
      <w:pPr>
        <w:spacing w:before="240"/>
        <w:rPr>
          <w:rFonts w:ascii="Times New Roman" w:hAnsi="Times New Roman" w:cs="Times New Roman"/>
          <w:b/>
          <w:bCs/>
          <w:sz w:val="24"/>
        </w:rPr>
      </w:pPr>
      <w:r w:rsidRPr="005333CE">
        <w:rPr>
          <w:rFonts w:ascii="Times New Roman" w:hAnsi="Times New Roman" w:cs="Times New Roman"/>
          <w:b/>
          <w:bCs/>
          <w:sz w:val="24"/>
        </w:rPr>
        <w:t>Mainstreaming</w:t>
      </w:r>
      <w:r w:rsidR="006D6565" w:rsidRPr="005333CE">
        <w:rPr>
          <w:rFonts w:ascii="Times New Roman" w:hAnsi="Times New Roman" w:cs="Times New Roman"/>
          <w:b/>
          <w:bCs/>
          <w:sz w:val="24"/>
        </w:rPr>
        <w:t xml:space="preserve"> </w:t>
      </w:r>
      <w:r w:rsidR="006D6565" w:rsidRPr="005333CE">
        <w:rPr>
          <w:rFonts w:ascii="Times New Roman" w:hAnsi="Times New Roman" w:cs="Times New Roman"/>
          <w:bCs/>
          <w:sz w:val="24"/>
        </w:rPr>
        <w:t>(Section H – Paragraph 18)</w:t>
      </w:r>
      <w:r w:rsidR="006D6565" w:rsidRPr="005333CE">
        <w:rPr>
          <w:rFonts w:ascii="Times New Roman" w:hAnsi="Times New Roman" w:cs="Times New Roman"/>
          <w:b/>
          <w:bCs/>
          <w:sz w:val="24"/>
        </w:rPr>
        <w:t xml:space="preserve"> </w:t>
      </w:r>
    </w:p>
    <w:p w14:paraId="4F1908DA" w14:textId="22F11A8E" w:rsidR="00A25904" w:rsidRDefault="007C6BA1" w:rsidP="00480953">
      <w:pPr>
        <w:jc w:val="both"/>
        <w:rPr>
          <w:rFonts w:ascii="Times New Roman" w:hAnsi="Times New Roman" w:cs="Times New Roman"/>
          <w:szCs w:val="24"/>
        </w:rPr>
      </w:pPr>
      <w:r w:rsidRPr="00480953">
        <w:rPr>
          <w:rFonts w:ascii="Times New Roman" w:hAnsi="Times New Roman" w:cs="Times New Roman"/>
          <w:szCs w:val="24"/>
        </w:rPr>
        <w:t xml:space="preserve">In recent years, the importance of biodiversity mainstreaming </w:t>
      </w:r>
      <w:r w:rsidR="007A0FE0" w:rsidRPr="00480953">
        <w:rPr>
          <w:rFonts w:ascii="Times New Roman" w:hAnsi="Times New Roman" w:cs="Times New Roman"/>
          <w:szCs w:val="24"/>
        </w:rPr>
        <w:t xml:space="preserve">across sectors </w:t>
      </w:r>
      <w:r w:rsidRPr="00480953">
        <w:rPr>
          <w:rFonts w:ascii="Times New Roman" w:hAnsi="Times New Roman" w:cs="Times New Roman"/>
          <w:szCs w:val="24"/>
        </w:rPr>
        <w:t xml:space="preserve">has been gaining greater global attention. </w:t>
      </w:r>
      <w:r w:rsidR="00480953" w:rsidRPr="00480953">
        <w:rPr>
          <w:rFonts w:ascii="Times New Roman" w:hAnsi="Times New Roman" w:cs="Times New Roman"/>
          <w:szCs w:val="24"/>
        </w:rPr>
        <w:t xml:space="preserve">The agricultural sectors are among the sectors that are reliant on, and have significant impact on, biodiversity. </w:t>
      </w:r>
      <w:r w:rsidR="00A25904">
        <w:rPr>
          <w:rFonts w:ascii="Times New Roman" w:hAnsi="Times New Roman" w:cs="Times New Roman"/>
          <w:szCs w:val="24"/>
        </w:rPr>
        <w:t xml:space="preserve">FAO supports the proposal, as mentioned in the CBD discussion paper, </w:t>
      </w:r>
      <w:r w:rsidR="00480953" w:rsidRPr="00480953">
        <w:rPr>
          <w:rFonts w:ascii="Times New Roman" w:hAnsi="Times New Roman" w:cs="Times New Roman"/>
          <w:szCs w:val="24"/>
        </w:rPr>
        <w:t>for the post-2020 global biodiversity framework to incorporate or support the mainstreaming of biodiversity across society and economies at large</w:t>
      </w:r>
      <w:r w:rsidR="00A25904">
        <w:rPr>
          <w:rFonts w:ascii="Times New Roman" w:hAnsi="Times New Roman" w:cs="Times New Roman"/>
          <w:szCs w:val="24"/>
        </w:rPr>
        <w:t xml:space="preserve">. This means </w:t>
      </w:r>
      <w:r w:rsidR="00480953" w:rsidRPr="00480953">
        <w:rPr>
          <w:rFonts w:ascii="Times New Roman" w:hAnsi="Times New Roman" w:cs="Times New Roman"/>
          <w:szCs w:val="24"/>
        </w:rPr>
        <w:t>actively reach</w:t>
      </w:r>
      <w:r w:rsidR="00A25904">
        <w:rPr>
          <w:rFonts w:ascii="Times New Roman" w:hAnsi="Times New Roman" w:cs="Times New Roman"/>
          <w:szCs w:val="24"/>
        </w:rPr>
        <w:t>ing</w:t>
      </w:r>
      <w:r w:rsidR="00480953" w:rsidRPr="00480953">
        <w:rPr>
          <w:rFonts w:ascii="Times New Roman" w:hAnsi="Times New Roman" w:cs="Times New Roman"/>
          <w:szCs w:val="24"/>
        </w:rPr>
        <w:t xml:space="preserve"> out beyond the conservation community </w:t>
      </w:r>
      <w:r w:rsidR="00A25904">
        <w:rPr>
          <w:rFonts w:ascii="Times New Roman" w:hAnsi="Times New Roman" w:cs="Times New Roman"/>
          <w:szCs w:val="24"/>
        </w:rPr>
        <w:t xml:space="preserve">for </w:t>
      </w:r>
      <w:r w:rsidR="00480953" w:rsidRPr="00480953">
        <w:rPr>
          <w:rFonts w:ascii="Times New Roman" w:hAnsi="Times New Roman" w:cs="Times New Roman"/>
          <w:szCs w:val="24"/>
        </w:rPr>
        <w:t xml:space="preserve">the development (and later </w:t>
      </w:r>
      <w:r w:rsidR="00A25904">
        <w:rPr>
          <w:rFonts w:ascii="Times New Roman" w:hAnsi="Times New Roman" w:cs="Times New Roman"/>
          <w:szCs w:val="24"/>
        </w:rPr>
        <w:t xml:space="preserve">for </w:t>
      </w:r>
      <w:r w:rsidR="00480953" w:rsidRPr="00480953">
        <w:rPr>
          <w:rFonts w:ascii="Times New Roman" w:hAnsi="Times New Roman" w:cs="Times New Roman"/>
          <w:szCs w:val="24"/>
        </w:rPr>
        <w:t xml:space="preserve">the implementation) of the </w:t>
      </w:r>
      <w:r w:rsidR="00A25904">
        <w:rPr>
          <w:rFonts w:ascii="Times New Roman" w:hAnsi="Times New Roman" w:cs="Times New Roman"/>
          <w:szCs w:val="24"/>
        </w:rPr>
        <w:t xml:space="preserve">post-2020 global biodiversity </w:t>
      </w:r>
      <w:r w:rsidR="00480953" w:rsidRPr="00480953">
        <w:rPr>
          <w:rFonts w:ascii="Times New Roman" w:hAnsi="Times New Roman" w:cs="Times New Roman"/>
          <w:szCs w:val="24"/>
        </w:rPr>
        <w:t>framework.</w:t>
      </w:r>
      <w:r w:rsidR="007621EF">
        <w:rPr>
          <w:rFonts w:ascii="Times New Roman" w:hAnsi="Times New Roman" w:cs="Times New Roman"/>
          <w:szCs w:val="24"/>
        </w:rPr>
        <w:t xml:space="preserve"> </w:t>
      </w:r>
      <w:r w:rsidR="00B90DE0">
        <w:rPr>
          <w:rFonts w:ascii="Times New Roman" w:hAnsi="Times New Roman" w:cs="Times New Roman"/>
          <w:szCs w:val="24"/>
        </w:rPr>
        <w:t xml:space="preserve">This </w:t>
      </w:r>
      <w:r w:rsidR="0046193B">
        <w:rPr>
          <w:rFonts w:ascii="Times New Roman" w:hAnsi="Times New Roman" w:cs="Times New Roman"/>
          <w:szCs w:val="24"/>
        </w:rPr>
        <w:t>requires</w:t>
      </w:r>
      <w:r w:rsidR="00B90DE0">
        <w:rPr>
          <w:rFonts w:ascii="Times New Roman" w:hAnsi="Times New Roman" w:cs="Times New Roman"/>
          <w:szCs w:val="24"/>
        </w:rPr>
        <w:t xml:space="preserve"> </w:t>
      </w:r>
      <w:r w:rsidR="0046193B">
        <w:rPr>
          <w:rFonts w:ascii="Times New Roman" w:hAnsi="Times New Roman" w:cs="Times New Roman"/>
          <w:szCs w:val="24"/>
        </w:rPr>
        <w:t xml:space="preserve">recognition of </w:t>
      </w:r>
      <w:r w:rsidR="00B90DE0">
        <w:rPr>
          <w:rFonts w:ascii="Times New Roman" w:hAnsi="Times New Roman" w:cs="Times New Roman"/>
          <w:szCs w:val="24"/>
        </w:rPr>
        <w:t>the aims and incentives of the other sectors. Experience shows that w</w:t>
      </w:r>
      <w:r w:rsidR="00B90DE0" w:rsidRPr="009E2646">
        <w:rPr>
          <w:rFonts w:ascii="Times New Roman" w:hAnsi="Times New Roman" w:cs="Times New Roman"/>
          <w:szCs w:val="24"/>
        </w:rPr>
        <w:t>hen sustainability processes are dominated by abstract environmental concerns, without adequate attention to social and economic dimensions, they are unlikely to be implemented.</w:t>
      </w:r>
      <w:r w:rsidR="00B90DE0" w:rsidRPr="00B90DE0">
        <w:rPr>
          <w:rFonts w:ascii="Times New Roman" w:hAnsi="Times New Roman" w:cs="Times New Roman"/>
          <w:szCs w:val="24"/>
          <w:vertAlign w:val="superscript"/>
        </w:rPr>
        <w:t xml:space="preserve"> </w:t>
      </w:r>
      <w:r w:rsidR="00B90DE0" w:rsidRPr="009E2646">
        <w:rPr>
          <w:rFonts w:ascii="Times New Roman" w:hAnsi="Times New Roman" w:cs="Times New Roman"/>
          <w:szCs w:val="24"/>
          <w:vertAlign w:val="superscript"/>
        </w:rPr>
        <w:footnoteReference w:id="10"/>
      </w:r>
      <w:r w:rsidR="00B90DE0">
        <w:rPr>
          <w:rFonts w:ascii="Times New Roman" w:hAnsi="Times New Roman" w:cs="Times New Roman"/>
          <w:szCs w:val="24"/>
        </w:rPr>
        <w:t xml:space="preserve"> </w:t>
      </w:r>
      <w:r w:rsidR="0046193B">
        <w:rPr>
          <w:rFonts w:ascii="Times New Roman" w:hAnsi="Times New Roman" w:cs="Times New Roman"/>
          <w:szCs w:val="24"/>
        </w:rPr>
        <w:t>As mentioned above, t</w:t>
      </w:r>
      <w:r w:rsidR="007621EF">
        <w:rPr>
          <w:rFonts w:ascii="Times New Roman" w:hAnsi="Times New Roman" w:cs="Times New Roman"/>
          <w:szCs w:val="24"/>
        </w:rPr>
        <w:t xml:space="preserve">he </w:t>
      </w:r>
      <w:r w:rsidR="00A25904">
        <w:rPr>
          <w:rFonts w:ascii="Times New Roman" w:hAnsi="Times New Roman" w:cs="Times New Roman"/>
          <w:szCs w:val="24"/>
        </w:rPr>
        <w:t xml:space="preserve">starting point for involving </w:t>
      </w:r>
      <w:r w:rsidR="00B90DE0">
        <w:rPr>
          <w:rFonts w:ascii="Times New Roman" w:hAnsi="Times New Roman" w:cs="Times New Roman"/>
          <w:szCs w:val="24"/>
        </w:rPr>
        <w:t xml:space="preserve">other </w:t>
      </w:r>
      <w:r w:rsidR="00A25904">
        <w:rPr>
          <w:rFonts w:ascii="Times New Roman" w:hAnsi="Times New Roman" w:cs="Times New Roman"/>
          <w:szCs w:val="24"/>
        </w:rPr>
        <w:t xml:space="preserve">sectors should be </w:t>
      </w:r>
      <w:r w:rsidR="007621EF">
        <w:rPr>
          <w:rFonts w:ascii="Times New Roman" w:hAnsi="Times New Roman" w:cs="Times New Roman"/>
          <w:szCs w:val="24"/>
        </w:rPr>
        <w:t>the 2030 Agenda</w:t>
      </w:r>
      <w:r w:rsidR="00A25904">
        <w:rPr>
          <w:rFonts w:ascii="Times New Roman" w:hAnsi="Times New Roman" w:cs="Times New Roman"/>
          <w:szCs w:val="24"/>
        </w:rPr>
        <w:t>, which provides an internationally agreed set of goals, as well as a vision for transformational change that leaves no one behind</w:t>
      </w:r>
      <w:r w:rsidR="007621EF">
        <w:rPr>
          <w:rFonts w:ascii="Times New Roman" w:hAnsi="Times New Roman" w:cs="Times New Roman"/>
          <w:szCs w:val="24"/>
        </w:rPr>
        <w:t xml:space="preserve">. </w:t>
      </w:r>
    </w:p>
    <w:p w14:paraId="42D79735" w14:textId="5CD1593B" w:rsidR="006C1CF5" w:rsidRDefault="007621EF" w:rsidP="00D43180">
      <w:pPr>
        <w:jc w:val="both"/>
        <w:rPr>
          <w:rFonts w:ascii="Times New Roman" w:hAnsi="Times New Roman" w:cs="Times New Roman"/>
          <w:szCs w:val="24"/>
        </w:rPr>
      </w:pPr>
      <w:r w:rsidRPr="006C1CF5">
        <w:rPr>
          <w:rFonts w:ascii="Times New Roman" w:hAnsi="Times New Roman" w:cs="Times New Roman"/>
          <w:szCs w:val="24"/>
        </w:rPr>
        <w:t xml:space="preserve">More than any other </w:t>
      </w:r>
      <w:r w:rsidR="006C1CF5" w:rsidRPr="006C1CF5">
        <w:rPr>
          <w:rFonts w:ascii="Times New Roman" w:hAnsi="Times New Roman" w:cs="Times New Roman"/>
          <w:szCs w:val="24"/>
        </w:rPr>
        <w:t xml:space="preserve">economic </w:t>
      </w:r>
      <w:r w:rsidRPr="006C1CF5">
        <w:rPr>
          <w:rFonts w:ascii="Times New Roman" w:hAnsi="Times New Roman" w:cs="Times New Roman"/>
          <w:szCs w:val="24"/>
        </w:rPr>
        <w:t xml:space="preserve">sector, the agricultural sectors have an interest in conserving biodiversity </w:t>
      </w:r>
      <w:r w:rsidRPr="00B90DE0">
        <w:rPr>
          <w:rFonts w:ascii="Times New Roman" w:hAnsi="Times New Roman" w:cs="Times New Roman"/>
          <w:szCs w:val="24"/>
        </w:rPr>
        <w:t>because they rely on it for future production</w:t>
      </w:r>
      <w:r w:rsidR="006C1CF5" w:rsidRPr="00B90DE0">
        <w:rPr>
          <w:rFonts w:ascii="Times New Roman" w:hAnsi="Times New Roman" w:cs="Times New Roman"/>
          <w:szCs w:val="24"/>
        </w:rPr>
        <w:t>. There is growing evidence and awareness of the fact that biodiversity is essential for food and agriculture, that biodiversity for food and agriculture is declining, and that enabling frameworks for the sustainable use and conservation of biodiversity for food and agriculture remain insufficient.</w:t>
      </w:r>
      <w:r w:rsidR="006C1CF5" w:rsidRPr="00B90DE0">
        <w:rPr>
          <w:rFonts w:ascii="Times New Roman" w:hAnsi="Times New Roman" w:cs="Times New Roman"/>
          <w:vertAlign w:val="superscript"/>
        </w:rPr>
        <w:footnoteReference w:id="11"/>
      </w:r>
      <w:r w:rsidR="006C1CF5" w:rsidRPr="00B90DE0">
        <w:rPr>
          <w:rFonts w:ascii="Times New Roman" w:hAnsi="Times New Roman" w:cs="Times New Roman"/>
          <w:szCs w:val="24"/>
          <w:vertAlign w:val="superscript"/>
        </w:rPr>
        <w:t xml:space="preserve"> </w:t>
      </w:r>
      <w:r w:rsidR="006C1CF5" w:rsidRPr="00B90DE0">
        <w:rPr>
          <w:rFonts w:ascii="Times New Roman" w:hAnsi="Times New Roman" w:cs="Times New Roman"/>
          <w:szCs w:val="24"/>
        </w:rPr>
        <w:t>This awareness is reflected, in FAO, in the establishment of the Climate, Biodiversity, Land and Water Department and the launch of the Biodiversity Mainstreaming Platform in 2016</w:t>
      </w:r>
      <w:r w:rsidR="0046193B">
        <w:rPr>
          <w:rFonts w:ascii="Times New Roman" w:hAnsi="Times New Roman" w:cs="Times New Roman"/>
          <w:szCs w:val="24"/>
        </w:rPr>
        <w:t xml:space="preserve">, and the </w:t>
      </w:r>
      <w:r w:rsidR="006C1CF5" w:rsidRPr="00B90DE0">
        <w:rPr>
          <w:rFonts w:ascii="Times New Roman" w:hAnsi="Times New Roman" w:cs="Times New Roman"/>
          <w:szCs w:val="24"/>
        </w:rPr>
        <w:t>development of the FAO Strategy on Biodiversity Mainstreaming across Agricultural Sectors (to be presented to the FAO Council for endorsement in December 2019)</w:t>
      </w:r>
      <w:r w:rsidR="00D43180" w:rsidRPr="00B90DE0">
        <w:rPr>
          <w:rFonts w:ascii="Times New Roman" w:hAnsi="Times New Roman" w:cs="Times New Roman"/>
          <w:szCs w:val="24"/>
        </w:rPr>
        <w:t xml:space="preserve">. In addition, it is proposed that a </w:t>
      </w:r>
      <w:r w:rsidR="006C1CF5" w:rsidRPr="00B90DE0">
        <w:rPr>
          <w:rFonts w:ascii="Times New Roman" w:hAnsi="Times New Roman" w:cs="Times New Roman"/>
          <w:szCs w:val="24"/>
        </w:rPr>
        <w:t xml:space="preserve">global plan of action on biodiversity for food and agriculture </w:t>
      </w:r>
      <w:r w:rsidR="00D43180" w:rsidRPr="00B90DE0">
        <w:rPr>
          <w:rFonts w:ascii="Times New Roman" w:hAnsi="Times New Roman" w:cs="Times New Roman"/>
          <w:szCs w:val="24"/>
        </w:rPr>
        <w:t xml:space="preserve">should be </w:t>
      </w:r>
      <w:r w:rsidR="006C1CF5" w:rsidRPr="00B90DE0">
        <w:rPr>
          <w:rFonts w:ascii="Times New Roman" w:hAnsi="Times New Roman" w:cs="Times New Roman"/>
          <w:szCs w:val="24"/>
        </w:rPr>
        <w:t>presented to the FAO Commission on Genetic Resources f</w:t>
      </w:r>
      <w:r w:rsidR="00D43180" w:rsidRPr="00B90DE0">
        <w:rPr>
          <w:rFonts w:ascii="Times New Roman" w:hAnsi="Times New Roman" w:cs="Times New Roman"/>
          <w:szCs w:val="24"/>
        </w:rPr>
        <w:t xml:space="preserve">or Food and Agriculture </w:t>
      </w:r>
      <w:r w:rsidR="0046193B">
        <w:rPr>
          <w:rFonts w:ascii="Times New Roman" w:hAnsi="Times New Roman" w:cs="Times New Roman"/>
          <w:szCs w:val="24"/>
        </w:rPr>
        <w:t xml:space="preserve">for adoption </w:t>
      </w:r>
      <w:r w:rsidR="00D43180" w:rsidRPr="00B90DE0">
        <w:rPr>
          <w:rFonts w:ascii="Times New Roman" w:hAnsi="Times New Roman" w:cs="Times New Roman"/>
          <w:szCs w:val="24"/>
        </w:rPr>
        <w:t>in 2021</w:t>
      </w:r>
      <w:r w:rsidR="006C1CF5" w:rsidRPr="00B90DE0">
        <w:rPr>
          <w:rFonts w:ascii="Times New Roman" w:hAnsi="Times New Roman" w:cs="Times New Roman"/>
          <w:szCs w:val="24"/>
        </w:rPr>
        <w:t>.</w:t>
      </w:r>
    </w:p>
    <w:p w14:paraId="2D656A5F" w14:textId="4C51865E" w:rsidR="007621EF" w:rsidRPr="00480953" w:rsidRDefault="007621EF" w:rsidP="00480953">
      <w:pPr>
        <w:jc w:val="both"/>
        <w:rPr>
          <w:rFonts w:ascii="Times New Roman" w:hAnsi="Times New Roman" w:cs="Times New Roman"/>
          <w:szCs w:val="24"/>
        </w:rPr>
      </w:pPr>
      <w:r w:rsidRPr="00CE04D8">
        <w:rPr>
          <w:rFonts w:ascii="Times New Roman" w:hAnsi="Times New Roman" w:cs="Times New Roman"/>
          <w:szCs w:val="24"/>
        </w:rPr>
        <w:t>Success in transforming agriculture will depend on mobilizing support from diverse social actors. The interlinkages of modern agricultural and food production systems make it largely impossible for any single sector or public agency to effectively influence the many actors who ultimately need to change their actions to enable adoption of more sustainable practices. Key players include line government institutions at national and lower levels; civil society actors, including in particular producers’ organizations, specific interest groups, cooperatives, etc.; the private sector, including agribusiness representatives; academia and research institutions; in addition to development partners and the media. The process should be gender sensitive and include the voices of women and men of all ages, in particular youth.</w:t>
      </w:r>
      <w:r w:rsidR="00CE04D8" w:rsidRPr="00CE04D8">
        <w:rPr>
          <w:rFonts w:ascii="Times New Roman" w:hAnsi="Times New Roman" w:cs="Times New Roman"/>
          <w:szCs w:val="24"/>
          <w:vertAlign w:val="superscript"/>
        </w:rPr>
        <w:footnoteReference w:id="12"/>
      </w:r>
    </w:p>
    <w:p w14:paraId="0288FE90" w14:textId="77777777" w:rsidR="00877051" w:rsidRPr="005333CE" w:rsidRDefault="005215DE" w:rsidP="00022F7F">
      <w:pPr>
        <w:spacing w:before="240"/>
        <w:rPr>
          <w:rFonts w:ascii="Times New Roman" w:hAnsi="Times New Roman" w:cs="Times New Roman"/>
          <w:b/>
          <w:bCs/>
          <w:sz w:val="24"/>
        </w:rPr>
      </w:pPr>
      <w:r w:rsidRPr="005333CE">
        <w:rPr>
          <w:rFonts w:ascii="Times New Roman" w:hAnsi="Times New Roman" w:cs="Times New Roman"/>
          <w:b/>
          <w:bCs/>
          <w:sz w:val="24"/>
        </w:rPr>
        <w:t>Indicators</w:t>
      </w:r>
      <w:r w:rsidR="006D6565" w:rsidRPr="005333CE">
        <w:rPr>
          <w:rFonts w:ascii="Times New Roman" w:hAnsi="Times New Roman" w:cs="Times New Roman"/>
          <w:b/>
          <w:bCs/>
          <w:sz w:val="24"/>
        </w:rPr>
        <w:t xml:space="preserve"> </w:t>
      </w:r>
      <w:r w:rsidR="006D6565" w:rsidRPr="005333CE">
        <w:rPr>
          <w:rFonts w:ascii="Times New Roman" w:hAnsi="Times New Roman" w:cs="Times New Roman"/>
          <w:bCs/>
          <w:sz w:val="24"/>
        </w:rPr>
        <w:t>(Section K – Paragraph 20)</w:t>
      </w:r>
    </w:p>
    <w:p w14:paraId="68CA42D8" w14:textId="31AF5077" w:rsidR="0009519D" w:rsidRDefault="0009519D" w:rsidP="0009519D">
      <w:pPr>
        <w:jc w:val="both"/>
        <w:rPr>
          <w:rFonts w:ascii="Times New Roman" w:hAnsi="Times New Roman" w:cs="Times New Roman"/>
          <w:szCs w:val="24"/>
        </w:rPr>
      </w:pPr>
      <w:r>
        <w:rPr>
          <w:rFonts w:ascii="Times New Roman" w:hAnsi="Times New Roman" w:cs="Times New Roman"/>
          <w:szCs w:val="24"/>
        </w:rPr>
        <w:t>As mentioned in the section on targets, above, t</w:t>
      </w:r>
      <w:r w:rsidR="00971311" w:rsidRPr="005333CE">
        <w:rPr>
          <w:rFonts w:ascii="Times New Roman" w:hAnsi="Times New Roman" w:cs="Times New Roman"/>
          <w:szCs w:val="24"/>
        </w:rPr>
        <w:t>he starting point of any discussion on indicators should be the SDG</w:t>
      </w:r>
      <w:r>
        <w:rPr>
          <w:rFonts w:ascii="Times New Roman" w:hAnsi="Times New Roman" w:cs="Times New Roman"/>
          <w:szCs w:val="24"/>
        </w:rPr>
        <w:t>s</w:t>
      </w:r>
      <w:r w:rsidR="00971311" w:rsidRPr="005333CE">
        <w:rPr>
          <w:rFonts w:ascii="Times New Roman" w:hAnsi="Times New Roman" w:cs="Times New Roman"/>
          <w:szCs w:val="24"/>
        </w:rPr>
        <w:t xml:space="preserve">. </w:t>
      </w:r>
      <w:r>
        <w:rPr>
          <w:rFonts w:ascii="Times New Roman" w:hAnsi="Times New Roman" w:cs="Times New Roman"/>
          <w:szCs w:val="24"/>
        </w:rPr>
        <w:t>The SDG indicators that are relevant to biodiversity should be reviewed and any a</w:t>
      </w:r>
      <w:r w:rsidR="00877051" w:rsidRPr="005333CE">
        <w:rPr>
          <w:rFonts w:ascii="Times New Roman" w:hAnsi="Times New Roman" w:cs="Times New Roman"/>
          <w:szCs w:val="24"/>
        </w:rPr>
        <w:t xml:space="preserve">dditional indicators </w:t>
      </w:r>
      <w:r w:rsidR="00971311" w:rsidRPr="005333CE">
        <w:rPr>
          <w:rFonts w:ascii="Times New Roman" w:hAnsi="Times New Roman" w:cs="Times New Roman"/>
          <w:szCs w:val="24"/>
        </w:rPr>
        <w:t xml:space="preserve">should be proposed </w:t>
      </w:r>
      <w:r w:rsidR="00877051" w:rsidRPr="005333CE">
        <w:rPr>
          <w:rFonts w:ascii="Times New Roman" w:hAnsi="Times New Roman" w:cs="Times New Roman"/>
          <w:szCs w:val="24"/>
        </w:rPr>
        <w:t xml:space="preserve">where </w:t>
      </w:r>
      <w:r w:rsidR="00971311" w:rsidRPr="005333CE">
        <w:rPr>
          <w:rFonts w:ascii="Times New Roman" w:hAnsi="Times New Roman" w:cs="Times New Roman"/>
          <w:szCs w:val="24"/>
        </w:rPr>
        <w:t>there are important gaps</w:t>
      </w:r>
      <w:r w:rsidR="00877051" w:rsidRPr="005333CE">
        <w:rPr>
          <w:rFonts w:ascii="Times New Roman" w:hAnsi="Times New Roman" w:cs="Times New Roman"/>
          <w:szCs w:val="24"/>
        </w:rPr>
        <w:t xml:space="preserve">. </w:t>
      </w:r>
      <w:r w:rsidR="006D6565" w:rsidRPr="005333CE">
        <w:rPr>
          <w:rFonts w:ascii="Times New Roman" w:hAnsi="Times New Roman" w:cs="Times New Roman"/>
          <w:szCs w:val="24"/>
        </w:rPr>
        <w:t>Any additional reporting burden to countries need</w:t>
      </w:r>
      <w:r w:rsidR="00944D1C" w:rsidRPr="005333CE">
        <w:rPr>
          <w:rFonts w:ascii="Times New Roman" w:hAnsi="Times New Roman" w:cs="Times New Roman"/>
          <w:szCs w:val="24"/>
        </w:rPr>
        <w:t>s</w:t>
      </w:r>
      <w:r w:rsidR="006D6565" w:rsidRPr="005333CE">
        <w:rPr>
          <w:rFonts w:ascii="Times New Roman" w:hAnsi="Times New Roman" w:cs="Times New Roman"/>
          <w:szCs w:val="24"/>
        </w:rPr>
        <w:t xml:space="preserve"> to be minimized. </w:t>
      </w:r>
      <w:r>
        <w:rPr>
          <w:rFonts w:ascii="Times New Roman" w:hAnsi="Times New Roman" w:cs="Times New Roman"/>
          <w:szCs w:val="24"/>
        </w:rPr>
        <w:t>In order to facilitate such an exercise</w:t>
      </w:r>
      <w:r w:rsidR="007611E7">
        <w:rPr>
          <w:rFonts w:ascii="Times New Roman" w:hAnsi="Times New Roman" w:cs="Times New Roman"/>
          <w:szCs w:val="24"/>
        </w:rPr>
        <w:t xml:space="preserve"> for the agricultural sectors</w:t>
      </w:r>
      <w:r>
        <w:rPr>
          <w:rFonts w:ascii="Times New Roman" w:hAnsi="Times New Roman" w:cs="Times New Roman"/>
          <w:szCs w:val="24"/>
        </w:rPr>
        <w:t xml:space="preserve">, a comparison between SDG and Aichi indicators for which </w:t>
      </w:r>
      <w:r w:rsidRPr="0017728B">
        <w:rPr>
          <w:rFonts w:ascii="Times New Roman" w:hAnsi="Times New Roman" w:cs="Times New Roman"/>
          <w:szCs w:val="24"/>
        </w:rPr>
        <w:t xml:space="preserve">FAO </w:t>
      </w:r>
      <w:r>
        <w:rPr>
          <w:rFonts w:ascii="Times New Roman" w:hAnsi="Times New Roman" w:cs="Times New Roman"/>
          <w:szCs w:val="24"/>
        </w:rPr>
        <w:t>is responsible</w:t>
      </w:r>
      <w:r w:rsidR="007611E7">
        <w:rPr>
          <w:rFonts w:ascii="Times New Roman" w:hAnsi="Times New Roman" w:cs="Times New Roman"/>
          <w:szCs w:val="24"/>
        </w:rPr>
        <w:t xml:space="preserve"> is presented below</w:t>
      </w:r>
      <w:r>
        <w:rPr>
          <w:rFonts w:ascii="Times New Roman" w:hAnsi="Times New Roman" w:cs="Times New Roman"/>
          <w:szCs w:val="24"/>
        </w:rPr>
        <w:t>.</w:t>
      </w:r>
    </w:p>
    <w:p w14:paraId="32734364" w14:textId="77777777" w:rsidR="0009519D" w:rsidRPr="00CF05EB" w:rsidRDefault="0009519D" w:rsidP="0009519D">
      <w:pPr>
        <w:rPr>
          <w:rFonts w:ascii="Times New Roman" w:hAnsi="Times New Roman" w:cs="Times New Roman"/>
          <w:b/>
          <w:sz w:val="18"/>
        </w:rPr>
      </w:pPr>
      <w:r w:rsidRPr="00CF05EB">
        <w:rPr>
          <w:rFonts w:ascii="Times New Roman" w:hAnsi="Times New Roman" w:cs="Times New Roman"/>
          <w:b/>
          <w:sz w:val="18"/>
        </w:rPr>
        <w:t>Table 1: SDG indicators for which FAO is custodian or contributing agency and related specific indicators of the Aichi Biodiversity Targets</w:t>
      </w:r>
    </w:p>
    <w:tbl>
      <w:tblPr>
        <w:tblStyle w:val="TableGrid"/>
        <w:tblW w:w="0" w:type="auto"/>
        <w:tblInd w:w="0" w:type="dxa"/>
        <w:tblLook w:val="04A0" w:firstRow="1" w:lastRow="0" w:firstColumn="1" w:lastColumn="0" w:noHBand="0" w:noVBand="1"/>
      </w:tblPr>
      <w:tblGrid>
        <w:gridCol w:w="3595"/>
        <w:gridCol w:w="5755"/>
      </w:tblGrid>
      <w:tr w:rsidR="0009519D" w:rsidRPr="00497987" w14:paraId="6CCF5D5F"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0AED34E3" w14:textId="77777777" w:rsidR="0009519D" w:rsidRPr="00497987" w:rsidRDefault="0009519D" w:rsidP="005D5907">
            <w:pPr>
              <w:pStyle w:val="Heading3"/>
              <w:shd w:val="clear" w:color="auto" w:fill="FFFFFF" w:themeFill="background1"/>
              <w:spacing w:before="60" w:beforeAutospacing="0" w:after="60" w:afterAutospacing="0"/>
              <w:outlineLvl w:val="2"/>
              <w:rPr>
                <w:rFonts w:eastAsiaTheme="minorEastAsia"/>
                <w:sz w:val="20"/>
                <w:szCs w:val="20"/>
              </w:rPr>
            </w:pPr>
            <w:r w:rsidRPr="00497987">
              <w:rPr>
                <w:rFonts w:eastAsiaTheme="minorEastAsia"/>
                <w:sz w:val="20"/>
                <w:szCs w:val="20"/>
              </w:rPr>
              <w:t>SDG indicators</w:t>
            </w:r>
          </w:p>
        </w:tc>
        <w:tc>
          <w:tcPr>
            <w:tcW w:w="5755" w:type="dxa"/>
            <w:tcBorders>
              <w:top w:val="single" w:sz="4" w:space="0" w:color="auto"/>
              <w:left w:val="single" w:sz="4" w:space="0" w:color="auto"/>
              <w:bottom w:val="single" w:sz="4" w:space="0" w:color="auto"/>
              <w:right w:val="single" w:sz="4" w:space="0" w:color="auto"/>
            </w:tcBorders>
            <w:hideMark/>
          </w:tcPr>
          <w:p w14:paraId="4912AEF9" w14:textId="77777777" w:rsidR="0009519D" w:rsidRPr="00497987" w:rsidRDefault="0009519D" w:rsidP="005D5907">
            <w:pPr>
              <w:spacing w:before="60" w:after="60"/>
              <w:rPr>
                <w:rFonts w:ascii="Times New Roman" w:eastAsiaTheme="minorEastAsia" w:hAnsi="Times New Roman" w:cs="Times New Roman"/>
                <w:b/>
                <w:bCs/>
                <w:sz w:val="20"/>
                <w:szCs w:val="20"/>
              </w:rPr>
            </w:pPr>
            <w:r w:rsidRPr="00497987">
              <w:rPr>
                <w:rFonts w:ascii="Times New Roman" w:eastAsiaTheme="minorEastAsia" w:hAnsi="Times New Roman" w:cs="Times New Roman"/>
                <w:b/>
                <w:bCs/>
                <w:sz w:val="20"/>
                <w:szCs w:val="20"/>
              </w:rPr>
              <w:t>Aichi Biodiversity Targets and specific indicators for which FAO is the data source</w:t>
            </w:r>
          </w:p>
        </w:tc>
      </w:tr>
      <w:tr w:rsidR="0009519D" w:rsidRPr="00497987" w14:paraId="677C250C" w14:textId="77777777" w:rsidTr="006C564C">
        <w:trPr>
          <w:trHeight w:val="422"/>
        </w:trPr>
        <w:tc>
          <w:tcPr>
            <w:tcW w:w="3595" w:type="dxa"/>
            <w:tcBorders>
              <w:top w:val="single" w:sz="4" w:space="0" w:color="auto"/>
              <w:left w:val="single" w:sz="4" w:space="0" w:color="auto"/>
              <w:bottom w:val="single" w:sz="4" w:space="0" w:color="auto"/>
              <w:right w:val="single" w:sz="4" w:space="0" w:color="auto"/>
            </w:tcBorders>
            <w:hideMark/>
          </w:tcPr>
          <w:p w14:paraId="6A3DFA53" w14:textId="77777777" w:rsidR="0009519D" w:rsidRPr="00497987" w:rsidRDefault="0009519D" w:rsidP="005D5907">
            <w:pPr>
              <w:pStyle w:val="Heading3"/>
              <w:shd w:val="clear" w:color="auto" w:fill="FFFFFF" w:themeFill="background1"/>
              <w:spacing w:before="60" w:beforeAutospacing="0" w:after="60" w:afterAutospacing="0"/>
              <w:outlineLvl w:val="2"/>
              <w:rPr>
                <w:rFonts w:eastAsiaTheme="minorEastAsia"/>
                <w:b w:val="0"/>
                <w:bCs w:val="0"/>
                <w:i/>
                <w:iCs/>
                <w:sz w:val="20"/>
                <w:szCs w:val="20"/>
              </w:rPr>
            </w:pPr>
            <w:r w:rsidRPr="00497987">
              <w:rPr>
                <w:rFonts w:eastAsiaTheme="minorEastAsia"/>
                <w:b w:val="0"/>
                <w:bCs w:val="0"/>
                <w:i/>
                <w:iCs/>
                <w:sz w:val="20"/>
                <w:szCs w:val="20"/>
              </w:rPr>
              <w:t>SDG indicators under FAO custodianship</w:t>
            </w:r>
          </w:p>
        </w:tc>
        <w:tc>
          <w:tcPr>
            <w:tcW w:w="5755" w:type="dxa"/>
            <w:tcBorders>
              <w:top w:val="single" w:sz="4" w:space="0" w:color="auto"/>
              <w:left w:val="single" w:sz="4" w:space="0" w:color="auto"/>
              <w:bottom w:val="single" w:sz="4" w:space="0" w:color="auto"/>
              <w:right w:val="single" w:sz="4" w:space="0" w:color="auto"/>
            </w:tcBorders>
          </w:tcPr>
          <w:p w14:paraId="66B922E2" w14:textId="77777777" w:rsidR="0009519D" w:rsidRPr="00497987" w:rsidRDefault="0009519D" w:rsidP="005D5907">
            <w:pPr>
              <w:spacing w:before="60" w:after="60"/>
              <w:rPr>
                <w:rFonts w:ascii="Times New Roman" w:eastAsiaTheme="minorEastAsia" w:hAnsi="Times New Roman" w:cs="Times New Roman"/>
                <w:sz w:val="20"/>
                <w:szCs w:val="20"/>
              </w:rPr>
            </w:pPr>
          </w:p>
        </w:tc>
      </w:tr>
      <w:tr w:rsidR="0009519D" w:rsidRPr="00497987" w14:paraId="49103243"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20A61B3F" w14:textId="77777777" w:rsidR="0009519D" w:rsidRPr="00497987" w:rsidRDefault="0009519D" w:rsidP="005D5907">
            <w:pPr>
              <w:spacing w:before="60" w:after="60"/>
              <w:rPr>
                <w:rFonts w:ascii="Times New Roman" w:eastAsiaTheme="minorEastAsia" w:hAnsi="Times New Roman" w:cs="Times New Roman"/>
                <w:sz w:val="20"/>
                <w:szCs w:val="20"/>
              </w:rPr>
            </w:pPr>
            <w:r w:rsidRPr="00497987">
              <w:rPr>
                <w:rFonts w:ascii="Times New Roman" w:eastAsiaTheme="minorEastAsia" w:hAnsi="Times New Roman" w:cs="Times New Roman"/>
                <w:sz w:val="20"/>
                <w:szCs w:val="20"/>
                <w:shd w:val="clear" w:color="auto" w:fill="FFFFFF"/>
              </w:rPr>
              <w:lastRenderedPageBreak/>
              <w:t>2.1.2 Severity of food insecurity</w:t>
            </w:r>
          </w:p>
        </w:tc>
        <w:tc>
          <w:tcPr>
            <w:tcW w:w="5755" w:type="dxa"/>
            <w:tcBorders>
              <w:top w:val="single" w:sz="4" w:space="0" w:color="auto"/>
              <w:left w:val="single" w:sz="4" w:space="0" w:color="auto"/>
              <w:bottom w:val="single" w:sz="4" w:space="0" w:color="auto"/>
              <w:right w:val="single" w:sz="4" w:space="0" w:color="auto"/>
            </w:tcBorders>
            <w:hideMark/>
          </w:tcPr>
          <w:p w14:paraId="70AD728B" w14:textId="5DB981F6"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Prevalence of moderate or severe food insecurity in the population, based on the Food Insecurity Experience Scale (FIES)</w:t>
            </w:r>
            <w:r w:rsidR="00A357E8" w:rsidRPr="00497987">
              <w:rPr>
                <w:rFonts w:eastAsiaTheme="minorEastAsia"/>
                <w:color w:val="auto"/>
                <w:sz w:val="20"/>
                <w:szCs w:val="20"/>
                <w:shd w:val="clear" w:color="auto" w:fill="FFFFFF"/>
              </w:rPr>
              <w:t xml:space="preserve"> (Target 14)</w:t>
            </w:r>
          </w:p>
        </w:tc>
      </w:tr>
      <w:tr w:rsidR="0009519D" w:rsidRPr="00497987" w14:paraId="146FC97E"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0D65003F" w14:textId="77777777" w:rsidR="0009519D" w:rsidRPr="00497987" w:rsidRDefault="0009519D" w:rsidP="005D5907">
            <w:pPr>
              <w:spacing w:before="60" w:after="60"/>
              <w:rPr>
                <w:rFonts w:ascii="Times New Roman" w:eastAsiaTheme="minorEastAsia" w:hAnsi="Times New Roman" w:cs="Times New Roman"/>
                <w:sz w:val="20"/>
                <w:szCs w:val="20"/>
              </w:rPr>
            </w:pPr>
            <w:r w:rsidRPr="00497987">
              <w:rPr>
                <w:rFonts w:ascii="Times New Roman" w:eastAsiaTheme="minorEastAsia" w:hAnsi="Times New Roman" w:cs="Times New Roman"/>
                <w:sz w:val="20"/>
                <w:szCs w:val="20"/>
                <w:shd w:val="clear" w:color="auto" w:fill="FFFFFF"/>
              </w:rPr>
              <w:t>2.4.1 Agricultural sustainability</w:t>
            </w:r>
          </w:p>
        </w:tc>
        <w:tc>
          <w:tcPr>
            <w:tcW w:w="5755" w:type="dxa"/>
            <w:tcBorders>
              <w:top w:val="single" w:sz="4" w:space="0" w:color="auto"/>
              <w:left w:val="single" w:sz="4" w:space="0" w:color="auto"/>
              <w:bottom w:val="single" w:sz="4" w:space="0" w:color="auto"/>
              <w:right w:val="single" w:sz="4" w:space="0" w:color="auto"/>
            </w:tcBorders>
            <w:hideMark/>
          </w:tcPr>
          <w:p w14:paraId="7EB22CDB" w14:textId="3D4CDA50"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Proportion of agricultural area under productive and sustainable agriculture (indicator for SDG target 2.4)</w:t>
            </w:r>
            <w:r w:rsidR="00A357E8" w:rsidRPr="00497987">
              <w:rPr>
                <w:rFonts w:eastAsiaTheme="minorEastAsia"/>
                <w:color w:val="auto"/>
                <w:sz w:val="20"/>
                <w:szCs w:val="20"/>
                <w:shd w:val="clear" w:color="auto" w:fill="FFFFFF"/>
              </w:rPr>
              <w:t xml:space="preserve"> (Target 7)</w:t>
            </w:r>
          </w:p>
        </w:tc>
      </w:tr>
      <w:tr w:rsidR="0009519D" w:rsidRPr="00497987" w14:paraId="75694D4B"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1F91AB09" w14:textId="77777777" w:rsidR="0009519D" w:rsidRPr="00497987" w:rsidRDefault="0009519D" w:rsidP="005D5907">
            <w:pPr>
              <w:spacing w:before="60" w:after="60"/>
              <w:rPr>
                <w:rFonts w:ascii="Times New Roman" w:eastAsiaTheme="minorEastAsia" w:hAnsi="Times New Roman" w:cs="Times New Roman"/>
                <w:sz w:val="20"/>
                <w:szCs w:val="20"/>
              </w:rPr>
            </w:pPr>
            <w:r w:rsidRPr="00497987">
              <w:rPr>
                <w:rFonts w:ascii="Times New Roman" w:eastAsiaTheme="minorEastAsia" w:hAnsi="Times New Roman" w:cs="Times New Roman"/>
                <w:sz w:val="20"/>
                <w:szCs w:val="20"/>
                <w:shd w:val="clear" w:color="auto" w:fill="FFFFFF"/>
              </w:rPr>
              <w:t>2.5.1 Conservation of genetic resources for food and agriculture</w:t>
            </w:r>
          </w:p>
        </w:tc>
        <w:tc>
          <w:tcPr>
            <w:tcW w:w="5755" w:type="dxa"/>
            <w:tcBorders>
              <w:top w:val="single" w:sz="4" w:space="0" w:color="auto"/>
              <w:left w:val="single" w:sz="4" w:space="0" w:color="auto"/>
              <w:bottom w:val="single" w:sz="4" w:space="0" w:color="auto"/>
              <w:right w:val="single" w:sz="4" w:space="0" w:color="auto"/>
            </w:tcBorders>
          </w:tcPr>
          <w:p w14:paraId="2FFF6F9B" w14:textId="1729695F" w:rsidR="0009519D" w:rsidRPr="00497987" w:rsidRDefault="0009519D" w:rsidP="005D5907">
            <w:pPr>
              <w:spacing w:before="60" w:after="60"/>
              <w:rPr>
                <w:rFonts w:ascii="Times New Roman" w:eastAsiaTheme="minorEastAsia" w:hAnsi="Times New Roman" w:cs="Times New Roman"/>
                <w:sz w:val="20"/>
                <w:szCs w:val="20"/>
              </w:rPr>
            </w:pPr>
            <w:r w:rsidRPr="00497987">
              <w:rPr>
                <w:rFonts w:ascii="Times New Roman" w:eastAsiaTheme="minorEastAsia" w:hAnsi="Times New Roman" w:cs="Times New Roman"/>
                <w:sz w:val="20"/>
                <w:szCs w:val="20"/>
                <w:shd w:val="clear" w:color="auto" w:fill="FFFFFF"/>
              </w:rPr>
              <w:t>Number of plant and animal genetic resources for food and agriculture secured in either medium- or long-term conservation facilities (indicator for SDG target 2.5)</w:t>
            </w:r>
            <w:r w:rsidR="00A357E8" w:rsidRPr="00497987">
              <w:rPr>
                <w:rFonts w:ascii="Times New Roman" w:eastAsiaTheme="minorEastAsia" w:hAnsi="Times New Roman" w:cs="Times New Roman"/>
                <w:sz w:val="20"/>
                <w:szCs w:val="20"/>
                <w:shd w:val="clear" w:color="auto" w:fill="FFFFFF"/>
              </w:rPr>
              <w:t xml:space="preserve"> (Target 13)</w:t>
            </w:r>
          </w:p>
        </w:tc>
      </w:tr>
      <w:tr w:rsidR="0009519D" w:rsidRPr="00497987" w14:paraId="4D54DD30"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63C73B18" w14:textId="77777777" w:rsidR="0009519D" w:rsidRPr="00497987" w:rsidRDefault="0009519D" w:rsidP="005D5907">
            <w:pPr>
              <w:spacing w:before="60" w:after="60"/>
              <w:rPr>
                <w:rFonts w:ascii="Times New Roman" w:eastAsiaTheme="minorEastAsia" w:hAnsi="Times New Roman" w:cs="Times New Roman"/>
                <w:sz w:val="20"/>
                <w:szCs w:val="20"/>
              </w:rPr>
            </w:pPr>
            <w:r w:rsidRPr="00497987">
              <w:rPr>
                <w:rFonts w:ascii="Times New Roman" w:eastAsiaTheme="minorEastAsia" w:hAnsi="Times New Roman" w:cs="Times New Roman"/>
                <w:sz w:val="20"/>
                <w:szCs w:val="20"/>
                <w:shd w:val="clear" w:color="auto" w:fill="FFFFFF"/>
              </w:rPr>
              <w:t>2.5.2 Risk status of livestock breeds</w:t>
            </w:r>
          </w:p>
        </w:tc>
        <w:tc>
          <w:tcPr>
            <w:tcW w:w="5755" w:type="dxa"/>
            <w:tcBorders>
              <w:top w:val="single" w:sz="4" w:space="0" w:color="auto"/>
              <w:left w:val="single" w:sz="4" w:space="0" w:color="auto"/>
              <w:bottom w:val="single" w:sz="4" w:space="0" w:color="auto"/>
              <w:right w:val="single" w:sz="4" w:space="0" w:color="auto"/>
            </w:tcBorders>
          </w:tcPr>
          <w:p w14:paraId="2B0080AB" w14:textId="0444CF37" w:rsidR="0009519D" w:rsidRPr="00497987" w:rsidRDefault="0009519D" w:rsidP="005D5907">
            <w:pPr>
              <w:spacing w:before="60" w:after="60"/>
              <w:rPr>
                <w:rFonts w:ascii="Times New Roman" w:eastAsiaTheme="minorEastAsia" w:hAnsi="Times New Roman" w:cs="Times New Roman"/>
                <w:sz w:val="20"/>
                <w:szCs w:val="20"/>
              </w:rPr>
            </w:pPr>
            <w:r w:rsidRPr="00497987">
              <w:rPr>
                <w:rFonts w:ascii="Times New Roman" w:eastAsiaTheme="minorEastAsia" w:hAnsi="Times New Roman" w:cs="Times New Roman"/>
                <w:sz w:val="20"/>
                <w:szCs w:val="20"/>
                <w:shd w:val="clear" w:color="auto" w:fill="FFFFFF"/>
              </w:rPr>
              <w:t>Proportion of local breeds, classified as being at risk, not-at-risk or unknown level of risk of extinction (indicator for SDG target 2.5)</w:t>
            </w:r>
            <w:r w:rsidR="00A357E8" w:rsidRPr="00497987">
              <w:rPr>
                <w:rFonts w:ascii="Times New Roman" w:eastAsiaTheme="minorEastAsia" w:hAnsi="Times New Roman" w:cs="Times New Roman"/>
                <w:sz w:val="20"/>
                <w:szCs w:val="20"/>
                <w:shd w:val="clear" w:color="auto" w:fill="FFFFFF"/>
              </w:rPr>
              <w:t xml:space="preserve"> (Target 13)</w:t>
            </w:r>
          </w:p>
        </w:tc>
      </w:tr>
      <w:tr w:rsidR="0009519D" w:rsidRPr="00497987" w14:paraId="09E515F6" w14:textId="77777777" w:rsidTr="006C564C">
        <w:tc>
          <w:tcPr>
            <w:tcW w:w="3595" w:type="dxa"/>
            <w:tcBorders>
              <w:top w:val="single" w:sz="4" w:space="0" w:color="auto"/>
              <w:left w:val="single" w:sz="4" w:space="0" w:color="auto"/>
              <w:bottom w:val="single" w:sz="4" w:space="0" w:color="auto"/>
              <w:right w:val="single" w:sz="4" w:space="0" w:color="auto"/>
            </w:tcBorders>
          </w:tcPr>
          <w:p w14:paraId="4BB655B3" w14:textId="77777777" w:rsidR="0009519D" w:rsidRPr="00497987" w:rsidRDefault="0009519D" w:rsidP="005D5907">
            <w:pPr>
              <w:spacing w:before="60" w:after="60"/>
              <w:rPr>
                <w:rFonts w:ascii="Times New Roman" w:eastAsiaTheme="minorEastAsia" w:hAnsi="Times New Roman" w:cs="Times New Roman"/>
                <w:sz w:val="20"/>
                <w:szCs w:val="20"/>
              </w:rPr>
            </w:pPr>
            <w:r w:rsidRPr="00497987">
              <w:rPr>
                <w:rFonts w:ascii="Times New Roman" w:eastAsiaTheme="minorEastAsia" w:hAnsi="Times New Roman" w:cs="Times New Roman"/>
                <w:sz w:val="20"/>
                <w:szCs w:val="20"/>
                <w:shd w:val="clear" w:color="auto" w:fill="FFFFFF"/>
              </w:rPr>
              <w:t xml:space="preserve">5.a.1 </w:t>
            </w:r>
            <w:hyperlink r:id="rId8" w:tgtFrame="_top" w:history="1">
              <w:r w:rsidRPr="00497987">
                <w:rPr>
                  <w:rStyle w:val="Hyperlink"/>
                  <w:rFonts w:ascii="Times New Roman" w:eastAsiaTheme="minorEastAsia" w:hAnsi="Times New Roman" w:cs="Times New Roman"/>
                  <w:color w:val="auto"/>
                  <w:sz w:val="20"/>
                  <w:szCs w:val="20"/>
                  <w:u w:val="none"/>
                </w:rPr>
                <w:t>Women’s ownership of agricultural land</w:t>
              </w:r>
            </w:hyperlink>
          </w:p>
          <w:p w14:paraId="2D029702" w14:textId="77777777" w:rsidR="0009519D" w:rsidRPr="00497987" w:rsidRDefault="0009519D" w:rsidP="005D5907">
            <w:pPr>
              <w:spacing w:before="60" w:after="60"/>
              <w:rPr>
                <w:rFonts w:ascii="Times New Roman" w:eastAsiaTheme="minorEastAsia" w:hAnsi="Times New Roman" w:cs="Times New Roman"/>
                <w:sz w:val="20"/>
                <w:szCs w:val="20"/>
              </w:rPr>
            </w:pPr>
          </w:p>
        </w:tc>
        <w:tc>
          <w:tcPr>
            <w:tcW w:w="5755" w:type="dxa"/>
            <w:tcBorders>
              <w:top w:val="single" w:sz="4" w:space="0" w:color="auto"/>
              <w:left w:val="single" w:sz="4" w:space="0" w:color="auto"/>
              <w:bottom w:val="single" w:sz="4" w:space="0" w:color="auto"/>
              <w:right w:val="single" w:sz="4" w:space="0" w:color="auto"/>
            </w:tcBorders>
          </w:tcPr>
          <w:p w14:paraId="1E67A9AD" w14:textId="3DDFBA18"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(a) Proportion of total agricultural population with ownership or secure rights over agricultural land, by sex; and (b) share of women among owners or rights-bearers of agricultural land, by type of tenure(indicator for SDG target 5.a)</w:t>
            </w:r>
            <w:r w:rsidR="006D58A1" w:rsidRPr="00497987">
              <w:rPr>
                <w:rFonts w:eastAsiaTheme="minorEastAsia"/>
                <w:color w:val="auto"/>
                <w:sz w:val="20"/>
                <w:szCs w:val="20"/>
                <w:shd w:val="clear" w:color="auto" w:fill="FFFFFF"/>
              </w:rPr>
              <w:t xml:space="preserve"> (Target 18)</w:t>
            </w:r>
          </w:p>
        </w:tc>
      </w:tr>
      <w:tr w:rsidR="0009519D" w:rsidRPr="00497987" w14:paraId="62762F24"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3488361D" w14:textId="77777777" w:rsidR="0009519D" w:rsidRPr="00497987" w:rsidRDefault="0009519D" w:rsidP="005D5907">
            <w:pPr>
              <w:spacing w:before="60" w:after="60"/>
              <w:rPr>
                <w:rFonts w:ascii="Times New Roman" w:eastAsiaTheme="minorEastAsia" w:hAnsi="Times New Roman" w:cs="Times New Roman"/>
                <w:sz w:val="20"/>
                <w:szCs w:val="20"/>
              </w:rPr>
            </w:pPr>
            <w:r w:rsidRPr="00497987">
              <w:rPr>
                <w:rFonts w:ascii="Times New Roman" w:eastAsiaTheme="minorEastAsia" w:hAnsi="Times New Roman" w:cs="Times New Roman"/>
                <w:sz w:val="20"/>
                <w:szCs w:val="20"/>
                <w:shd w:val="clear" w:color="auto" w:fill="FFFFFF"/>
              </w:rPr>
              <w:t>6.4.1 Water use efficiency</w:t>
            </w:r>
          </w:p>
        </w:tc>
        <w:tc>
          <w:tcPr>
            <w:tcW w:w="5755" w:type="dxa"/>
            <w:tcBorders>
              <w:top w:val="single" w:sz="4" w:space="0" w:color="auto"/>
              <w:left w:val="single" w:sz="4" w:space="0" w:color="auto"/>
              <w:bottom w:val="single" w:sz="4" w:space="0" w:color="auto"/>
              <w:right w:val="single" w:sz="4" w:space="0" w:color="auto"/>
            </w:tcBorders>
          </w:tcPr>
          <w:p w14:paraId="5BA19FA4" w14:textId="4A62A8EB"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Change in water use efficiency over time (indicator for SDG target 6.4)</w:t>
            </w:r>
            <w:r w:rsidR="006D58A1" w:rsidRPr="00497987">
              <w:rPr>
                <w:rFonts w:eastAsiaTheme="minorEastAsia"/>
                <w:color w:val="auto"/>
                <w:sz w:val="20"/>
                <w:szCs w:val="20"/>
                <w:shd w:val="clear" w:color="auto" w:fill="FFFFFF"/>
              </w:rPr>
              <w:t xml:space="preserve"> (Target 4)</w:t>
            </w:r>
          </w:p>
        </w:tc>
      </w:tr>
      <w:tr w:rsidR="0009519D" w:rsidRPr="00497987" w14:paraId="4308AF7E"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6AFB6CBD" w14:textId="77777777" w:rsidR="0009519D" w:rsidRPr="00497987" w:rsidRDefault="006C564C" w:rsidP="005D5907">
            <w:pPr>
              <w:spacing w:before="60" w:after="60"/>
              <w:rPr>
                <w:rFonts w:ascii="Times New Roman" w:eastAsiaTheme="minorEastAsia" w:hAnsi="Times New Roman" w:cs="Times New Roman"/>
                <w:sz w:val="20"/>
                <w:szCs w:val="20"/>
              </w:rPr>
            </w:pPr>
            <w:hyperlink r:id="rId9" w:history="1">
              <w:r w:rsidR="0009519D" w:rsidRPr="00497987">
                <w:rPr>
                  <w:rStyle w:val="Hyperlink"/>
                  <w:rFonts w:ascii="Times New Roman" w:eastAsiaTheme="minorEastAsia" w:hAnsi="Times New Roman" w:cs="Times New Roman"/>
                  <w:color w:val="auto"/>
                  <w:sz w:val="20"/>
                  <w:szCs w:val="20"/>
                  <w:u w:val="none"/>
                </w:rPr>
                <w:t>6.4.2 Water stress</w:t>
              </w:r>
            </w:hyperlink>
          </w:p>
        </w:tc>
        <w:tc>
          <w:tcPr>
            <w:tcW w:w="5755" w:type="dxa"/>
            <w:tcBorders>
              <w:top w:val="single" w:sz="4" w:space="0" w:color="auto"/>
              <w:left w:val="single" w:sz="4" w:space="0" w:color="auto"/>
              <w:bottom w:val="single" w:sz="4" w:space="0" w:color="auto"/>
              <w:right w:val="single" w:sz="4" w:space="0" w:color="auto"/>
            </w:tcBorders>
          </w:tcPr>
          <w:p w14:paraId="0FEAF013" w14:textId="77B7BE99"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rPr>
              <w:t>Level of water stress: freshwater withdrawal as a proportion of available freshwater resources (indicator for SDG target 6.4)</w:t>
            </w:r>
            <w:r w:rsidR="006D58A1" w:rsidRPr="00497987">
              <w:rPr>
                <w:rFonts w:eastAsiaTheme="minorEastAsia"/>
                <w:color w:val="auto"/>
                <w:sz w:val="20"/>
                <w:szCs w:val="20"/>
              </w:rPr>
              <w:t xml:space="preserve"> (Target 4)</w:t>
            </w:r>
          </w:p>
        </w:tc>
      </w:tr>
      <w:tr w:rsidR="0009519D" w:rsidRPr="00497987" w14:paraId="5D02A2E5"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3F413D28" w14:textId="77777777" w:rsidR="0009519D" w:rsidRPr="00497987" w:rsidRDefault="0009519D" w:rsidP="005D5907">
            <w:pPr>
              <w:pStyle w:val="bodytext"/>
              <w:shd w:val="clear" w:color="auto" w:fill="FFFFFF" w:themeFill="background1"/>
              <w:spacing w:before="60" w:beforeAutospacing="0" w:after="60" w:afterAutospacing="0"/>
              <w:rPr>
                <w:rFonts w:eastAsiaTheme="minorEastAsia"/>
                <w:sz w:val="20"/>
                <w:szCs w:val="20"/>
              </w:rPr>
            </w:pPr>
            <w:r w:rsidRPr="00497987">
              <w:rPr>
                <w:rFonts w:eastAsiaTheme="minorEastAsia"/>
                <w:sz w:val="20"/>
                <w:szCs w:val="20"/>
              </w:rPr>
              <w:t>14.4.1 Fish stocks sustainability</w:t>
            </w:r>
          </w:p>
        </w:tc>
        <w:tc>
          <w:tcPr>
            <w:tcW w:w="5755" w:type="dxa"/>
            <w:tcBorders>
              <w:top w:val="single" w:sz="4" w:space="0" w:color="auto"/>
              <w:left w:val="single" w:sz="4" w:space="0" w:color="auto"/>
              <w:bottom w:val="single" w:sz="4" w:space="0" w:color="auto"/>
              <w:right w:val="single" w:sz="4" w:space="0" w:color="auto"/>
            </w:tcBorders>
            <w:hideMark/>
          </w:tcPr>
          <w:p w14:paraId="3ED06D6C" w14:textId="0760DF84"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 xml:space="preserve">Proportion of fish stocks within biologically sustainable levels </w:t>
            </w:r>
            <w:r w:rsidR="006D58A1" w:rsidRPr="00497987">
              <w:rPr>
                <w:rFonts w:eastAsiaTheme="minorEastAsia"/>
                <w:color w:val="auto"/>
                <w:sz w:val="20"/>
                <w:szCs w:val="20"/>
                <w:shd w:val="clear" w:color="auto" w:fill="FFFFFF"/>
              </w:rPr>
              <w:t>(Target 6)</w:t>
            </w:r>
          </w:p>
        </w:tc>
      </w:tr>
      <w:tr w:rsidR="0009519D" w:rsidRPr="00497987" w14:paraId="0020D492"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49302327" w14:textId="77777777" w:rsidR="0009519D" w:rsidRPr="00497987" w:rsidRDefault="0009519D" w:rsidP="005D5907">
            <w:pPr>
              <w:pStyle w:val="bodytext"/>
              <w:shd w:val="clear" w:color="auto" w:fill="FFFFFF" w:themeFill="background1"/>
              <w:spacing w:before="60" w:beforeAutospacing="0" w:after="60" w:afterAutospacing="0"/>
              <w:rPr>
                <w:rFonts w:eastAsiaTheme="minorEastAsia"/>
                <w:sz w:val="20"/>
                <w:szCs w:val="20"/>
              </w:rPr>
            </w:pPr>
            <w:r w:rsidRPr="00497987">
              <w:rPr>
                <w:rFonts w:eastAsiaTheme="minorEastAsia"/>
                <w:sz w:val="20"/>
                <w:szCs w:val="20"/>
              </w:rPr>
              <w:t>14.6.1 Illegal, unreported unregulated fishing</w:t>
            </w:r>
          </w:p>
        </w:tc>
        <w:tc>
          <w:tcPr>
            <w:tcW w:w="5755" w:type="dxa"/>
            <w:tcBorders>
              <w:top w:val="single" w:sz="4" w:space="0" w:color="auto"/>
              <w:left w:val="single" w:sz="4" w:space="0" w:color="auto"/>
              <w:bottom w:val="single" w:sz="4" w:space="0" w:color="auto"/>
              <w:right w:val="single" w:sz="4" w:space="0" w:color="auto"/>
            </w:tcBorders>
            <w:hideMark/>
          </w:tcPr>
          <w:p w14:paraId="7B798644" w14:textId="101D0BE0"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 xml:space="preserve">Progress by countries in the degree of implementation of international instruments aiming to combat illegal, unreported and unregulated fishing </w:t>
            </w:r>
            <w:r w:rsidR="006D58A1" w:rsidRPr="00497987">
              <w:rPr>
                <w:rFonts w:eastAsiaTheme="minorEastAsia"/>
                <w:color w:val="auto"/>
                <w:sz w:val="20"/>
                <w:szCs w:val="20"/>
                <w:shd w:val="clear" w:color="auto" w:fill="FFFFFF"/>
              </w:rPr>
              <w:t>(Target 6)</w:t>
            </w:r>
          </w:p>
        </w:tc>
      </w:tr>
      <w:tr w:rsidR="0009519D" w:rsidRPr="00497987" w14:paraId="28CF8144"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06878DE1" w14:textId="77777777" w:rsidR="0009519D" w:rsidRPr="00497987" w:rsidRDefault="0009519D" w:rsidP="005D5907">
            <w:pPr>
              <w:pStyle w:val="bodytext"/>
              <w:shd w:val="clear" w:color="auto" w:fill="FFFFFF" w:themeFill="background1"/>
              <w:spacing w:before="60" w:beforeAutospacing="0" w:after="60" w:afterAutospacing="0"/>
              <w:rPr>
                <w:rFonts w:eastAsiaTheme="minorEastAsia"/>
                <w:sz w:val="20"/>
                <w:szCs w:val="20"/>
              </w:rPr>
            </w:pPr>
            <w:r w:rsidRPr="00497987">
              <w:rPr>
                <w:rFonts w:eastAsiaTheme="minorEastAsia"/>
                <w:sz w:val="20"/>
                <w:szCs w:val="20"/>
              </w:rPr>
              <w:t>14.b.1 Access rights for small-scale fisheries</w:t>
            </w:r>
          </w:p>
        </w:tc>
        <w:tc>
          <w:tcPr>
            <w:tcW w:w="5755" w:type="dxa"/>
            <w:tcBorders>
              <w:top w:val="single" w:sz="4" w:space="0" w:color="auto"/>
              <w:left w:val="single" w:sz="4" w:space="0" w:color="auto"/>
              <w:bottom w:val="single" w:sz="4" w:space="0" w:color="auto"/>
              <w:right w:val="single" w:sz="4" w:space="0" w:color="auto"/>
            </w:tcBorders>
            <w:hideMark/>
          </w:tcPr>
          <w:p w14:paraId="78993692" w14:textId="596BF5E3"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 xml:space="preserve">Progress by countries in the degree of application of a legal/regulatory/policy/institutional framework which recognizes and protects access rights for small-scale fisheries </w:t>
            </w:r>
            <w:r w:rsidR="006D58A1" w:rsidRPr="00497987">
              <w:rPr>
                <w:rFonts w:eastAsiaTheme="minorEastAsia"/>
                <w:color w:val="auto"/>
                <w:sz w:val="20"/>
                <w:szCs w:val="20"/>
                <w:shd w:val="clear" w:color="auto" w:fill="FFFFFF"/>
              </w:rPr>
              <w:t>(Target 6)</w:t>
            </w:r>
          </w:p>
        </w:tc>
      </w:tr>
      <w:tr w:rsidR="0009519D" w:rsidRPr="00497987" w14:paraId="7115069D"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3B9EDBDB" w14:textId="77777777" w:rsidR="0009519D" w:rsidRPr="00497987" w:rsidRDefault="0009519D" w:rsidP="005D5907">
            <w:pPr>
              <w:pStyle w:val="bodytext"/>
              <w:shd w:val="clear" w:color="auto" w:fill="FFFFFF" w:themeFill="background1"/>
              <w:spacing w:before="60" w:beforeAutospacing="0" w:after="60" w:afterAutospacing="0"/>
              <w:rPr>
                <w:rFonts w:eastAsiaTheme="minorEastAsia"/>
                <w:sz w:val="20"/>
                <w:szCs w:val="20"/>
              </w:rPr>
            </w:pPr>
            <w:r w:rsidRPr="00497987">
              <w:rPr>
                <w:rFonts w:eastAsiaTheme="minorEastAsia"/>
                <w:sz w:val="20"/>
                <w:szCs w:val="20"/>
              </w:rPr>
              <w:t>15.1.1 Forest area</w:t>
            </w:r>
          </w:p>
        </w:tc>
        <w:tc>
          <w:tcPr>
            <w:tcW w:w="5755" w:type="dxa"/>
            <w:tcBorders>
              <w:top w:val="single" w:sz="4" w:space="0" w:color="auto"/>
              <w:left w:val="single" w:sz="4" w:space="0" w:color="auto"/>
              <w:bottom w:val="single" w:sz="4" w:space="0" w:color="auto"/>
              <w:right w:val="single" w:sz="4" w:space="0" w:color="auto"/>
            </w:tcBorders>
            <w:hideMark/>
          </w:tcPr>
          <w:p w14:paraId="7E3C79AE" w14:textId="69E45A46"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 xml:space="preserve">Forest area as a percentage of total land area </w:t>
            </w:r>
            <w:r w:rsidR="006D58A1" w:rsidRPr="00497987">
              <w:rPr>
                <w:rFonts w:eastAsiaTheme="minorEastAsia"/>
                <w:color w:val="auto"/>
                <w:sz w:val="20"/>
                <w:szCs w:val="20"/>
                <w:shd w:val="clear" w:color="auto" w:fill="FFFFFF"/>
              </w:rPr>
              <w:t>(Target 5)</w:t>
            </w:r>
          </w:p>
        </w:tc>
      </w:tr>
      <w:tr w:rsidR="0009519D" w:rsidRPr="00497987" w14:paraId="69DE1CB4" w14:textId="77777777" w:rsidTr="006C564C">
        <w:tc>
          <w:tcPr>
            <w:tcW w:w="3595" w:type="dxa"/>
            <w:tcBorders>
              <w:top w:val="single" w:sz="4" w:space="0" w:color="auto"/>
              <w:left w:val="single" w:sz="4" w:space="0" w:color="auto"/>
              <w:bottom w:val="single" w:sz="4" w:space="0" w:color="auto"/>
              <w:right w:val="single" w:sz="4" w:space="0" w:color="auto"/>
            </w:tcBorders>
          </w:tcPr>
          <w:p w14:paraId="4EAB9F5C" w14:textId="77777777" w:rsidR="0009519D" w:rsidRPr="00497987" w:rsidRDefault="0009519D" w:rsidP="005D5907">
            <w:pPr>
              <w:pStyle w:val="bodytext"/>
              <w:shd w:val="clear" w:color="auto" w:fill="FFFFFF" w:themeFill="background1"/>
              <w:spacing w:before="60" w:beforeAutospacing="0" w:after="60" w:afterAutospacing="0"/>
              <w:rPr>
                <w:rFonts w:eastAsiaTheme="minorEastAsia"/>
                <w:sz w:val="20"/>
                <w:szCs w:val="20"/>
              </w:rPr>
            </w:pPr>
            <w:r w:rsidRPr="00497987">
              <w:rPr>
                <w:rFonts w:eastAsiaTheme="minorEastAsia"/>
                <w:sz w:val="20"/>
                <w:szCs w:val="20"/>
              </w:rPr>
              <w:t>15.2.1 Sustainable forest management</w:t>
            </w:r>
          </w:p>
          <w:p w14:paraId="290D5CAC" w14:textId="77777777" w:rsidR="0009519D" w:rsidRPr="00497987" w:rsidRDefault="0009519D" w:rsidP="005D5907">
            <w:pPr>
              <w:pStyle w:val="bodytext"/>
              <w:shd w:val="clear" w:color="auto" w:fill="FFFFFF" w:themeFill="background1"/>
              <w:spacing w:before="60" w:beforeAutospacing="0" w:after="60" w:afterAutospacing="0"/>
              <w:rPr>
                <w:rFonts w:eastAsiaTheme="minorEastAsia"/>
                <w:sz w:val="20"/>
                <w:szCs w:val="20"/>
              </w:rPr>
            </w:pPr>
          </w:p>
        </w:tc>
        <w:tc>
          <w:tcPr>
            <w:tcW w:w="5755" w:type="dxa"/>
            <w:tcBorders>
              <w:top w:val="single" w:sz="4" w:space="0" w:color="auto"/>
              <w:left w:val="single" w:sz="4" w:space="0" w:color="auto"/>
              <w:bottom w:val="single" w:sz="4" w:space="0" w:color="auto"/>
              <w:right w:val="single" w:sz="4" w:space="0" w:color="auto"/>
            </w:tcBorders>
            <w:hideMark/>
          </w:tcPr>
          <w:p w14:paraId="626578F4" w14:textId="1796CFD0"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 xml:space="preserve">Progress towards sustainable forest management </w:t>
            </w:r>
            <w:r w:rsidR="006D58A1" w:rsidRPr="00497987">
              <w:rPr>
                <w:rFonts w:eastAsiaTheme="minorEastAsia"/>
                <w:color w:val="auto"/>
                <w:sz w:val="20"/>
                <w:szCs w:val="20"/>
                <w:shd w:val="clear" w:color="auto" w:fill="FFFFFF"/>
              </w:rPr>
              <w:t>(Target 5)</w:t>
            </w:r>
          </w:p>
        </w:tc>
      </w:tr>
      <w:tr w:rsidR="0009519D" w:rsidRPr="00497987" w14:paraId="78CAEC50" w14:textId="77777777" w:rsidTr="005D5907">
        <w:trPr>
          <w:trHeight w:val="350"/>
        </w:trPr>
        <w:tc>
          <w:tcPr>
            <w:tcW w:w="3595" w:type="dxa"/>
            <w:tcBorders>
              <w:top w:val="single" w:sz="4" w:space="0" w:color="auto"/>
              <w:left w:val="single" w:sz="4" w:space="0" w:color="auto"/>
              <w:bottom w:val="single" w:sz="4" w:space="0" w:color="auto"/>
              <w:right w:val="single" w:sz="4" w:space="0" w:color="auto"/>
            </w:tcBorders>
          </w:tcPr>
          <w:p w14:paraId="6203142E" w14:textId="541EB874" w:rsidR="0009519D" w:rsidRPr="00497987" w:rsidRDefault="0009519D" w:rsidP="005D5907">
            <w:pPr>
              <w:pStyle w:val="bodytext"/>
              <w:shd w:val="clear" w:color="auto" w:fill="FFFFFF" w:themeFill="background1"/>
              <w:spacing w:before="60" w:beforeAutospacing="0" w:after="60" w:afterAutospacing="0"/>
              <w:rPr>
                <w:rFonts w:eastAsiaTheme="minorEastAsia"/>
                <w:sz w:val="20"/>
                <w:szCs w:val="20"/>
              </w:rPr>
            </w:pPr>
            <w:r w:rsidRPr="00497987">
              <w:rPr>
                <w:rFonts w:eastAsiaTheme="minorEastAsia"/>
                <w:sz w:val="20"/>
                <w:szCs w:val="20"/>
              </w:rPr>
              <w:t>15.4.2 Mountain Green Cover</w:t>
            </w:r>
          </w:p>
        </w:tc>
        <w:tc>
          <w:tcPr>
            <w:tcW w:w="5755" w:type="dxa"/>
            <w:tcBorders>
              <w:top w:val="single" w:sz="4" w:space="0" w:color="auto"/>
              <w:left w:val="single" w:sz="4" w:space="0" w:color="auto"/>
              <w:bottom w:val="single" w:sz="4" w:space="0" w:color="auto"/>
              <w:right w:val="single" w:sz="4" w:space="0" w:color="auto"/>
            </w:tcBorders>
            <w:hideMark/>
          </w:tcPr>
          <w:p w14:paraId="50200E21" w14:textId="6CAB5815" w:rsidR="0009519D" w:rsidRPr="00497987" w:rsidRDefault="005D5907"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Mo</w:t>
            </w:r>
            <w:r w:rsidR="006D58A1" w:rsidRPr="00497987">
              <w:rPr>
                <w:rFonts w:eastAsiaTheme="minorEastAsia"/>
                <w:color w:val="auto"/>
                <w:sz w:val="20"/>
                <w:szCs w:val="20"/>
                <w:shd w:val="clear" w:color="auto" w:fill="FFFFFF"/>
              </w:rPr>
              <w:t>untain Green Cover Index (Target 14)</w:t>
            </w:r>
          </w:p>
        </w:tc>
      </w:tr>
      <w:tr w:rsidR="0009519D" w:rsidRPr="00497987" w14:paraId="120EE0DF"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1BD8C196" w14:textId="77777777" w:rsidR="0009519D" w:rsidRPr="00497987" w:rsidRDefault="0009519D" w:rsidP="005D5907">
            <w:pPr>
              <w:pStyle w:val="Heading3"/>
              <w:shd w:val="clear" w:color="auto" w:fill="FFFFFF" w:themeFill="background1"/>
              <w:spacing w:before="60" w:beforeAutospacing="0" w:after="60" w:afterAutospacing="0"/>
              <w:outlineLvl w:val="2"/>
              <w:rPr>
                <w:rFonts w:eastAsiaTheme="minorEastAsia"/>
                <w:b w:val="0"/>
                <w:bCs w:val="0"/>
                <w:i/>
                <w:iCs/>
                <w:sz w:val="20"/>
                <w:szCs w:val="20"/>
              </w:rPr>
            </w:pPr>
            <w:r w:rsidRPr="00497987">
              <w:rPr>
                <w:rFonts w:eastAsiaTheme="minorEastAsia"/>
                <w:b w:val="0"/>
                <w:bCs w:val="0"/>
                <w:i/>
                <w:iCs/>
                <w:sz w:val="20"/>
                <w:szCs w:val="20"/>
              </w:rPr>
              <w:t>SDG indicators for which FAO is a contributing agency</w:t>
            </w:r>
          </w:p>
        </w:tc>
        <w:tc>
          <w:tcPr>
            <w:tcW w:w="5755" w:type="dxa"/>
            <w:tcBorders>
              <w:top w:val="single" w:sz="4" w:space="0" w:color="auto"/>
              <w:left w:val="single" w:sz="4" w:space="0" w:color="auto"/>
              <w:bottom w:val="single" w:sz="4" w:space="0" w:color="auto"/>
              <w:right w:val="single" w:sz="4" w:space="0" w:color="auto"/>
            </w:tcBorders>
          </w:tcPr>
          <w:p w14:paraId="6587492B" w14:textId="77777777" w:rsidR="0009519D" w:rsidRPr="00497987" w:rsidRDefault="0009519D" w:rsidP="005D5907">
            <w:pPr>
              <w:spacing w:before="60" w:after="60"/>
              <w:rPr>
                <w:rFonts w:ascii="Times New Roman" w:eastAsiaTheme="minorEastAsia" w:hAnsi="Times New Roman" w:cs="Times New Roman"/>
                <w:sz w:val="20"/>
                <w:szCs w:val="20"/>
              </w:rPr>
            </w:pPr>
          </w:p>
        </w:tc>
      </w:tr>
      <w:tr w:rsidR="0009519D" w:rsidRPr="00497987" w14:paraId="0BD8D6E9"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5FD59437" w14:textId="77777777" w:rsidR="0009519D" w:rsidRPr="00497987" w:rsidRDefault="0009519D" w:rsidP="005D5907">
            <w:pPr>
              <w:pStyle w:val="bodytext"/>
              <w:shd w:val="clear" w:color="auto" w:fill="FFFFFF" w:themeFill="background1"/>
              <w:spacing w:before="60" w:beforeAutospacing="0" w:after="60" w:afterAutospacing="0"/>
              <w:rPr>
                <w:rFonts w:eastAsiaTheme="minorEastAsia"/>
                <w:sz w:val="20"/>
                <w:szCs w:val="20"/>
              </w:rPr>
            </w:pPr>
            <w:r w:rsidRPr="00497987">
              <w:rPr>
                <w:rFonts w:eastAsiaTheme="minorEastAsia"/>
                <w:sz w:val="20"/>
                <w:szCs w:val="20"/>
              </w:rPr>
              <w:t>15.3.1 Land degradation</w:t>
            </w:r>
          </w:p>
        </w:tc>
        <w:tc>
          <w:tcPr>
            <w:tcW w:w="5755" w:type="dxa"/>
            <w:tcBorders>
              <w:top w:val="single" w:sz="4" w:space="0" w:color="auto"/>
              <w:left w:val="single" w:sz="4" w:space="0" w:color="auto"/>
              <w:bottom w:val="single" w:sz="4" w:space="0" w:color="auto"/>
              <w:right w:val="single" w:sz="4" w:space="0" w:color="auto"/>
            </w:tcBorders>
            <w:hideMark/>
          </w:tcPr>
          <w:p w14:paraId="59A436D8" w14:textId="343491DC"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 xml:space="preserve">Proportion of land that is degraded over total land area </w:t>
            </w:r>
            <w:r w:rsidR="004C04EB" w:rsidRPr="00497987">
              <w:rPr>
                <w:rFonts w:eastAsiaTheme="minorEastAsia"/>
                <w:color w:val="auto"/>
                <w:sz w:val="20"/>
                <w:szCs w:val="20"/>
                <w:shd w:val="clear" w:color="auto" w:fill="FFFFFF"/>
              </w:rPr>
              <w:t>(Target 5)</w:t>
            </w:r>
          </w:p>
        </w:tc>
      </w:tr>
      <w:tr w:rsidR="0009519D" w:rsidRPr="00497987" w14:paraId="0E607765"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18B96557" w14:textId="77777777" w:rsidR="0009519D" w:rsidRPr="00497987" w:rsidRDefault="0009519D" w:rsidP="005D5907">
            <w:pPr>
              <w:pStyle w:val="bodytext"/>
              <w:shd w:val="clear" w:color="auto" w:fill="FFFFFF" w:themeFill="background1"/>
              <w:spacing w:before="60" w:beforeAutospacing="0" w:after="60" w:afterAutospacing="0"/>
              <w:rPr>
                <w:rFonts w:eastAsiaTheme="minorEastAsia"/>
                <w:sz w:val="20"/>
                <w:szCs w:val="20"/>
              </w:rPr>
            </w:pPr>
            <w:r w:rsidRPr="00497987">
              <w:rPr>
                <w:rFonts w:eastAsiaTheme="minorEastAsia"/>
                <w:sz w:val="20"/>
                <w:szCs w:val="20"/>
              </w:rPr>
              <w:t>15.6.1 Frameworks for fair and equitable sharing of genetic resources’ benefits</w:t>
            </w:r>
          </w:p>
        </w:tc>
        <w:tc>
          <w:tcPr>
            <w:tcW w:w="5755" w:type="dxa"/>
            <w:tcBorders>
              <w:top w:val="single" w:sz="4" w:space="0" w:color="auto"/>
              <w:left w:val="single" w:sz="4" w:space="0" w:color="auto"/>
              <w:bottom w:val="single" w:sz="4" w:space="0" w:color="auto"/>
              <w:right w:val="single" w:sz="4" w:space="0" w:color="auto"/>
            </w:tcBorders>
            <w:hideMark/>
          </w:tcPr>
          <w:p w14:paraId="18FBC926" w14:textId="4E1C9D5C" w:rsidR="0009519D" w:rsidRPr="00497987" w:rsidRDefault="0009519D" w:rsidP="005D5907">
            <w:pPr>
              <w:pStyle w:val="Default"/>
              <w:spacing w:before="60" w:after="60"/>
              <w:rPr>
                <w:rFonts w:eastAsiaTheme="minorEastAsia"/>
                <w:color w:val="auto"/>
                <w:sz w:val="20"/>
                <w:szCs w:val="20"/>
              </w:rPr>
            </w:pPr>
            <w:r w:rsidRPr="00497987">
              <w:rPr>
                <w:rFonts w:eastAsiaTheme="minorEastAsia"/>
                <w:color w:val="auto"/>
                <w:sz w:val="20"/>
                <w:szCs w:val="20"/>
                <w:shd w:val="clear" w:color="auto" w:fill="FFFFFF"/>
              </w:rPr>
              <w:t xml:space="preserve">Number of countries that have adopted legislative, administrative and policy frameworks for the implementation of the Nagoya Protocol </w:t>
            </w:r>
            <w:r w:rsidR="004C04EB" w:rsidRPr="00497987">
              <w:rPr>
                <w:rFonts w:eastAsiaTheme="minorEastAsia"/>
                <w:color w:val="auto"/>
                <w:sz w:val="20"/>
                <w:szCs w:val="20"/>
                <w:shd w:val="clear" w:color="auto" w:fill="FFFFFF"/>
              </w:rPr>
              <w:t>(Target 16)</w:t>
            </w:r>
          </w:p>
        </w:tc>
      </w:tr>
    </w:tbl>
    <w:p w14:paraId="25D12733" w14:textId="77777777" w:rsidR="0009519D" w:rsidRPr="00471A90" w:rsidRDefault="0009519D" w:rsidP="0009519D">
      <w:pPr>
        <w:rPr>
          <w:rFonts w:ascii="Times New Roman" w:hAnsi="Times New Roman" w:cs="Times New Roman"/>
        </w:rPr>
      </w:pPr>
    </w:p>
    <w:p w14:paraId="63D98A45" w14:textId="77777777" w:rsidR="0009519D" w:rsidRPr="00CF05EB" w:rsidRDefault="0009519D" w:rsidP="0009519D">
      <w:pPr>
        <w:rPr>
          <w:rFonts w:ascii="Times New Roman" w:hAnsi="Times New Roman" w:cs="Times New Roman"/>
          <w:b/>
          <w:sz w:val="18"/>
        </w:rPr>
      </w:pPr>
      <w:r w:rsidRPr="00CF05EB">
        <w:rPr>
          <w:rFonts w:ascii="Times New Roman" w:hAnsi="Times New Roman" w:cs="Times New Roman"/>
          <w:b/>
          <w:sz w:val="18"/>
        </w:rPr>
        <w:t>Table 2: Biodiversity related SDG indicators with no corresponding specific indicators for Aichi Biodiversity Targets</w:t>
      </w:r>
    </w:p>
    <w:tbl>
      <w:tblPr>
        <w:tblStyle w:val="TableGrid"/>
        <w:tblW w:w="0" w:type="auto"/>
        <w:tblInd w:w="0" w:type="dxa"/>
        <w:tblLook w:val="04A0" w:firstRow="1" w:lastRow="0" w:firstColumn="1" w:lastColumn="0" w:noHBand="0" w:noVBand="1"/>
      </w:tblPr>
      <w:tblGrid>
        <w:gridCol w:w="3595"/>
        <w:gridCol w:w="5755"/>
      </w:tblGrid>
      <w:tr w:rsidR="0009519D" w:rsidRPr="00497987" w14:paraId="242F444F"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2B9A627E" w14:textId="77777777" w:rsidR="0009519D" w:rsidRPr="00497987" w:rsidRDefault="0009519D" w:rsidP="006C564C">
            <w:pPr>
              <w:pStyle w:val="bodytext"/>
              <w:shd w:val="clear" w:color="auto" w:fill="FFFFFF" w:themeFill="background1"/>
              <w:spacing w:before="120" w:beforeAutospacing="0" w:after="120" w:afterAutospacing="0"/>
              <w:rPr>
                <w:sz w:val="20"/>
                <w:szCs w:val="20"/>
              </w:rPr>
            </w:pPr>
            <w:r w:rsidRPr="00497987">
              <w:rPr>
                <w:sz w:val="20"/>
                <w:szCs w:val="20"/>
              </w:rPr>
              <w:t xml:space="preserve">14.7.1 Value added of sustainable fisheries </w:t>
            </w:r>
          </w:p>
          <w:p w14:paraId="5CC1450D" w14:textId="77777777" w:rsidR="0009519D" w:rsidRPr="00497987" w:rsidRDefault="0009519D" w:rsidP="006C564C">
            <w:pPr>
              <w:pStyle w:val="bodytext"/>
              <w:shd w:val="clear" w:color="auto" w:fill="FFFFFF" w:themeFill="background1"/>
              <w:spacing w:before="120" w:beforeAutospacing="0" w:after="120" w:afterAutospacing="0"/>
              <w:rPr>
                <w:sz w:val="20"/>
                <w:szCs w:val="20"/>
              </w:rPr>
            </w:pPr>
            <w:r w:rsidRPr="00497987">
              <w:rPr>
                <w:sz w:val="20"/>
                <w:szCs w:val="20"/>
              </w:rPr>
              <w:t>(FAO is custodian agency)</w:t>
            </w:r>
          </w:p>
        </w:tc>
        <w:tc>
          <w:tcPr>
            <w:tcW w:w="5755" w:type="dxa"/>
            <w:tcBorders>
              <w:top w:val="single" w:sz="4" w:space="0" w:color="auto"/>
              <w:left w:val="single" w:sz="4" w:space="0" w:color="auto"/>
              <w:bottom w:val="single" w:sz="4" w:space="0" w:color="auto"/>
              <w:right w:val="single" w:sz="4" w:space="0" w:color="auto"/>
            </w:tcBorders>
            <w:hideMark/>
          </w:tcPr>
          <w:p w14:paraId="7D82F649" w14:textId="77777777" w:rsidR="0009519D" w:rsidRPr="00497987" w:rsidRDefault="0009519D" w:rsidP="006C564C">
            <w:pPr>
              <w:spacing w:before="120" w:after="120"/>
              <w:rPr>
                <w:rFonts w:ascii="Times New Roman" w:hAnsi="Times New Roman" w:cs="Times New Roman"/>
                <w:sz w:val="20"/>
                <w:szCs w:val="20"/>
                <w:shd w:val="clear" w:color="auto" w:fill="FFFFFF"/>
              </w:rPr>
            </w:pPr>
            <w:r w:rsidRPr="00497987">
              <w:rPr>
                <w:rFonts w:ascii="Times New Roman" w:hAnsi="Times New Roman" w:cs="Times New Roman"/>
                <w:sz w:val="20"/>
                <w:szCs w:val="20"/>
                <w:shd w:val="clear" w:color="auto" w:fill="FFFFFF"/>
              </w:rPr>
              <w:t xml:space="preserve">Relevant to Target 6, but no such indicator </w:t>
            </w:r>
          </w:p>
        </w:tc>
      </w:tr>
      <w:tr w:rsidR="0009519D" w:rsidRPr="00497987" w14:paraId="25EB1272" w14:textId="77777777" w:rsidTr="006C564C">
        <w:tc>
          <w:tcPr>
            <w:tcW w:w="3595" w:type="dxa"/>
            <w:tcBorders>
              <w:top w:val="single" w:sz="4" w:space="0" w:color="auto"/>
              <w:left w:val="single" w:sz="4" w:space="0" w:color="auto"/>
              <w:bottom w:val="single" w:sz="4" w:space="0" w:color="auto"/>
              <w:right w:val="single" w:sz="4" w:space="0" w:color="auto"/>
            </w:tcBorders>
            <w:hideMark/>
          </w:tcPr>
          <w:p w14:paraId="445C52DB" w14:textId="77777777" w:rsidR="0009519D" w:rsidRPr="00497987" w:rsidRDefault="0009519D" w:rsidP="006C564C">
            <w:pPr>
              <w:spacing w:before="120" w:after="120"/>
              <w:rPr>
                <w:rFonts w:ascii="Times New Roman" w:hAnsi="Times New Roman" w:cs="Times New Roman"/>
                <w:sz w:val="20"/>
                <w:szCs w:val="20"/>
                <w:shd w:val="clear" w:color="auto" w:fill="FFFFFF"/>
              </w:rPr>
            </w:pPr>
            <w:r w:rsidRPr="00497987">
              <w:rPr>
                <w:rFonts w:ascii="Times New Roman" w:hAnsi="Times New Roman" w:cs="Times New Roman"/>
                <w:sz w:val="20"/>
                <w:szCs w:val="20"/>
                <w:shd w:val="clear" w:color="auto" w:fill="FFFFFF"/>
              </w:rPr>
              <w:t xml:space="preserve">14.c.1 Frameworks for conservation and sustainable use of oceans’ resources </w:t>
            </w:r>
          </w:p>
          <w:p w14:paraId="24E37254" w14:textId="77777777" w:rsidR="0009519D" w:rsidRPr="00497987" w:rsidRDefault="0009519D" w:rsidP="006C564C">
            <w:pPr>
              <w:spacing w:before="120" w:after="120"/>
              <w:rPr>
                <w:rFonts w:ascii="Times New Roman" w:hAnsi="Times New Roman" w:cs="Times New Roman"/>
                <w:sz w:val="20"/>
                <w:szCs w:val="20"/>
              </w:rPr>
            </w:pPr>
            <w:r w:rsidRPr="00497987">
              <w:rPr>
                <w:rFonts w:ascii="Times New Roman" w:hAnsi="Times New Roman" w:cs="Times New Roman"/>
                <w:sz w:val="20"/>
                <w:szCs w:val="20"/>
                <w:shd w:val="clear" w:color="auto" w:fill="FFFFFF"/>
              </w:rPr>
              <w:t>(FAO is contributing agency)</w:t>
            </w:r>
          </w:p>
        </w:tc>
        <w:tc>
          <w:tcPr>
            <w:tcW w:w="5755" w:type="dxa"/>
            <w:tcBorders>
              <w:top w:val="single" w:sz="4" w:space="0" w:color="auto"/>
              <w:left w:val="single" w:sz="4" w:space="0" w:color="auto"/>
              <w:bottom w:val="single" w:sz="4" w:space="0" w:color="auto"/>
              <w:right w:val="single" w:sz="4" w:space="0" w:color="auto"/>
            </w:tcBorders>
            <w:hideMark/>
          </w:tcPr>
          <w:p w14:paraId="44A5C107" w14:textId="77777777" w:rsidR="0009519D" w:rsidRPr="00497987" w:rsidRDefault="0009519D" w:rsidP="006C564C">
            <w:pPr>
              <w:spacing w:before="120" w:after="120"/>
              <w:rPr>
                <w:rFonts w:ascii="Times New Roman" w:hAnsi="Times New Roman" w:cs="Times New Roman"/>
                <w:sz w:val="20"/>
                <w:szCs w:val="20"/>
                <w:shd w:val="clear" w:color="auto" w:fill="FFFFFF"/>
              </w:rPr>
            </w:pPr>
            <w:r w:rsidRPr="00497987">
              <w:rPr>
                <w:rFonts w:ascii="Times New Roman" w:hAnsi="Times New Roman" w:cs="Times New Roman"/>
                <w:sz w:val="20"/>
                <w:szCs w:val="20"/>
                <w:shd w:val="clear" w:color="auto" w:fill="FFFFFF"/>
              </w:rPr>
              <w:t>Relevant to Target 6, but no such indicator</w:t>
            </w:r>
          </w:p>
        </w:tc>
      </w:tr>
    </w:tbl>
    <w:p w14:paraId="66171F1D" w14:textId="50507127" w:rsidR="0009519D" w:rsidRPr="005333CE" w:rsidRDefault="0009519D" w:rsidP="00DD1D7E">
      <w:pPr>
        <w:jc w:val="both"/>
        <w:rPr>
          <w:rFonts w:ascii="Times New Roman" w:hAnsi="Times New Roman" w:cs="Times New Roman"/>
          <w:szCs w:val="24"/>
        </w:rPr>
      </w:pPr>
    </w:p>
    <w:p w14:paraId="28978F06" w14:textId="1EE992B5" w:rsidR="00253D35" w:rsidRPr="005333CE" w:rsidRDefault="00253D35" w:rsidP="00DD1D7E">
      <w:pPr>
        <w:spacing w:before="120" w:after="120" w:line="240" w:lineRule="auto"/>
        <w:jc w:val="both"/>
        <w:rPr>
          <w:rFonts w:ascii="Times New Roman" w:hAnsi="Times New Roman" w:cs="Times New Roman"/>
          <w:szCs w:val="24"/>
          <w:shd w:val="clear" w:color="auto" w:fill="FFFFFF"/>
        </w:rPr>
      </w:pPr>
      <w:r w:rsidRPr="005333CE">
        <w:rPr>
          <w:rFonts w:ascii="Times New Roman" w:hAnsi="Times New Roman" w:cs="Times New Roman"/>
          <w:szCs w:val="24"/>
          <w:shd w:val="clear" w:color="auto" w:fill="FFFFFF"/>
        </w:rPr>
        <w:t xml:space="preserve">In terms of the way forward </w:t>
      </w:r>
      <w:r w:rsidR="000E2B25">
        <w:rPr>
          <w:rFonts w:ascii="Times New Roman" w:hAnsi="Times New Roman" w:cs="Times New Roman"/>
          <w:szCs w:val="24"/>
          <w:shd w:val="clear" w:color="auto" w:fill="FFFFFF"/>
        </w:rPr>
        <w:t xml:space="preserve">on indicators </w:t>
      </w:r>
      <w:r w:rsidRPr="005333CE">
        <w:rPr>
          <w:rFonts w:ascii="Times New Roman" w:hAnsi="Times New Roman" w:cs="Times New Roman"/>
          <w:szCs w:val="24"/>
          <w:shd w:val="clear" w:color="auto" w:fill="FFFFFF"/>
        </w:rPr>
        <w:t>for the post-2020 global biodiversity framework:</w:t>
      </w:r>
    </w:p>
    <w:p w14:paraId="5956AADA" w14:textId="3A5A0CB7" w:rsidR="005D3781" w:rsidRDefault="004466E4" w:rsidP="00C24A13">
      <w:pPr>
        <w:pStyle w:val="ListParagraph"/>
        <w:numPr>
          <w:ilvl w:val="0"/>
          <w:numId w:val="3"/>
        </w:numPr>
        <w:spacing w:before="120" w:after="120" w:line="240" w:lineRule="auto"/>
        <w:contextualSpacing w:val="0"/>
        <w:jc w:val="both"/>
        <w:rPr>
          <w:rFonts w:ascii="Times New Roman" w:hAnsi="Times New Roman" w:cs="Times New Roman"/>
          <w:szCs w:val="24"/>
        </w:rPr>
      </w:pPr>
      <w:r>
        <w:rPr>
          <w:rFonts w:ascii="Times New Roman" w:hAnsi="Times New Roman" w:cs="Times New Roman"/>
          <w:szCs w:val="24"/>
        </w:rPr>
        <w:t>FAO’s</w:t>
      </w:r>
      <w:r w:rsidR="005D3781" w:rsidRPr="005333CE">
        <w:rPr>
          <w:rFonts w:ascii="Times New Roman" w:hAnsi="Times New Roman" w:cs="Times New Roman"/>
          <w:szCs w:val="24"/>
        </w:rPr>
        <w:t xml:space="preserve"> recently published </w:t>
      </w:r>
      <w:r w:rsidR="005D3781" w:rsidRPr="004466E4">
        <w:rPr>
          <w:rFonts w:ascii="Times New Roman" w:hAnsi="Times New Roman" w:cs="Times New Roman"/>
          <w:i/>
          <w:szCs w:val="24"/>
        </w:rPr>
        <w:t>State of the World’s Biodiversity for Food and Agriculture</w:t>
      </w:r>
      <w:r w:rsidR="005D3781" w:rsidRPr="005333CE">
        <w:rPr>
          <w:rFonts w:ascii="Times New Roman" w:hAnsi="Times New Roman" w:cs="Times New Roman"/>
          <w:szCs w:val="24"/>
        </w:rPr>
        <w:t>,</w:t>
      </w:r>
      <w:r w:rsidR="005D3781" w:rsidRPr="005333CE">
        <w:rPr>
          <w:rFonts w:ascii="Times New Roman" w:hAnsi="Times New Roman" w:cs="Times New Roman"/>
          <w:szCs w:val="24"/>
          <w:vertAlign w:val="superscript"/>
        </w:rPr>
        <w:footnoteReference w:id="13"/>
      </w:r>
      <w:r w:rsidR="005D3781" w:rsidRPr="005333CE">
        <w:rPr>
          <w:rFonts w:ascii="Times New Roman" w:hAnsi="Times New Roman" w:cs="Times New Roman"/>
          <w:szCs w:val="24"/>
          <w:vertAlign w:val="superscript"/>
        </w:rPr>
        <w:t xml:space="preserve"> </w:t>
      </w:r>
      <w:r w:rsidR="005D3781" w:rsidRPr="005333CE">
        <w:rPr>
          <w:rFonts w:ascii="Times New Roman" w:hAnsi="Times New Roman" w:cs="Times New Roman"/>
          <w:szCs w:val="24"/>
        </w:rPr>
        <w:t xml:space="preserve">provides an important source of data on biodiversity for food and agriculture. Ninety-one countries prepared and submitted reports on the state of their biodiversity for food and agriculture and its management, focusing particularly on associated biodiversity and its role in the supply of supporting and regulating ecosystem services and on wild species that are sources of food. </w:t>
      </w:r>
    </w:p>
    <w:p w14:paraId="6CE54695" w14:textId="334278CD" w:rsidR="003C4404" w:rsidRPr="005333CE" w:rsidRDefault="008D71CC" w:rsidP="00C24A13">
      <w:pPr>
        <w:pStyle w:val="ListParagraph"/>
        <w:numPr>
          <w:ilvl w:val="0"/>
          <w:numId w:val="3"/>
        </w:numPr>
        <w:spacing w:before="120" w:after="120" w:line="240" w:lineRule="auto"/>
        <w:contextualSpacing w:val="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Given the important impacts of crop production on biodiversity, FAO would like to draw the attention of the CBD to the </w:t>
      </w:r>
      <w:r w:rsidR="00C24A13" w:rsidRPr="005333CE">
        <w:rPr>
          <w:rFonts w:ascii="Times New Roman" w:hAnsi="Times New Roman" w:cs="Times New Roman"/>
          <w:szCs w:val="24"/>
          <w:shd w:val="clear" w:color="auto" w:fill="FFFFFF"/>
        </w:rPr>
        <w:t xml:space="preserve">newly approved methodological guidance for the indicator on </w:t>
      </w:r>
      <w:r w:rsidR="000E3CF5" w:rsidRPr="005333CE">
        <w:rPr>
          <w:rFonts w:ascii="Times New Roman" w:hAnsi="Times New Roman" w:cs="Times New Roman"/>
          <w:szCs w:val="24"/>
          <w:shd w:val="clear" w:color="auto" w:fill="FFFFFF"/>
        </w:rPr>
        <w:t xml:space="preserve">SDG 2.4.1 </w:t>
      </w:r>
      <w:r w:rsidR="00C24A13" w:rsidRPr="005333CE">
        <w:rPr>
          <w:rFonts w:ascii="Times New Roman" w:hAnsi="Times New Roman" w:cs="Times New Roman"/>
          <w:szCs w:val="24"/>
          <w:shd w:val="clear" w:color="auto" w:fill="FFFFFF"/>
        </w:rPr>
        <w:t>(proportion of agricultural area under productive and sustainable agriculture) provides clear guidance on monitoring sustainable agriculture</w:t>
      </w:r>
      <w:r w:rsidR="000E3CF5" w:rsidRPr="005333CE">
        <w:rPr>
          <w:rFonts w:ascii="Times New Roman" w:hAnsi="Times New Roman" w:cs="Times New Roman"/>
          <w:szCs w:val="24"/>
          <w:shd w:val="clear" w:color="auto" w:fill="FFFFFF"/>
        </w:rPr>
        <w:t>.</w:t>
      </w:r>
      <w:r w:rsidR="003C4404" w:rsidRPr="005333CE">
        <w:rPr>
          <w:rStyle w:val="FootnoteReference"/>
          <w:rFonts w:ascii="Times New Roman" w:hAnsi="Times New Roman" w:cs="Times New Roman"/>
          <w:szCs w:val="24"/>
          <w:shd w:val="clear" w:color="auto" w:fill="FFFFFF"/>
        </w:rPr>
        <w:footnoteReference w:id="14"/>
      </w:r>
      <w:r w:rsidR="00C24A13" w:rsidRPr="005333CE">
        <w:rPr>
          <w:rFonts w:ascii="Times New Roman" w:hAnsi="Times New Roman" w:cs="Times New Roman"/>
          <w:szCs w:val="24"/>
          <w:shd w:val="clear" w:color="auto" w:fill="FFFFFF"/>
        </w:rPr>
        <w:t xml:space="preserve"> </w:t>
      </w:r>
      <w:r w:rsidR="003C4404" w:rsidRPr="005333CE">
        <w:rPr>
          <w:rFonts w:ascii="Times New Roman" w:hAnsi="Times New Roman" w:cs="Times New Roman"/>
          <w:szCs w:val="24"/>
          <w:shd w:val="clear" w:color="auto" w:fill="FFFFFF"/>
        </w:rPr>
        <w:t>The methodology inclu</w:t>
      </w:r>
      <w:r w:rsidR="00C24A13" w:rsidRPr="005333CE">
        <w:rPr>
          <w:rFonts w:ascii="Times New Roman" w:hAnsi="Times New Roman" w:cs="Times New Roman"/>
          <w:szCs w:val="24"/>
          <w:shd w:val="clear" w:color="auto" w:fill="FFFFFF"/>
        </w:rPr>
        <w:t xml:space="preserve">des biodiversity </w:t>
      </w:r>
      <w:r w:rsidR="000D3579" w:rsidRPr="005333CE">
        <w:rPr>
          <w:rFonts w:ascii="Times New Roman" w:hAnsi="Times New Roman" w:cs="Times New Roman"/>
          <w:szCs w:val="24"/>
          <w:shd w:val="clear" w:color="auto" w:fill="FFFFFF"/>
        </w:rPr>
        <w:t>as one 11 core sustainability themes across the three dimensions of sustainability</w:t>
      </w:r>
      <w:r w:rsidR="00C24A13" w:rsidRPr="005333CE">
        <w:rPr>
          <w:rFonts w:ascii="Times New Roman" w:hAnsi="Times New Roman" w:cs="Times New Roman"/>
          <w:szCs w:val="24"/>
          <w:shd w:val="clear" w:color="auto" w:fill="FFFFFF"/>
        </w:rPr>
        <w:t>.</w:t>
      </w:r>
      <w:r w:rsidR="003C4404" w:rsidRPr="005333CE">
        <w:rPr>
          <w:rStyle w:val="FootnoteReference"/>
          <w:rFonts w:ascii="Times New Roman" w:hAnsi="Times New Roman" w:cs="Times New Roman"/>
          <w:szCs w:val="24"/>
          <w:shd w:val="clear" w:color="auto" w:fill="FFFFFF"/>
        </w:rPr>
        <w:footnoteReference w:id="15"/>
      </w:r>
      <w:r w:rsidR="000D3579" w:rsidRPr="005333CE">
        <w:rPr>
          <w:rFonts w:ascii="Times New Roman" w:hAnsi="Times New Roman" w:cs="Times New Roman"/>
          <w:szCs w:val="24"/>
          <w:shd w:val="clear" w:color="auto" w:fill="FFFFFF"/>
        </w:rPr>
        <w:t xml:space="preserve"> The biodiversity theme is measured through a sub-indicator on use of biodiversity-friendly practices. Other themes are relevant to biodiversity, including management of fertilizers and pesticides and prevalence of soil degradation.</w:t>
      </w:r>
    </w:p>
    <w:p w14:paraId="5CF2DFD4" w14:textId="6B8FF291" w:rsidR="00C24A13" w:rsidRPr="005333CE" w:rsidRDefault="00F91F3A" w:rsidP="00C24A13">
      <w:pPr>
        <w:pStyle w:val="ListParagraph"/>
        <w:numPr>
          <w:ilvl w:val="0"/>
          <w:numId w:val="3"/>
        </w:numPr>
        <w:spacing w:before="120" w:after="120" w:line="240" w:lineRule="auto"/>
        <w:contextualSpacing w:val="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As mentioned above, biodiversity mainstreaming across the agricultural sectors is an essential part of achieving the 2050 Vision. To support the 2030 Agenda for Sustainable Development, FAO stands ready to develop indicators on biodiversity mainstreaming across the agricultural sectors.</w:t>
      </w:r>
    </w:p>
    <w:p w14:paraId="6C81C2F8" w14:textId="34F465F7" w:rsidR="005E6A9C" w:rsidRPr="005333CE" w:rsidRDefault="005E6A9C" w:rsidP="005E6A9C">
      <w:pPr>
        <w:spacing w:before="240"/>
        <w:rPr>
          <w:rFonts w:ascii="Times New Roman" w:hAnsi="Times New Roman" w:cs="Times New Roman"/>
          <w:b/>
          <w:bCs/>
          <w:sz w:val="24"/>
        </w:rPr>
      </w:pPr>
      <w:r w:rsidRPr="005333CE">
        <w:rPr>
          <w:rFonts w:ascii="Times New Roman" w:hAnsi="Times New Roman" w:cs="Times New Roman"/>
          <w:b/>
          <w:bCs/>
          <w:sz w:val="24"/>
        </w:rPr>
        <w:t>Implementation and NBSAPs</w:t>
      </w:r>
      <w:r w:rsidR="00F91F3A">
        <w:rPr>
          <w:rFonts w:ascii="Times New Roman" w:hAnsi="Times New Roman" w:cs="Times New Roman"/>
          <w:bCs/>
          <w:sz w:val="24"/>
        </w:rPr>
        <w:t xml:space="preserve"> (Section L</w:t>
      </w:r>
      <w:r w:rsidR="007A0FE0" w:rsidRPr="005333CE">
        <w:rPr>
          <w:rFonts w:ascii="Times New Roman" w:hAnsi="Times New Roman" w:cs="Times New Roman"/>
          <w:bCs/>
          <w:sz w:val="24"/>
        </w:rPr>
        <w:t xml:space="preserve"> – Paragraph 21)</w:t>
      </w:r>
      <w:r w:rsidR="007A0FE0" w:rsidRPr="005333CE">
        <w:rPr>
          <w:rFonts w:ascii="Times New Roman" w:hAnsi="Times New Roman" w:cs="Times New Roman"/>
          <w:b/>
          <w:bCs/>
          <w:sz w:val="24"/>
        </w:rPr>
        <w:t xml:space="preserve"> </w:t>
      </w:r>
    </w:p>
    <w:p w14:paraId="4921A711" w14:textId="61E57D99" w:rsidR="005E6A9C" w:rsidRPr="005333CE" w:rsidRDefault="005E6A9C" w:rsidP="00927E3C">
      <w:pPr>
        <w:spacing w:before="120" w:after="120" w:line="240" w:lineRule="auto"/>
        <w:jc w:val="both"/>
        <w:rPr>
          <w:rFonts w:ascii="Times New Roman" w:hAnsi="Times New Roman" w:cs="Times New Roman"/>
          <w:szCs w:val="24"/>
          <w:shd w:val="clear" w:color="auto" w:fill="FFFFFF"/>
        </w:rPr>
      </w:pPr>
      <w:r w:rsidRPr="005333CE">
        <w:rPr>
          <w:rFonts w:ascii="Times New Roman" w:hAnsi="Times New Roman" w:cs="Times New Roman"/>
          <w:szCs w:val="24"/>
          <w:shd w:val="clear" w:color="auto" w:fill="FFFFFF"/>
        </w:rPr>
        <w:t>Given the important role of agriculture sectors for the future of biodiversity, biodiversity mainstreaming across the agricultural sectors, and their integrations into the NBSAPs, would greatly enhance the effectiveness of NBSAPs.</w:t>
      </w:r>
      <w:r w:rsidR="006F5A04" w:rsidRPr="005333CE">
        <w:rPr>
          <w:rFonts w:ascii="Times New Roman" w:hAnsi="Times New Roman" w:cs="Times New Roman"/>
          <w:szCs w:val="24"/>
          <w:shd w:val="clear" w:color="auto" w:fill="FFFFFF"/>
        </w:rPr>
        <w:t xml:space="preserve"> </w:t>
      </w:r>
      <w:r w:rsidR="00410050">
        <w:rPr>
          <w:rFonts w:ascii="Times New Roman" w:hAnsi="Times New Roman" w:cs="Times New Roman"/>
          <w:szCs w:val="24"/>
          <w:shd w:val="clear" w:color="auto" w:fill="FFFFFF"/>
        </w:rPr>
        <w:t xml:space="preserve">For example, it would be highly relevant to engage National Plant Protection Organizations in their development and implementation. </w:t>
      </w:r>
      <w:r w:rsidR="00CF05EB">
        <w:rPr>
          <w:rFonts w:ascii="Times New Roman" w:hAnsi="Times New Roman" w:cs="Times New Roman"/>
          <w:szCs w:val="24"/>
          <w:shd w:val="clear" w:color="auto" w:fill="FFFFFF"/>
        </w:rPr>
        <w:t xml:space="preserve">The process of developing and implementing the NBSAPs should be </w:t>
      </w:r>
      <w:r w:rsidR="00CF05EB" w:rsidRPr="00CF05EB">
        <w:rPr>
          <w:rFonts w:ascii="Times New Roman" w:hAnsi="Times New Roman" w:cs="Times New Roman"/>
          <w:szCs w:val="24"/>
          <w:shd w:val="clear" w:color="auto" w:fill="FFFFFF"/>
        </w:rPr>
        <w:t xml:space="preserve">inclusive of a variety of partners and related country initiatives beyond conservation </w:t>
      </w:r>
      <w:r w:rsidR="00CF05EB">
        <w:rPr>
          <w:rFonts w:ascii="Times New Roman" w:hAnsi="Times New Roman" w:cs="Times New Roman"/>
          <w:szCs w:val="24"/>
          <w:shd w:val="clear" w:color="auto" w:fill="FFFFFF"/>
        </w:rPr>
        <w:t>actors</w:t>
      </w:r>
      <w:r w:rsidR="00CF05EB" w:rsidRPr="00CF05EB">
        <w:rPr>
          <w:rFonts w:ascii="Times New Roman" w:hAnsi="Times New Roman" w:cs="Times New Roman"/>
          <w:szCs w:val="24"/>
          <w:shd w:val="clear" w:color="auto" w:fill="FFFFFF"/>
        </w:rPr>
        <w:t>.</w:t>
      </w:r>
      <w:r w:rsidR="00410050">
        <w:rPr>
          <w:rFonts w:ascii="Times New Roman" w:hAnsi="Times New Roman" w:cs="Times New Roman"/>
          <w:szCs w:val="24"/>
          <w:shd w:val="clear" w:color="auto" w:fill="FFFFFF"/>
        </w:rPr>
        <w:t xml:space="preserve"> </w:t>
      </w:r>
      <w:r w:rsidR="00410050" w:rsidRPr="005333CE">
        <w:rPr>
          <w:rFonts w:ascii="Times New Roman" w:hAnsi="Times New Roman" w:cs="Times New Roman"/>
          <w:szCs w:val="24"/>
          <w:shd w:val="clear" w:color="auto" w:fill="FFFFFF"/>
        </w:rPr>
        <w:t>Valuable experiences from integrating agriculture sectors into the National Adaptation Plans (NAPs) to address climate change can be capitalized upon.</w:t>
      </w:r>
      <w:r w:rsidR="00410050" w:rsidRPr="005333CE">
        <w:rPr>
          <w:rStyle w:val="FootnoteReference"/>
          <w:rFonts w:ascii="Times New Roman" w:hAnsi="Times New Roman" w:cs="Times New Roman"/>
          <w:szCs w:val="24"/>
          <w:shd w:val="clear" w:color="auto" w:fill="FFFFFF"/>
        </w:rPr>
        <w:footnoteReference w:id="16"/>
      </w:r>
      <w:r w:rsidR="00410050" w:rsidRPr="005333CE">
        <w:rPr>
          <w:rFonts w:ascii="Times New Roman" w:hAnsi="Times New Roman" w:cs="Times New Roman"/>
          <w:szCs w:val="24"/>
          <w:shd w:val="clear" w:color="auto" w:fill="FFFFFF"/>
        </w:rPr>
        <w:t xml:space="preserve">  </w:t>
      </w:r>
    </w:p>
    <w:p w14:paraId="6C3F78F4" w14:textId="1D5F8875" w:rsidR="00F91F3A" w:rsidRPr="005333CE" w:rsidRDefault="00F91F3A" w:rsidP="00F91F3A">
      <w:pPr>
        <w:spacing w:before="240"/>
        <w:rPr>
          <w:rFonts w:ascii="Times New Roman" w:hAnsi="Times New Roman" w:cs="Times New Roman"/>
          <w:b/>
          <w:bCs/>
          <w:sz w:val="24"/>
        </w:rPr>
      </w:pPr>
      <w:r>
        <w:rPr>
          <w:rFonts w:ascii="Times New Roman" w:hAnsi="Times New Roman" w:cs="Times New Roman"/>
          <w:b/>
          <w:bCs/>
          <w:sz w:val="24"/>
        </w:rPr>
        <w:lastRenderedPageBreak/>
        <w:t xml:space="preserve">Resource mobilization </w:t>
      </w:r>
      <w:r>
        <w:rPr>
          <w:rFonts w:ascii="Times New Roman" w:hAnsi="Times New Roman" w:cs="Times New Roman"/>
          <w:bCs/>
          <w:sz w:val="24"/>
        </w:rPr>
        <w:t>(Section M</w:t>
      </w:r>
      <w:r w:rsidRPr="005333CE">
        <w:rPr>
          <w:rFonts w:ascii="Times New Roman" w:hAnsi="Times New Roman" w:cs="Times New Roman"/>
          <w:bCs/>
          <w:sz w:val="24"/>
        </w:rPr>
        <w:t xml:space="preserve"> – Paragraph</w:t>
      </w:r>
      <w:r>
        <w:rPr>
          <w:rFonts w:ascii="Times New Roman" w:hAnsi="Times New Roman" w:cs="Times New Roman"/>
          <w:bCs/>
          <w:sz w:val="24"/>
        </w:rPr>
        <w:t xml:space="preserve"> 22</w:t>
      </w:r>
      <w:r w:rsidRPr="005333CE">
        <w:rPr>
          <w:rFonts w:ascii="Times New Roman" w:hAnsi="Times New Roman" w:cs="Times New Roman"/>
          <w:bCs/>
          <w:sz w:val="24"/>
        </w:rPr>
        <w:t>)</w:t>
      </w:r>
    </w:p>
    <w:p w14:paraId="74311B32" w14:textId="75441EB4" w:rsidR="00F91F3A" w:rsidRPr="00F91F3A" w:rsidRDefault="00F91F3A" w:rsidP="00980DFF">
      <w:pPr>
        <w:spacing w:before="240"/>
        <w:rPr>
          <w:rFonts w:ascii="Times New Roman" w:hAnsi="Times New Roman" w:cs="Times New Roman"/>
          <w:szCs w:val="24"/>
          <w:shd w:val="clear" w:color="auto" w:fill="FFFFFF"/>
        </w:rPr>
      </w:pPr>
      <w:r w:rsidRPr="00F91F3A">
        <w:rPr>
          <w:rFonts w:ascii="Times New Roman" w:hAnsi="Times New Roman" w:cs="Times New Roman"/>
          <w:szCs w:val="24"/>
          <w:shd w:val="clear" w:color="auto" w:fill="FFFFFF"/>
        </w:rPr>
        <w:t xml:space="preserve">The post-2020 global biodiversity framework could address resource mobilization by </w:t>
      </w:r>
      <w:r>
        <w:rPr>
          <w:rFonts w:ascii="Times New Roman" w:hAnsi="Times New Roman" w:cs="Times New Roman"/>
          <w:szCs w:val="24"/>
          <w:shd w:val="clear" w:color="auto" w:fill="FFFFFF"/>
        </w:rPr>
        <w:t>promoting the role of the private sector and innovative financial models, such as blended finance.</w:t>
      </w:r>
    </w:p>
    <w:p w14:paraId="2B13247F" w14:textId="2E00EA81" w:rsidR="00980DFF" w:rsidRPr="005333CE" w:rsidRDefault="00980DFF" w:rsidP="00980DFF">
      <w:pPr>
        <w:spacing w:before="240"/>
        <w:rPr>
          <w:rFonts w:ascii="Times New Roman" w:hAnsi="Times New Roman" w:cs="Times New Roman"/>
          <w:b/>
          <w:bCs/>
          <w:sz w:val="24"/>
        </w:rPr>
      </w:pPr>
      <w:r w:rsidRPr="005333CE">
        <w:rPr>
          <w:rFonts w:ascii="Times New Roman" w:hAnsi="Times New Roman" w:cs="Times New Roman"/>
          <w:b/>
          <w:bCs/>
          <w:sz w:val="24"/>
        </w:rPr>
        <w:t>Integrating diverse perspectives</w:t>
      </w:r>
      <w:r w:rsidR="007A0FE0" w:rsidRPr="005333CE">
        <w:rPr>
          <w:rFonts w:ascii="Times New Roman" w:hAnsi="Times New Roman" w:cs="Times New Roman"/>
          <w:b/>
          <w:bCs/>
          <w:sz w:val="24"/>
        </w:rPr>
        <w:t xml:space="preserve"> </w:t>
      </w:r>
      <w:r w:rsidR="007A0FE0" w:rsidRPr="005333CE">
        <w:rPr>
          <w:rFonts w:ascii="Times New Roman" w:hAnsi="Times New Roman" w:cs="Times New Roman"/>
          <w:bCs/>
          <w:sz w:val="24"/>
        </w:rPr>
        <w:t>(Section Q – Paragraphs 27 (a) and (b))</w:t>
      </w:r>
    </w:p>
    <w:p w14:paraId="186BF681" w14:textId="020AC638" w:rsidR="0068369C" w:rsidRPr="005333CE" w:rsidRDefault="008D71CC" w:rsidP="0068369C">
      <w:pPr>
        <w:spacing w:before="240"/>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FAO supports the “whole of society approach” mentioned in the discussion paper. </w:t>
      </w:r>
      <w:r w:rsidR="00CF05EB">
        <w:rPr>
          <w:rFonts w:ascii="Times New Roman" w:hAnsi="Times New Roman" w:cs="Times New Roman"/>
          <w:szCs w:val="24"/>
          <w:shd w:val="clear" w:color="auto" w:fill="FFFFFF"/>
        </w:rPr>
        <w:t>As mentioned above, it is important to be inclusive of a variety of partners beyond conservation actors. Many important actors have been mentioned in the discussion paper and in addition to those mentioned, it is worth highlighting that the essential role of s</w:t>
      </w:r>
      <w:r w:rsidR="0068369C" w:rsidRPr="005333CE">
        <w:rPr>
          <w:rFonts w:ascii="Times New Roman" w:hAnsi="Times New Roman" w:cs="Times New Roman"/>
          <w:szCs w:val="24"/>
          <w:shd w:val="clear" w:color="auto" w:fill="FFFFFF"/>
        </w:rPr>
        <w:t xml:space="preserve">mallholders, including farmers, pastoralists, fisher-folk, forest dwellers and indigenous peoples, </w:t>
      </w:r>
      <w:r w:rsidR="00CF05EB">
        <w:rPr>
          <w:rFonts w:ascii="Times New Roman" w:hAnsi="Times New Roman" w:cs="Times New Roman"/>
          <w:szCs w:val="24"/>
          <w:shd w:val="clear" w:color="auto" w:fill="FFFFFF"/>
        </w:rPr>
        <w:t xml:space="preserve">who </w:t>
      </w:r>
      <w:r w:rsidR="0068369C" w:rsidRPr="005333CE">
        <w:rPr>
          <w:rFonts w:ascii="Times New Roman" w:hAnsi="Times New Roman" w:cs="Times New Roman"/>
          <w:szCs w:val="24"/>
          <w:shd w:val="clear" w:color="auto" w:fill="FFFFFF"/>
        </w:rPr>
        <w:t>are the custodians of biodiversity for food and agriculture</w:t>
      </w:r>
      <w:r w:rsidR="00CF05EB">
        <w:rPr>
          <w:rFonts w:ascii="Times New Roman" w:hAnsi="Times New Roman" w:cs="Times New Roman"/>
          <w:szCs w:val="24"/>
          <w:shd w:val="clear" w:color="auto" w:fill="FFFFFF"/>
        </w:rPr>
        <w:t>. T</w:t>
      </w:r>
      <w:r w:rsidR="0068369C" w:rsidRPr="005333CE">
        <w:rPr>
          <w:rFonts w:ascii="Times New Roman" w:hAnsi="Times New Roman" w:cs="Times New Roman"/>
          <w:szCs w:val="24"/>
          <w:shd w:val="clear" w:color="auto" w:fill="FFFFFF"/>
        </w:rPr>
        <w:t xml:space="preserve">heir meaningful participation is essential for ensuring the development of a post-2020 global biodiversity framework that has positive outcomes regarding food security and nutrition, and livelihoods, for present and future generations. In most societies, women and men producers have differentiated knowledge and roles with respect to biodiversity. Consequently, the participation of women </w:t>
      </w:r>
      <w:r w:rsidR="00CF05EB">
        <w:rPr>
          <w:rFonts w:ascii="Times New Roman" w:hAnsi="Times New Roman" w:cs="Times New Roman"/>
          <w:szCs w:val="24"/>
          <w:shd w:val="clear" w:color="auto" w:fill="FFFFFF"/>
        </w:rPr>
        <w:t xml:space="preserve">producers </w:t>
      </w:r>
      <w:r w:rsidR="0068369C" w:rsidRPr="005333CE">
        <w:rPr>
          <w:rFonts w:ascii="Times New Roman" w:hAnsi="Times New Roman" w:cs="Times New Roman"/>
          <w:szCs w:val="24"/>
          <w:shd w:val="clear" w:color="auto" w:fill="FFFFFF"/>
        </w:rPr>
        <w:t xml:space="preserve">is </w:t>
      </w:r>
      <w:r w:rsidR="00843177">
        <w:rPr>
          <w:rFonts w:ascii="Times New Roman" w:hAnsi="Times New Roman" w:cs="Times New Roman"/>
          <w:szCs w:val="24"/>
          <w:shd w:val="clear" w:color="auto" w:fill="FFFFFF"/>
        </w:rPr>
        <w:t xml:space="preserve">also </w:t>
      </w:r>
      <w:r w:rsidR="00F256CE">
        <w:rPr>
          <w:rFonts w:ascii="Times New Roman" w:hAnsi="Times New Roman" w:cs="Times New Roman"/>
          <w:szCs w:val="24"/>
          <w:shd w:val="clear" w:color="auto" w:fill="FFFFFF"/>
        </w:rPr>
        <w:t xml:space="preserve">essential </w:t>
      </w:r>
      <w:r w:rsidR="0068369C" w:rsidRPr="005333CE">
        <w:rPr>
          <w:rFonts w:ascii="Times New Roman" w:hAnsi="Times New Roman" w:cs="Times New Roman"/>
          <w:szCs w:val="24"/>
          <w:shd w:val="clear" w:color="auto" w:fill="FFFFFF"/>
        </w:rPr>
        <w:t>to develop and implement effective plans for the conservation and sustainable use of biodiversity.</w:t>
      </w:r>
    </w:p>
    <w:p w14:paraId="00DC6897" w14:textId="77777777" w:rsidR="0026592B" w:rsidRPr="005333CE" w:rsidRDefault="0026592B" w:rsidP="00CB764C">
      <w:pPr>
        <w:rPr>
          <w:rFonts w:ascii="Times New Roman" w:hAnsi="Times New Roman" w:cs="Times New Roman"/>
          <w:szCs w:val="24"/>
        </w:rPr>
      </w:pPr>
    </w:p>
    <w:sectPr w:rsidR="0026592B" w:rsidRPr="005333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40E35" w14:textId="77777777" w:rsidR="006C564C" w:rsidRDefault="006C564C" w:rsidP="002A6AD2">
      <w:pPr>
        <w:spacing w:after="0" w:line="240" w:lineRule="auto"/>
      </w:pPr>
      <w:r>
        <w:separator/>
      </w:r>
    </w:p>
  </w:endnote>
  <w:endnote w:type="continuationSeparator" w:id="0">
    <w:p w14:paraId="45E7D159" w14:textId="77777777" w:rsidR="006C564C" w:rsidRDefault="006C564C" w:rsidP="002A6AD2">
      <w:pPr>
        <w:spacing w:after="0" w:line="240" w:lineRule="auto"/>
      </w:pPr>
      <w:r>
        <w:continuationSeparator/>
      </w:r>
    </w:p>
  </w:endnote>
  <w:endnote w:type="continuationNotice" w:id="1">
    <w:p w14:paraId="26C5EF92" w14:textId="77777777" w:rsidR="00873472" w:rsidRDefault="00873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4156"/>
      <w:docPartObj>
        <w:docPartGallery w:val="Page Numbers (Bottom of Page)"/>
        <w:docPartUnique/>
      </w:docPartObj>
    </w:sdtPr>
    <w:sdtEndPr>
      <w:rPr>
        <w:noProof/>
      </w:rPr>
    </w:sdtEndPr>
    <w:sdtContent>
      <w:p w14:paraId="423BD47D" w14:textId="2DFEA440" w:rsidR="006C564C" w:rsidRDefault="006C564C">
        <w:pPr>
          <w:pStyle w:val="Footer"/>
          <w:jc w:val="right"/>
        </w:pPr>
        <w:r>
          <w:fldChar w:fldCharType="begin"/>
        </w:r>
        <w:r>
          <w:instrText xml:space="preserve"> PAGE   \* MERGEFORMAT </w:instrText>
        </w:r>
        <w:r>
          <w:fldChar w:fldCharType="separate"/>
        </w:r>
        <w:r w:rsidR="00E50052">
          <w:rPr>
            <w:noProof/>
          </w:rPr>
          <w:t>7</w:t>
        </w:r>
        <w:r>
          <w:rPr>
            <w:noProof/>
          </w:rPr>
          <w:fldChar w:fldCharType="end"/>
        </w:r>
      </w:p>
    </w:sdtContent>
  </w:sdt>
  <w:p w14:paraId="0C5396EE" w14:textId="77777777" w:rsidR="006C564C" w:rsidRDefault="006C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87D03" w14:textId="77777777" w:rsidR="006C564C" w:rsidRDefault="006C564C" w:rsidP="002A6AD2">
      <w:pPr>
        <w:spacing w:after="0" w:line="240" w:lineRule="auto"/>
      </w:pPr>
      <w:r>
        <w:separator/>
      </w:r>
    </w:p>
  </w:footnote>
  <w:footnote w:type="continuationSeparator" w:id="0">
    <w:p w14:paraId="53259733" w14:textId="77777777" w:rsidR="006C564C" w:rsidRDefault="006C564C" w:rsidP="002A6AD2">
      <w:pPr>
        <w:spacing w:after="0" w:line="240" w:lineRule="auto"/>
      </w:pPr>
      <w:r>
        <w:continuationSeparator/>
      </w:r>
    </w:p>
  </w:footnote>
  <w:footnote w:type="continuationNotice" w:id="1">
    <w:p w14:paraId="57363191" w14:textId="77777777" w:rsidR="00873472" w:rsidRDefault="00873472">
      <w:pPr>
        <w:spacing w:after="0" w:line="240" w:lineRule="auto"/>
      </w:pPr>
    </w:p>
  </w:footnote>
  <w:footnote w:id="2">
    <w:p w14:paraId="63201046" w14:textId="77777777" w:rsidR="006C564C" w:rsidRDefault="006C564C" w:rsidP="005B0BC5">
      <w:pPr>
        <w:pStyle w:val="FootnoteText"/>
        <w:rPr>
          <w:sz w:val="18"/>
          <w:szCs w:val="18"/>
        </w:rPr>
      </w:pPr>
      <w:r>
        <w:rPr>
          <w:rStyle w:val="FootnoteReference"/>
          <w:sz w:val="18"/>
          <w:szCs w:val="18"/>
        </w:rPr>
        <w:footnoteRef/>
      </w:r>
      <w:r>
        <w:rPr>
          <w:sz w:val="18"/>
          <w:szCs w:val="18"/>
        </w:rPr>
        <w:t xml:space="preserve"> Throughout this document, the term ‘agriculture sectors’ refers to crop and livestock production, forestry, fisheries and aquaculture. </w:t>
      </w:r>
    </w:p>
  </w:footnote>
  <w:footnote w:id="3">
    <w:p w14:paraId="4DC8D753" w14:textId="77777777" w:rsidR="006C564C" w:rsidRPr="001528E4" w:rsidRDefault="006C564C" w:rsidP="001528E4">
      <w:pPr>
        <w:pStyle w:val="FootnoteText"/>
        <w:spacing w:before="60"/>
        <w:rPr>
          <w:sz w:val="18"/>
          <w:szCs w:val="18"/>
        </w:rPr>
      </w:pPr>
      <w:r w:rsidRPr="001528E4">
        <w:rPr>
          <w:rStyle w:val="Hyperlink"/>
          <w:rFonts w:ascii="Times New Roman" w:hAnsi="Times New Roman" w:cs="Times New Roman"/>
          <w:sz w:val="18"/>
          <w:szCs w:val="18"/>
          <w:vertAlign w:val="superscript"/>
        </w:rPr>
        <w:footnoteRef/>
      </w:r>
      <w:r w:rsidRPr="001528E4">
        <w:rPr>
          <w:rStyle w:val="Hyperlink"/>
          <w:rFonts w:ascii="Times New Roman" w:hAnsi="Times New Roman" w:cs="Times New Roman"/>
          <w:sz w:val="18"/>
          <w:szCs w:val="18"/>
          <w:vertAlign w:val="superscript"/>
        </w:rPr>
        <w:t xml:space="preserve"> </w:t>
      </w:r>
      <w:hyperlink r:id="rId1" w:history="1">
        <w:r w:rsidRPr="001528E4">
          <w:rPr>
            <w:rStyle w:val="Hyperlink"/>
            <w:rFonts w:ascii="Times New Roman" w:hAnsi="Times New Roman" w:cs="Times New Roman"/>
            <w:sz w:val="18"/>
            <w:szCs w:val="18"/>
          </w:rPr>
          <w:t>http://www.fao.org/about/meetings/multi-stakeholder-dialogue-on-biodiversity/en/</w:t>
        </w:r>
      </w:hyperlink>
    </w:p>
  </w:footnote>
  <w:footnote w:id="4">
    <w:p w14:paraId="2CF96ECF" w14:textId="77777777" w:rsidR="006C564C" w:rsidRPr="00A170EC" w:rsidRDefault="006C564C" w:rsidP="001528E4">
      <w:pPr>
        <w:pStyle w:val="FootnoteText"/>
        <w:spacing w:before="60"/>
        <w:rPr>
          <w:rFonts w:ascii="Times New Roman" w:hAnsi="Times New Roman" w:cs="Times New Roman"/>
        </w:rPr>
      </w:pPr>
      <w:r w:rsidRPr="001528E4">
        <w:rPr>
          <w:rStyle w:val="FootnoteReference"/>
          <w:rFonts w:ascii="Times New Roman" w:hAnsi="Times New Roman" w:cs="Times New Roman"/>
          <w:sz w:val="18"/>
          <w:szCs w:val="18"/>
        </w:rPr>
        <w:footnoteRef/>
      </w:r>
      <w:r w:rsidRPr="001528E4">
        <w:rPr>
          <w:rFonts w:ascii="Times New Roman" w:hAnsi="Times New Roman" w:cs="Times New Roman"/>
          <w:sz w:val="18"/>
          <w:szCs w:val="18"/>
        </w:rPr>
        <w:t xml:space="preserve"> </w:t>
      </w:r>
      <w:hyperlink r:id="rId2" w:history="1">
        <w:r w:rsidRPr="001528E4">
          <w:rPr>
            <w:rStyle w:val="Hyperlink"/>
            <w:rFonts w:ascii="Times New Roman" w:hAnsi="Times New Roman" w:cs="Times New Roman"/>
            <w:sz w:val="18"/>
            <w:szCs w:val="18"/>
          </w:rPr>
          <w:t>http://www.fao.org/3/CA3129EN/CA3129EN.pdf</w:t>
        </w:r>
      </w:hyperlink>
      <w:r w:rsidRPr="00A170EC">
        <w:rPr>
          <w:rFonts w:ascii="Times New Roman" w:hAnsi="Times New Roman" w:cs="Times New Roman"/>
        </w:rPr>
        <w:t xml:space="preserve"> </w:t>
      </w:r>
    </w:p>
  </w:footnote>
  <w:footnote w:id="5">
    <w:p w14:paraId="2B235201" w14:textId="70790E0B" w:rsidR="006C564C" w:rsidRPr="00471A90" w:rsidRDefault="006C564C">
      <w:pPr>
        <w:pStyle w:val="FootnoteText"/>
        <w:rPr>
          <w:rFonts w:ascii="Times New Roman" w:hAnsi="Times New Roman" w:cs="Times New Roman"/>
          <w:lang w:val="en-US"/>
        </w:rPr>
      </w:pPr>
      <w:r w:rsidRPr="0062145A">
        <w:rPr>
          <w:rStyle w:val="FootnoteReference"/>
          <w:rFonts w:ascii="Times New Roman" w:hAnsi="Times New Roman" w:cs="Times New Roman"/>
        </w:rPr>
        <w:footnoteRef/>
      </w:r>
      <w:r w:rsidRPr="00471A90">
        <w:rPr>
          <w:rFonts w:ascii="Times New Roman" w:hAnsi="Times New Roman" w:cs="Times New Roman"/>
          <w:lang w:val="en-US"/>
        </w:rPr>
        <w:t xml:space="preserve"> CGRFA-17/19/Report, paragraph 47.</w:t>
      </w:r>
    </w:p>
  </w:footnote>
  <w:footnote w:id="6">
    <w:p w14:paraId="781CC500" w14:textId="08FD4F7A" w:rsidR="006C564C" w:rsidRPr="0062145A" w:rsidRDefault="006C564C" w:rsidP="0017728B">
      <w:pPr>
        <w:pStyle w:val="FootnoteText"/>
        <w:spacing w:before="60"/>
        <w:rPr>
          <w:rFonts w:ascii="Times New Roman" w:hAnsi="Times New Roman" w:cs="Times New Roman"/>
          <w:sz w:val="18"/>
          <w:szCs w:val="18"/>
          <w:lang w:val="en-US"/>
        </w:rPr>
      </w:pPr>
      <w:r w:rsidRPr="001528E4">
        <w:rPr>
          <w:rStyle w:val="FootnoteReference"/>
          <w:rFonts w:ascii="Times New Roman" w:hAnsi="Times New Roman" w:cs="Times New Roman"/>
          <w:sz w:val="18"/>
          <w:szCs w:val="18"/>
        </w:rPr>
        <w:footnoteRef/>
      </w:r>
      <w:r w:rsidRPr="0062145A">
        <w:rPr>
          <w:rFonts w:ascii="Times New Roman" w:hAnsi="Times New Roman" w:cs="Times New Roman"/>
          <w:sz w:val="18"/>
          <w:szCs w:val="18"/>
          <w:lang w:val="en-US"/>
        </w:rPr>
        <w:t xml:space="preserve"> CL 160/REP (</w:t>
      </w:r>
      <w:hyperlink r:id="rId3" w:history="1">
        <w:r w:rsidRPr="0062145A">
          <w:rPr>
            <w:rStyle w:val="Hyperlink"/>
            <w:rFonts w:ascii="Times New Roman" w:hAnsi="Times New Roman" w:cs="Times New Roman"/>
            <w:sz w:val="18"/>
            <w:szCs w:val="18"/>
            <w:lang w:val="en-US"/>
          </w:rPr>
          <w:t>http://www.fao.org/fileadmin/user_upload/bodies/CL_160/CL160_Report/MY722_CL_160_REP_en.pdf</w:t>
        </w:r>
      </w:hyperlink>
      <w:r>
        <w:rPr>
          <w:rFonts w:ascii="Times New Roman" w:hAnsi="Times New Roman" w:cs="Times New Roman"/>
          <w:sz w:val="18"/>
          <w:szCs w:val="18"/>
          <w:lang w:val="en-US"/>
        </w:rPr>
        <w:t>), C 2019/23 (</w:t>
      </w:r>
      <w:hyperlink r:id="rId4" w:history="1">
        <w:r w:rsidRPr="00FF14BC">
          <w:rPr>
            <w:rStyle w:val="Hyperlink"/>
            <w:rFonts w:ascii="Times New Roman" w:hAnsi="Times New Roman" w:cs="Times New Roman"/>
            <w:sz w:val="18"/>
            <w:szCs w:val="18"/>
            <w:lang w:val="en-US"/>
          </w:rPr>
          <w:t>http://www.fao.org/fileadmin/user_upload/bodies/Conference_2019/MX970_23/MX970_C_2019_23_en.pdf</w:t>
        </w:r>
      </w:hyperlink>
      <w:r>
        <w:rPr>
          <w:rFonts w:ascii="Times New Roman" w:hAnsi="Times New Roman" w:cs="Times New Roman"/>
          <w:sz w:val="18"/>
          <w:szCs w:val="18"/>
          <w:lang w:val="en-US"/>
        </w:rPr>
        <w:t>), C 2019/24 (</w:t>
      </w:r>
      <w:hyperlink r:id="rId5" w:history="1">
        <w:r w:rsidRPr="00FF14BC">
          <w:rPr>
            <w:rStyle w:val="Hyperlink"/>
            <w:rFonts w:ascii="Times New Roman" w:hAnsi="Times New Roman" w:cs="Times New Roman"/>
            <w:sz w:val="18"/>
            <w:szCs w:val="18"/>
            <w:lang w:val="en-US"/>
          </w:rPr>
          <w:t>http://www.fao.org/fileadmin/user_upload/bodies/Conference_2019/MX775_24/MX775_C_2019_24_en.pdf</w:t>
        </w:r>
      </w:hyperlink>
      <w:r>
        <w:rPr>
          <w:rFonts w:ascii="Times New Roman" w:hAnsi="Times New Roman" w:cs="Times New Roman"/>
          <w:sz w:val="18"/>
          <w:szCs w:val="18"/>
          <w:lang w:val="en-US"/>
        </w:rPr>
        <w:t>), and C 2019/21 Rev.1 (</w:t>
      </w:r>
      <w:hyperlink r:id="rId6" w:history="1">
        <w:r w:rsidRPr="00FF14BC">
          <w:rPr>
            <w:rStyle w:val="Hyperlink"/>
            <w:rFonts w:ascii="Times New Roman" w:hAnsi="Times New Roman" w:cs="Times New Roman"/>
            <w:sz w:val="18"/>
            <w:szCs w:val="18"/>
            <w:lang w:val="en-US"/>
          </w:rPr>
          <w:t>http://www.fao.org/fileadmin/user_upload/bodies/Conference_2019/MY349_21/MY349_C_2019_21_en.pdf</w:t>
        </w:r>
      </w:hyperlink>
      <w:r>
        <w:rPr>
          <w:rFonts w:ascii="Times New Roman" w:hAnsi="Times New Roman" w:cs="Times New Roman"/>
          <w:sz w:val="18"/>
          <w:szCs w:val="18"/>
          <w:lang w:val="en-US"/>
        </w:rPr>
        <w:t>)</w:t>
      </w:r>
    </w:p>
  </w:footnote>
  <w:footnote w:id="7">
    <w:p w14:paraId="37AFB013" w14:textId="148C74A5" w:rsidR="006C564C" w:rsidRDefault="006C564C">
      <w:pPr>
        <w:pStyle w:val="FootnoteText"/>
      </w:pPr>
      <w:r>
        <w:rPr>
          <w:rStyle w:val="FootnoteReference"/>
        </w:rPr>
        <w:footnoteRef/>
      </w:r>
      <w:r>
        <w:t xml:space="preserve"> </w:t>
      </w:r>
      <w:r w:rsidRPr="009E2646">
        <w:rPr>
          <w:rFonts w:ascii="Times New Roman" w:hAnsi="Times New Roman" w:cs="Times New Roman"/>
          <w:sz w:val="18"/>
          <w:szCs w:val="18"/>
          <w:lang w:val="en-US"/>
        </w:rPr>
        <w:t xml:space="preserve">FAO. 2014. </w:t>
      </w:r>
      <w:r w:rsidRPr="009E2646">
        <w:rPr>
          <w:rFonts w:ascii="Times New Roman" w:hAnsi="Times New Roman" w:cs="Times New Roman"/>
          <w:i/>
          <w:sz w:val="18"/>
          <w:szCs w:val="18"/>
          <w:lang w:val="en-US"/>
        </w:rPr>
        <w:t>Building a common vision for sustainable food and agriculture: principles and approaches</w:t>
      </w:r>
      <w:r w:rsidRPr="009E2646">
        <w:rPr>
          <w:rFonts w:ascii="Times New Roman" w:hAnsi="Times New Roman" w:cs="Times New Roman"/>
          <w:sz w:val="18"/>
          <w:szCs w:val="18"/>
          <w:lang w:val="en-US"/>
        </w:rPr>
        <w:t>. Rome. http://www.fao.org/3/a-i3940e.pdf</w:t>
      </w:r>
    </w:p>
  </w:footnote>
  <w:footnote w:id="8">
    <w:p w14:paraId="02ACD0BD" w14:textId="77777777" w:rsidR="0046193B" w:rsidRDefault="0046193B" w:rsidP="0046193B">
      <w:pPr>
        <w:pStyle w:val="FootnoteText"/>
      </w:pPr>
      <w:r>
        <w:rPr>
          <w:rStyle w:val="FootnoteReference"/>
        </w:rPr>
        <w:footnoteRef/>
      </w:r>
      <w:r>
        <w:t xml:space="preserve"> It is worth noting that </w:t>
      </w:r>
      <w:r>
        <w:rPr>
          <w:color w:val="000000"/>
        </w:rPr>
        <w:t>the International Plant Protection Convention is directly involved in environmental protection as it is established to protect all plant life, both cultivated and wild.</w:t>
      </w:r>
    </w:p>
  </w:footnote>
  <w:footnote w:id="9">
    <w:p w14:paraId="5D7B8BB5" w14:textId="77777777" w:rsidR="0046193B" w:rsidRPr="001528E4" w:rsidRDefault="0046193B" w:rsidP="0046193B">
      <w:pPr>
        <w:pStyle w:val="FootnoteText"/>
        <w:spacing w:before="60"/>
        <w:rPr>
          <w:rFonts w:ascii="Times New Roman" w:hAnsi="Times New Roman" w:cs="Times New Roman"/>
          <w:sz w:val="18"/>
          <w:szCs w:val="18"/>
          <w:lang w:val="en-US"/>
        </w:rPr>
      </w:pPr>
      <w:r w:rsidRPr="001528E4">
        <w:rPr>
          <w:rStyle w:val="FootnoteReference"/>
          <w:rFonts w:ascii="Times New Roman" w:hAnsi="Times New Roman" w:cs="Times New Roman"/>
          <w:sz w:val="18"/>
          <w:szCs w:val="18"/>
        </w:rPr>
        <w:footnoteRef/>
      </w:r>
      <w:r w:rsidRPr="001528E4">
        <w:rPr>
          <w:rFonts w:ascii="Times New Roman" w:hAnsi="Times New Roman" w:cs="Times New Roman"/>
          <w:sz w:val="18"/>
          <w:szCs w:val="18"/>
          <w:lang w:val="en-US"/>
        </w:rPr>
        <w:t xml:space="preserve"> These include the Committee of Fisheries, the Committee on Forestry, the Committee on Agriculture, the Committee on Commodity Problems, the Regional Conferences and the Regional commissions (see http://www.fao.org/unfao/govbodies/gsbhome/gsb-home/en/).</w:t>
      </w:r>
    </w:p>
  </w:footnote>
  <w:footnote w:id="10">
    <w:p w14:paraId="1C39A33E" w14:textId="77777777" w:rsidR="006C564C" w:rsidRDefault="006C564C" w:rsidP="00B90DE0">
      <w:pPr>
        <w:pStyle w:val="FootnoteText"/>
      </w:pPr>
      <w:r>
        <w:rPr>
          <w:rStyle w:val="FootnoteReference"/>
        </w:rPr>
        <w:footnoteRef/>
      </w:r>
      <w:r>
        <w:t xml:space="preserve"> </w:t>
      </w:r>
      <w:r w:rsidRPr="009E2646">
        <w:rPr>
          <w:rFonts w:ascii="Times New Roman" w:hAnsi="Times New Roman" w:cs="Times New Roman"/>
          <w:sz w:val="18"/>
          <w:szCs w:val="18"/>
          <w:lang w:val="en-US"/>
        </w:rPr>
        <w:t xml:space="preserve">FAO. 2014. </w:t>
      </w:r>
      <w:r w:rsidRPr="009E2646">
        <w:rPr>
          <w:rFonts w:ascii="Times New Roman" w:hAnsi="Times New Roman" w:cs="Times New Roman"/>
          <w:i/>
          <w:sz w:val="18"/>
          <w:szCs w:val="18"/>
          <w:lang w:val="en-US"/>
        </w:rPr>
        <w:t>Building a common vision for sustainable food and agriculture: principles and approaches</w:t>
      </w:r>
      <w:r w:rsidRPr="009E2646">
        <w:rPr>
          <w:rFonts w:ascii="Times New Roman" w:hAnsi="Times New Roman" w:cs="Times New Roman"/>
          <w:sz w:val="18"/>
          <w:szCs w:val="18"/>
          <w:lang w:val="en-US"/>
        </w:rPr>
        <w:t>. Rome. http://www.fao.org/3/a-i3940e.pdf</w:t>
      </w:r>
    </w:p>
  </w:footnote>
  <w:footnote w:id="11">
    <w:p w14:paraId="6EAA6CDB" w14:textId="38CD082B" w:rsidR="006C564C" w:rsidRPr="006C1CF5" w:rsidRDefault="006C564C">
      <w:pPr>
        <w:pStyle w:val="FootnoteText"/>
        <w:rPr>
          <w:sz w:val="18"/>
          <w:szCs w:val="18"/>
        </w:rPr>
      </w:pPr>
      <w:r>
        <w:rPr>
          <w:rStyle w:val="FootnoteReference"/>
        </w:rPr>
        <w:footnoteRef/>
      </w:r>
      <w:r>
        <w:t xml:space="preserve"> </w:t>
      </w:r>
      <w:r w:rsidRPr="00357BF6">
        <w:rPr>
          <w:sz w:val="18"/>
          <w:szCs w:val="18"/>
        </w:rPr>
        <w:t xml:space="preserve">FAO. 2019. </w:t>
      </w:r>
      <w:r w:rsidRPr="00691AA3">
        <w:rPr>
          <w:i/>
          <w:sz w:val="18"/>
          <w:szCs w:val="18"/>
        </w:rPr>
        <w:t>The State of the World’s Biodiversity for Food and Agriculture</w:t>
      </w:r>
      <w:r w:rsidRPr="00536171">
        <w:rPr>
          <w:sz w:val="18"/>
          <w:szCs w:val="18"/>
        </w:rPr>
        <w:t>.</w:t>
      </w:r>
      <w:r>
        <w:rPr>
          <w:sz w:val="18"/>
          <w:szCs w:val="18"/>
        </w:rPr>
        <w:t xml:space="preserve"> Rome. </w:t>
      </w:r>
      <w:r w:rsidRPr="006C1CF5">
        <w:rPr>
          <w:rFonts w:ascii="Times New Roman" w:hAnsi="Times New Roman" w:cs="Times New Roman"/>
          <w:sz w:val="18"/>
          <w:szCs w:val="18"/>
          <w:lang w:val="en-US"/>
        </w:rPr>
        <w:t>http://www.fao.org/3/CA3229EN/CA3229EN.pdf</w:t>
      </w:r>
    </w:p>
  </w:footnote>
  <w:footnote w:id="12">
    <w:p w14:paraId="246BAB7B" w14:textId="7152B5DE" w:rsidR="006C564C" w:rsidRPr="00CE04D8" w:rsidRDefault="006C564C">
      <w:pPr>
        <w:pStyle w:val="FootnoteText"/>
        <w:rPr>
          <w:rFonts w:ascii="Times New Roman" w:hAnsi="Times New Roman" w:cs="Times New Roman"/>
          <w:sz w:val="18"/>
          <w:szCs w:val="18"/>
        </w:rPr>
      </w:pPr>
      <w:r w:rsidRPr="00CE04D8">
        <w:rPr>
          <w:rStyle w:val="FootnoteReference"/>
          <w:rFonts w:ascii="Times New Roman" w:hAnsi="Times New Roman" w:cs="Times New Roman"/>
          <w:sz w:val="18"/>
          <w:szCs w:val="18"/>
        </w:rPr>
        <w:footnoteRef/>
      </w:r>
      <w:r w:rsidRPr="00CE04D8">
        <w:rPr>
          <w:rFonts w:ascii="Times New Roman" w:hAnsi="Times New Roman" w:cs="Times New Roman"/>
          <w:sz w:val="18"/>
          <w:szCs w:val="18"/>
        </w:rPr>
        <w:t xml:space="preserve"> FAO. 2018. Transforming Food and Agriculture to Achieve the SDGs: 20 interconnected actions to guide decision-makers. Technical Reference Document. Rome. 132 pp. http://www.fao.org/3/CA1647EN/ca1647en.pdf</w:t>
      </w:r>
    </w:p>
  </w:footnote>
  <w:footnote w:id="13">
    <w:p w14:paraId="11431196" w14:textId="77777777" w:rsidR="006C564C" w:rsidRPr="001528E4" w:rsidRDefault="006C564C" w:rsidP="001528E4">
      <w:pPr>
        <w:pStyle w:val="FootnoteText"/>
        <w:spacing w:before="60"/>
        <w:rPr>
          <w:rFonts w:ascii="Times New Roman" w:hAnsi="Times New Roman" w:cs="Times New Roman"/>
          <w:sz w:val="18"/>
          <w:szCs w:val="18"/>
          <w:lang w:val="en-US"/>
        </w:rPr>
      </w:pPr>
      <w:r w:rsidRPr="001528E4">
        <w:rPr>
          <w:rStyle w:val="FootnoteReference"/>
          <w:rFonts w:ascii="Times New Roman" w:hAnsi="Times New Roman" w:cs="Times New Roman"/>
          <w:sz w:val="18"/>
          <w:szCs w:val="18"/>
        </w:rPr>
        <w:footnoteRef/>
      </w:r>
      <w:r w:rsidRPr="001528E4">
        <w:rPr>
          <w:rFonts w:ascii="Times New Roman" w:hAnsi="Times New Roman" w:cs="Times New Roman"/>
          <w:sz w:val="18"/>
          <w:szCs w:val="18"/>
          <w:lang w:val="en-US"/>
        </w:rPr>
        <w:t xml:space="preserve"> </w:t>
      </w:r>
      <w:hyperlink r:id="rId7" w:history="1">
        <w:r w:rsidRPr="001528E4">
          <w:rPr>
            <w:rStyle w:val="Hyperlink"/>
            <w:rFonts w:ascii="Times New Roman" w:hAnsi="Times New Roman" w:cs="Times New Roman"/>
            <w:sz w:val="18"/>
            <w:szCs w:val="18"/>
            <w:lang w:val="en-US"/>
          </w:rPr>
          <w:t>http://www.fao.org/3/CA3129EN/CA3129EN.pdf</w:t>
        </w:r>
      </w:hyperlink>
      <w:r w:rsidRPr="001528E4">
        <w:rPr>
          <w:rFonts w:ascii="Times New Roman" w:hAnsi="Times New Roman" w:cs="Times New Roman"/>
          <w:sz w:val="18"/>
          <w:szCs w:val="18"/>
          <w:lang w:val="en-US"/>
        </w:rPr>
        <w:t xml:space="preserve"> </w:t>
      </w:r>
    </w:p>
  </w:footnote>
  <w:footnote w:id="14">
    <w:p w14:paraId="5506689B" w14:textId="77777777" w:rsidR="006C564C" w:rsidRPr="001528E4" w:rsidRDefault="006C564C" w:rsidP="001528E4">
      <w:pPr>
        <w:pStyle w:val="FootnoteText"/>
        <w:spacing w:before="60"/>
        <w:rPr>
          <w:rFonts w:ascii="Times New Roman" w:hAnsi="Times New Roman" w:cs="Times New Roman"/>
          <w:sz w:val="18"/>
          <w:szCs w:val="18"/>
        </w:rPr>
      </w:pPr>
      <w:r w:rsidRPr="001528E4">
        <w:rPr>
          <w:rStyle w:val="FootnoteReference"/>
          <w:rFonts w:ascii="Times New Roman" w:hAnsi="Times New Roman" w:cs="Times New Roman"/>
          <w:sz w:val="18"/>
          <w:szCs w:val="18"/>
        </w:rPr>
        <w:footnoteRef/>
      </w:r>
      <w:r w:rsidRPr="001528E4">
        <w:rPr>
          <w:rFonts w:ascii="Times New Roman" w:hAnsi="Times New Roman" w:cs="Times New Roman"/>
          <w:sz w:val="18"/>
          <w:szCs w:val="18"/>
        </w:rPr>
        <w:t xml:space="preserve"> The indicator for SDG 2.4.1 was re-classified as a Tier II indicator by the Eighth Meeting of the Inter-Agency and Expert Group on the Sustainable Development Goal Indicators </w:t>
      </w:r>
      <w:hyperlink r:id="rId8" w:history="1">
        <w:r w:rsidRPr="001528E4">
          <w:rPr>
            <w:rStyle w:val="Hyperlink"/>
            <w:rFonts w:ascii="Times New Roman" w:hAnsi="Times New Roman" w:cs="Times New Roman"/>
            <w:sz w:val="18"/>
            <w:szCs w:val="18"/>
          </w:rPr>
          <w:t>https://unstats.un.org/sdgs/files/Tier%20Classification%20of%20SDG%20Indicators_4%20April%202019_web.pdf</w:t>
        </w:r>
      </w:hyperlink>
      <w:r w:rsidRPr="001528E4">
        <w:rPr>
          <w:rFonts w:ascii="Times New Roman" w:hAnsi="Times New Roman" w:cs="Times New Roman"/>
          <w:sz w:val="18"/>
          <w:szCs w:val="18"/>
        </w:rPr>
        <w:t xml:space="preserve"> </w:t>
      </w:r>
    </w:p>
  </w:footnote>
  <w:footnote w:id="15">
    <w:p w14:paraId="71E7D63A" w14:textId="77777777" w:rsidR="006C564C" w:rsidRDefault="006C564C" w:rsidP="001528E4">
      <w:pPr>
        <w:pStyle w:val="FootnoteText"/>
        <w:spacing w:before="60"/>
      </w:pPr>
      <w:r w:rsidRPr="001528E4">
        <w:rPr>
          <w:rStyle w:val="FootnoteReference"/>
          <w:rFonts w:ascii="Times New Roman" w:hAnsi="Times New Roman" w:cs="Times New Roman"/>
          <w:sz w:val="18"/>
          <w:szCs w:val="18"/>
        </w:rPr>
        <w:footnoteRef/>
      </w:r>
      <w:r w:rsidRPr="001528E4">
        <w:rPr>
          <w:rFonts w:ascii="Times New Roman" w:hAnsi="Times New Roman" w:cs="Times New Roman"/>
          <w:sz w:val="18"/>
          <w:szCs w:val="18"/>
        </w:rPr>
        <w:t xml:space="preserve"> </w:t>
      </w:r>
      <w:hyperlink r:id="rId9" w:history="1">
        <w:r w:rsidRPr="001528E4">
          <w:rPr>
            <w:rStyle w:val="Hyperlink"/>
            <w:rFonts w:ascii="Times New Roman" w:hAnsi="Times New Roman" w:cs="Times New Roman"/>
            <w:sz w:val="18"/>
            <w:szCs w:val="18"/>
          </w:rPr>
          <w:t>http://www.fao.org/3/CA2639EN/ca2639en.pdf</w:t>
        </w:r>
      </w:hyperlink>
      <w:r>
        <w:t xml:space="preserve"> </w:t>
      </w:r>
    </w:p>
  </w:footnote>
  <w:footnote w:id="16">
    <w:p w14:paraId="3C1031EC" w14:textId="77777777" w:rsidR="00410050" w:rsidRPr="001528E4" w:rsidRDefault="00410050" w:rsidP="00410050">
      <w:pPr>
        <w:pStyle w:val="FootnoteText"/>
        <w:rPr>
          <w:rFonts w:ascii="Times New Roman" w:hAnsi="Times New Roman" w:cs="Times New Roman"/>
          <w:sz w:val="18"/>
          <w:szCs w:val="18"/>
        </w:rPr>
      </w:pPr>
      <w:r w:rsidRPr="001528E4">
        <w:rPr>
          <w:rStyle w:val="FootnoteReference"/>
          <w:rFonts w:ascii="Times New Roman" w:hAnsi="Times New Roman" w:cs="Times New Roman"/>
          <w:sz w:val="18"/>
          <w:szCs w:val="18"/>
        </w:rPr>
        <w:footnoteRef/>
      </w:r>
      <w:r w:rsidRPr="001528E4">
        <w:rPr>
          <w:rFonts w:ascii="Times New Roman" w:hAnsi="Times New Roman" w:cs="Times New Roman"/>
          <w:sz w:val="18"/>
          <w:szCs w:val="18"/>
        </w:rPr>
        <w:t xml:space="preserve"> </w:t>
      </w:r>
      <w:hyperlink r:id="rId10" w:history="1">
        <w:r w:rsidRPr="001528E4">
          <w:rPr>
            <w:rStyle w:val="Hyperlink"/>
            <w:rFonts w:ascii="Times New Roman" w:hAnsi="Times New Roman" w:cs="Times New Roman"/>
            <w:sz w:val="18"/>
            <w:szCs w:val="18"/>
          </w:rPr>
          <w:t>http://www.fao.org/3/a-i6714e.pdf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A82"/>
    <w:multiLevelType w:val="hybridMultilevel"/>
    <w:tmpl w:val="0158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85486F"/>
    <w:multiLevelType w:val="hybridMultilevel"/>
    <w:tmpl w:val="0BF8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3B0A"/>
    <w:multiLevelType w:val="hybridMultilevel"/>
    <w:tmpl w:val="418E6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610A5"/>
    <w:multiLevelType w:val="hybridMultilevel"/>
    <w:tmpl w:val="F238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6E0E"/>
    <w:multiLevelType w:val="hybridMultilevel"/>
    <w:tmpl w:val="5876413A"/>
    <w:lvl w:ilvl="0" w:tplc="CAFE0A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E57ED"/>
    <w:multiLevelType w:val="hybridMultilevel"/>
    <w:tmpl w:val="5876413A"/>
    <w:lvl w:ilvl="0" w:tplc="CAFE0A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60346"/>
    <w:multiLevelType w:val="hybridMultilevel"/>
    <w:tmpl w:val="5876413A"/>
    <w:lvl w:ilvl="0" w:tplc="CAFE0A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30160"/>
    <w:multiLevelType w:val="hybridMultilevel"/>
    <w:tmpl w:val="70640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B4FAB"/>
    <w:multiLevelType w:val="hybridMultilevel"/>
    <w:tmpl w:val="25AC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177A"/>
    <w:multiLevelType w:val="hybridMultilevel"/>
    <w:tmpl w:val="0870259A"/>
    <w:lvl w:ilvl="0" w:tplc="C51AF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5151B"/>
    <w:multiLevelType w:val="hybridMultilevel"/>
    <w:tmpl w:val="5150EC92"/>
    <w:lvl w:ilvl="0" w:tplc="C51AF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8"/>
  </w:num>
  <w:num w:numId="5">
    <w:abstractNumId w:val="10"/>
  </w:num>
  <w:num w:numId="6">
    <w:abstractNumId w:val="9"/>
  </w:num>
  <w:num w:numId="7">
    <w:abstractNumId w:val="3"/>
  </w:num>
  <w:num w:numId="8">
    <w:abstractNumId w:val="2"/>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6"/>
    <w:rsid w:val="000031B8"/>
    <w:rsid w:val="00022F7F"/>
    <w:rsid w:val="00046E0B"/>
    <w:rsid w:val="00054526"/>
    <w:rsid w:val="00055CD5"/>
    <w:rsid w:val="00070B85"/>
    <w:rsid w:val="00085185"/>
    <w:rsid w:val="00090812"/>
    <w:rsid w:val="0009519D"/>
    <w:rsid w:val="000D3579"/>
    <w:rsid w:val="000E2B25"/>
    <w:rsid w:val="000E3CF5"/>
    <w:rsid w:val="00110C54"/>
    <w:rsid w:val="00125035"/>
    <w:rsid w:val="001528E4"/>
    <w:rsid w:val="00162C93"/>
    <w:rsid w:val="001714A6"/>
    <w:rsid w:val="0017728B"/>
    <w:rsid w:val="001A3763"/>
    <w:rsid w:val="001F30E8"/>
    <w:rsid w:val="00217630"/>
    <w:rsid w:val="00236EF7"/>
    <w:rsid w:val="00247443"/>
    <w:rsid w:val="00253D35"/>
    <w:rsid w:val="00254646"/>
    <w:rsid w:val="0026592B"/>
    <w:rsid w:val="002A3336"/>
    <w:rsid w:val="002A6AD2"/>
    <w:rsid w:val="002B2936"/>
    <w:rsid w:val="002C364E"/>
    <w:rsid w:val="002D3B68"/>
    <w:rsid w:val="002D5D34"/>
    <w:rsid w:val="002F5B17"/>
    <w:rsid w:val="00305253"/>
    <w:rsid w:val="003079E8"/>
    <w:rsid w:val="00311EA9"/>
    <w:rsid w:val="003912A3"/>
    <w:rsid w:val="003C4404"/>
    <w:rsid w:val="003E77A6"/>
    <w:rsid w:val="00410050"/>
    <w:rsid w:val="004466E4"/>
    <w:rsid w:val="0046193B"/>
    <w:rsid w:val="00471A90"/>
    <w:rsid w:val="00474F53"/>
    <w:rsid w:val="00476A21"/>
    <w:rsid w:val="00480953"/>
    <w:rsid w:val="00497987"/>
    <w:rsid w:val="004A3771"/>
    <w:rsid w:val="004C04EB"/>
    <w:rsid w:val="00510421"/>
    <w:rsid w:val="005215DE"/>
    <w:rsid w:val="00527F37"/>
    <w:rsid w:val="005333CE"/>
    <w:rsid w:val="005657B6"/>
    <w:rsid w:val="00576A0E"/>
    <w:rsid w:val="0058534C"/>
    <w:rsid w:val="00590219"/>
    <w:rsid w:val="00593D2C"/>
    <w:rsid w:val="00596607"/>
    <w:rsid w:val="005B0BC5"/>
    <w:rsid w:val="005B6D4B"/>
    <w:rsid w:val="005C1863"/>
    <w:rsid w:val="005D1E62"/>
    <w:rsid w:val="005D3781"/>
    <w:rsid w:val="005D5907"/>
    <w:rsid w:val="005E6A9C"/>
    <w:rsid w:val="00614A6E"/>
    <w:rsid w:val="0062145A"/>
    <w:rsid w:val="00637261"/>
    <w:rsid w:val="00655FC6"/>
    <w:rsid w:val="006738E7"/>
    <w:rsid w:val="0068369C"/>
    <w:rsid w:val="006877AA"/>
    <w:rsid w:val="006C1CF5"/>
    <w:rsid w:val="006C564C"/>
    <w:rsid w:val="006D23DC"/>
    <w:rsid w:val="006D58A1"/>
    <w:rsid w:val="006D6565"/>
    <w:rsid w:val="006F5A04"/>
    <w:rsid w:val="006F6F86"/>
    <w:rsid w:val="0074144A"/>
    <w:rsid w:val="007611E7"/>
    <w:rsid w:val="007621EF"/>
    <w:rsid w:val="007734B4"/>
    <w:rsid w:val="007A0FE0"/>
    <w:rsid w:val="007A111C"/>
    <w:rsid w:val="007C6BA1"/>
    <w:rsid w:val="007E1F1A"/>
    <w:rsid w:val="00843177"/>
    <w:rsid w:val="00844434"/>
    <w:rsid w:val="00870FC0"/>
    <w:rsid w:val="00873472"/>
    <w:rsid w:val="00877051"/>
    <w:rsid w:val="008820D7"/>
    <w:rsid w:val="008D71CC"/>
    <w:rsid w:val="009044BF"/>
    <w:rsid w:val="0090493A"/>
    <w:rsid w:val="00927E3C"/>
    <w:rsid w:val="00944D1C"/>
    <w:rsid w:val="00971311"/>
    <w:rsid w:val="00980DFF"/>
    <w:rsid w:val="00987481"/>
    <w:rsid w:val="009C41B7"/>
    <w:rsid w:val="009D46CB"/>
    <w:rsid w:val="009E2646"/>
    <w:rsid w:val="00A170EC"/>
    <w:rsid w:val="00A25904"/>
    <w:rsid w:val="00A303FA"/>
    <w:rsid w:val="00A357E8"/>
    <w:rsid w:val="00A36883"/>
    <w:rsid w:val="00A43511"/>
    <w:rsid w:val="00A87C44"/>
    <w:rsid w:val="00A955C0"/>
    <w:rsid w:val="00AB1526"/>
    <w:rsid w:val="00AC23E0"/>
    <w:rsid w:val="00AD2BBD"/>
    <w:rsid w:val="00B54CDD"/>
    <w:rsid w:val="00B811E8"/>
    <w:rsid w:val="00B905D8"/>
    <w:rsid w:val="00B90DE0"/>
    <w:rsid w:val="00B94C87"/>
    <w:rsid w:val="00BA1535"/>
    <w:rsid w:val="00BB761B"/>
    <w:rsid w:val="00BC05FB"/>
    <w:rsid w:val="00BF23D8"/>
    <w:rsid w:val="00BF5E3F"/>
    <w:rsid w:val="00C24A13"/>
    <w:rsid w:val="00C80184"/>
    <w:rsid w:val="00CB764C"/>
    <w:rsid w:val="00CC764F"/>
    <w:rsid w:val="00CD041C"/>
    <w:rsid w:val="00CD23ED"/>
    <w:rsid w:val="00CD6699"/>
    <w:rsid w:val="00CE04D8"/>
    <w:rsid w:val="00CF05EB"/>
    <w:rsid w:val="00CF4C5F"/>
    <w:rsid w:val="00D12FF7"/>
    <w:rsid w:val="00D43180"/>
    <w:rsid w:val="00D76D21"/>
    <w:rsid w:val="00DC1B98"/>
    <w:rsid w:val="00DD1D7E"/>
    <w:rsid w:val="00DD21EF"/>
    <w:rsid w:val="00DF404F"/>
    <w:rsid w:val="00E351EF"/>
    <w:rsid w:val="00E50052"/>
    <w:rsid w:val="00EB07D8"/>
    <w:rsid w:val="00F139E8"/>
    <w:rsid w:val="00F256CE"/>
    <w:rsid w:val="00F260B7"/>
    <w:rsid w:val="00F63323"/>
    <w:rsid w:val="00F91F3A"/>
    <w:rsid w:val="00FB640D"/>
    <w:rsid w:val="00FC3CC1"/>
    <w:rsid w:val="00FE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64775"/>
  <w15:chartTrackingRefBased/>
  <w15:docId w15:val="{A54AE9C0-5A3E-442F-A94F-2463EA85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semiHidden/>
    <w:unhideWhenUsed/>
    <w:qFormat/>
    <w:rsid w:val="00471A9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64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955C0"/>
    <w:rPr>
      <w:i/>
      <w:iCs/>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fn,FOOTNOTES,f,ft"/>
    <w:basedOn w:val="Normal"/>
    <w:link w:val="FootnoteTextChar"/>
    <w:uiPriority w:val="99"/>
    <w:unhideWhenUsed/>
    <w:qFormat/>
    <w:rsid w:val="002A6AD2"/>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fn Char,f Char"/>
    <w:basedOn w:val="DefaultParagraphFont"/>
    <w:link w:val="FootnoteText"/>
    <w:uiPriority w:val="99"/>
    <w:rsid w:val="002A6AD2"/>
    <w:rPr>
      <w:sz w:val="20"/>
      <w:szCs w:val="20"/>
      <w:lang w:val="en-GB"/>
    </w:rPr>
  </w:style>
  <w:style w:type="character" w:styleId="FootnoteReference">
    <w:name w:val="footnote reference"/>
    <w:aliases w:val="16 Point,Superscript 6 Point,Referencia nota al pie,EN Footnote Reference,Times 10 Point,Exposant 3 Point,Footnote symbol,Footnote reference number,note TESI,stylish,SUPERS,number,no...,Footnote,Footnote Reference/,Ref,de nota al pie"/>
    <w:basedOn w:val="DefaultParagraphFont"/>
    <w:link w:val="BVIfnrCarattereCharCharCharCarattereCharCharCharCharCharChar1CharCharCharCarattereChar"/>
    <w:uiPriority w:val="99"/>
    <w:unhideWhenUsed/>
    <w:qFormat/>
    <w:rsid w:val="002A6AD2"/>
    <w:rPr>
      <w:vertAlign w:val="superscript"/>
    </w:rPr>
  </w:style>
  <w:style w:type="character" w:styleId="Hyperlink">
    <w:name w:val="Hyperlink"/>
    <w:basedOn w:val="DefaultParagraphFont"/>
    <w:uiPriority w:val="99"/>
    <w:unhideWhenUsed/>
    <w:rsid w:val="002A6AD2"/>
    <w:rPr>
      <w:color w:val="0563C1" w:themeColor="hyperlink"/>
      <w:u w:val="single"/>
    </w:rPr>
  </w:style>
  <w:style w:type="paragraph" w:styleId="ListParagraph">
    <w:name w:val="List Paragraph"/>
    <w:basedOn w:val="Normal"/>
    <w:uiPriority w:val="34"/>
    <w:qFormat/>
    <w:rsid w:val="003079E8"/>
    <w:pPr>
      <w:spacing w:line="256" w:lineRule="auto"/>
      <w:ind w:left="720"/>
      <w:contextualSpacing/>
    </w:pPr>
    <w:rPr>
      <w:lang w:val="en-US"/>
    </w:rPr>
  </w:style>
  <w:style w:type="paragraph" w:customStyle="1" w:styleId="bodytext">
    <w:name w:val="bodytext"/>
    <w:basedOn w:val="Normal"/>
    <w:rsid w:val="003079E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079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434"/>
    <w:rPr>
      <w:lang w:val="en-GB"/>
    </w:rPr>
  </w:style>
  <w:style w:type="paragraph" w:styleId="Footer">
    <w:name w:val="footer"/>
    <w:basedOn w:val="Normal"/>
    <w:link w:val="FooterChar"/>
    <w:uiPriority w:val="99"/>
    <w:unhideWhenUsed/>
    <w:rsid w:val="0084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434"/>
    <w:rPr>
      <w:lang w:val="en-GB"/>
    </w:rPr>
  </w:style>
  <w:style w:type="character" w:customStyle="1" w:styleId="highlight">
    <w:name w:val="highlight"/>
    <w:basedOn w:val="DefaultParagraphFont"/>
    <w:rsid w:val="005D3781"/>
  </w:style>
  <w:style w:type="paragraph" w:styleId="BalloonText">
    <w:name w:val="Balloon Text"/>
    <w:basedOn w:val="Normal"/>
    <w:link w:val="BalloonTextChar"/>
    <w:uiPriority w:val="99"/>
    <w:semiHidden/>
    <w:unhideWhenUsed/>
    <w:rsid w:val="006D6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65"/>
    <w:rPr>
      <w:rFonts w:ascii="Segoe UI" w:hAnsi="Segoe UI" w:cs="Segoe UI"/>
      <w:sz w:val="18"/>
      <w:szCs w:val="18"/>
      <w:lang w:val="en-GB"/>
    </w:rPr>
  </w:style>
  <w:style w:type="character" w:styleId="CommentReference">
    <w:name w:val="annotation reference"/>
    <w:basedOn w:val="DefaultParagraphFont"/>
    <w:uiPriority w:val="99"/>
    <w:semiHidden/>
    <w:unhideWhenUsed/>
    <w:rsid w:val="00090812"/>
    <w:rPr>
      <w:sz w:val="16"/>
      <w:szCs w:val="16"/>
    </w:rPr>
  </w:style>
  <w:style w:type="paragraph" w:styleId="CommentText">
    <w:name w:val="annotation text"/>
    <w:basedOn w:val="Normal"/>
    <w:link w:val="CommentTextChar"/>
    <w:uiPriority w:val="99"/>
    <w:semiHidden/>
    <w:unhideWhenUsed/>
    <w:rsid w:val="00090812"/>
    <w:pPr>
      <w:spacing w:line="240" w:lineRule="auto"/>
    </w:pPr>
    <w:rPr>
      <w:sz w:val="20"/>
      <w:szCs w:val="20"/>
    </w:rPr>
  </w:style>
  <w:style w:type="character" w:customStyle="1" w:styleId="CommentTextChar">
    <w:name w:val="Comment Text Char"/>
    <w:basedOn w:val="DefaultParagraphFont"/>
    <w:link w:val="CommentText"/>
    <w:uiPriority w:val="99"/>
    <w:semiHidden/>
    <w:rsid w:val="00090812"/>
    <w:rPr>
      <w:sz w:val="20"/>
      <w:szCs w:val="20"/>
      <w:lang w:val="en-GB"/>
    </w:rPr>
  </w:style>
  <w:style w:type="paragraph" w:styleId="CommentSubject">
    <w:name w:val="annotation subject"/>
    <w:basedOn w:val="CommentText"/>
    <w:next w:val="CommentText"/>
    <w:link w:val="CommentSubjectChar"/>
    <w:uiPriority w:val="99"/>
    <w:semiHidden/>
    <w:unhideWhenUsed/>
    <w:rsid w:val="00090812"/>
    <w:rPr>
      <w:b/>
      <w:bCs/>
    </w:rPr>
  </w:style>
  <w:style w:type="character" w:customStyle="1" w:styleId="CommentSubjectChar">
    <w:name w:val="Comment Subject Char"/>
    <w:basedOn w:val="CommentTextChar"/>
    <w:link w:val="CommentSubject"/>
    <w:uiPriority w:val="99"/>
    <w:semiHidden/>
    <w:rsid w:val="00090812"/>
    <w:rPr>
      <w:b/>
      <w:bCs/>
      <w:sz w:val="20"/>
      <w:szCs w:val="20"/>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62145A"/>
    <w:pPr>
      <w:tabs>
        <w:tab w:val="num" w:pos="1800"/>
      </w:tabs>
      <w:spacing w:line="240" w:lineRule="exact"/>
    </w:pPr>
    <w:rPr>
      <w:vertAlign w:val="superscript"/>
      <w:lang w:val="en-US"/>
    </w:rPr>
  </w:style>
  <w:style w:type="character" w:customStyle="1" w:styleId="normaltextrun">
    <w:name w:val="normaltextrun"/>
    <w:basedOn w:val="DefaultParagraphFont"/>
    <w:rsid w:val="005B0BC5"/>
  </w:style>
  <w:style w:type="character" w:customStyle="1" w:styleId="Heading3Char">
    <w:name w:val="Heading 3 Char"/>
    <w:basedOn w:val="DefaultParagraphFont"/>
    <w:link w:val="Heading3"/>
    <w:uiPriority w:val="9"/>
    <w:semiHidden/>
    <w:rsid w:val="00471A90"/>
    <w:rPr>
      <w:rFonts w:ascii="Times New Roman" w:eastAsia="Times New Roman" w:hAnsi="Times New Roman" w:cs="Times New Roman"/>
      <w:b/>
      <w:bCs/>
      <w:sz w:val="27"/>
      <w:szCs w:val="27"/>
    </w:rPr>
  </w:style>
  <w:style w:type="character" w:customStyle="1" w:styleId="scxw57816267">
    <w:name w:val="scxw57816267"/>
    <w:basedOn w:val="DefaultParagraphFont"/>
    <w:rsid w:val="006C1CF5"/>
  </w:style>
  <w:style w:type="paragraph" w:styleId="Title">
    <w:name w:val="Title"/>
    <w:basedOn w:val="Normal"/>
    <w:next w:val="Normal"/>
    <w:link w:val="TitleChar"/>
    <w:uiPriority w:val="10"/>
    <w:qFormat/>
    <w:rsid w:val="006C1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CF5"/>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6702">
      <w:bodyDiv w:val="1"/>
      <w:marLeft w:val="0"/>
      <w:marRight w:val="0"/>
      <w:marTop w:val="0"/>
      <w:marBottom w:val="0"/>
      <w:divBdr>
        <w:top w:val="none" w:sz="0" w:space="0" w:color="auto"/>
        <w:left w:val="none" w:sz="0" w:space="0" w:color="auto"/>
        <w:bottom w:val="none" w:sz="0" w:space="0" w:color="auto"/>
        <w:right w:val="none" w:sz="0" w:space="0" w:color="auto"/>
      </w:divBdr>
    </w:div>
    <w:div w:id="356858911">
      <w:bodyDiv w:val="1"/>
      <w:marLeft w:val="0"/>
      <w:marRight w:val="0"/>
      <w:marTop w:val="0"/>
      <w:marBottom w:val="0"/>
      <w:divBdr>
        <w:top w:val="none" w:sz="0" w:space="0" w:color="auto"/>
        <w:left w:val="none" w:sz="0" w:space="0" w:color="auto"/>
        <w:bottom w:val="none" w:sz="0" w:space="0" w:color="auto"/>
        <w:right w:val="none" w:sz="0" w:space="0" w:color="auto"/>
      </w:divBdr>
    </w:div>
    <w:div w:id="633874494">
      <w:bodyDiv w:val="1"/>
      <w:marLeft w:val="0"/>
      <w:marRight w:val="0"/>
      <w:marTop w:val="0"/>
      <w:marBottom w:val="0"/>
      <w:divBdr>
        <w:top w:val="none" w:sz="0" w:space="0" w:color="auto"/>
        <w:left w:val="none" w:sz="0" w:space="0" w:color="auto"/>
        <w:bottom w:val="none" w:sz="0" w:space="0" w:color="auto"/>
        <w:right w:val="none" w:sz="0" w:space="0" w:color="auto"/>
      </w:divBdr>
    </w:div>
    <w:div w:id="854269894">
      <w:bodyDiv w:val="1"/>
      <w:marLeft w:val="0"/>
      <w:marRight w:val="0"/>
      <w:marTop w:val="0"/>
      <w:marBottom w:val="0"/>
      <w:divBdr>
        <w:top w:val="none" w:sz="0" w:space="0" w:color="auto"/>
        <w:left w:val="none" w:sz="0" w:space="0" w:color="auto"/>
        <w:bottom w:val="none" w:sz="0" w:space="0" w:color="auto"/>
        <w:right w:val="none" w:sz="0" w:space="0" w:color="auto"/>
      </w:divBdr>
    </w:div>
    <w:div w:id="1405105974">
      <w:bodyDiv w:val="1"/>
      <w:marLeft w:val="0"/>
      <w:marRight w:val="0"/>
      <w:marTop w:val="0"/>
      <w:marBottom w:val="0"/>
      <w:divBdr>
        <w:top w:val="none" w:sz="0" w:space="0" w:color="auto"/>
        <w:left w:val="none" w:sz="0" w:space="0" w:color="auto"/>
        <w:bottom w:val="none" w:sz="0" w:space="0" w:color="auto"/>
        <w:right w:val="none" w:sz="0" w:space="0" w:color="auto"/>
      </w:divBdr>
    </w:div>
    <w:div w:id="1507330541">
      <w:bodyDiv w:val="1"/>
      <w:marLeft w:val="0"/>
      <w:marRight w:val="0"/>
      <w:marTop w:val="0"/>
      <w:marBottom w:val="0"/>
      <w:divBdr>
        <w:top w:val="none" w:sz="0" w:space="0" w:color="auto"/>
        <w:left w:val="none" w:sz="0" w:space="0" w:color="auto"/>
        <w:bottom w:val="none" w:sz="0" w:space="0" w:color="auto"/>
        <w:right w:val="none" w:sz="0" w:space="0" w:color="auto"/>
      </w:divBdr>
    </w:div>
    <w:div w:id="19143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sustainable-development-goals/indicators/5a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sustainable-development-goals/indicators/642/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stats.un.org/sdgs/files/Tier%20Classification%20of%20SDG%20Indicators_4%20April%202019_web.pdf" TargetMode="External"/><Relationship Id="rId3" Type="http://schemas.openxmlformats.org/officeDocument/2006/relationships/hyperlink" Target="http://www.fao.org/fileadmin/user_upload/bodies/CL_160/CL160_Report/MY722_CL_160_REP_en.pdf" TargetMode="External"/><Relationship Id="rId7" Type="http://schemas.openxmlformats.org/officeDocument/2006/relationships/hyperlink" Target="http://www.fao.org/3/CA3129EN/CA3129EN.pdf" TargetMode="External"/><Relationship Id="rId2" Type="http://schemas.openxmlformats.org/officeDocument/2006/relationships/hyperlink" Target="http://www.fao.org/3/CA3129EN/CA3129EN.pdf" TargetMode="External"/><Relationship Id="rId1" Type="http://schemas.openxmlformats.org/officeDocument/2006/relationships/hyperlink" Target="http://www.fao.org/about/meetings/multi-stakeholder-dialogue-on-biodiversity/en/" TargetMode="External"/><Relationship Id="rId6" Type="http://schemas.openxmlformats.org/officeDocument/2006/relationships/hyperlink" Target="http://www.fao.org/fileadmin/user_upload/bodies/Conference_2019/MY349_21/MY349_C_2019_21_en.pdf" TargetMode="External"/><Relationship Id="rId5" Type="http://schemas.openxmlformats.org/officeDocument/2006/relationships/hyperlink" Target="http://www.fao.org/fileadmin/user_upload/bodies/Conference_2019/MX775_24/MX775_C_2019_24_en.pdf" TargetMode="External"/><Relationship Id="rId10" Type="http://schemas.openxmlformats.org/officeDocument/2006/relationships/hyperlink" Target="http://www.fao.org/3/a-i6714e.pdf" TargetMode="External"/><Relationship Id="rId4" Type="http://schemas.openxmlformats.org/officeDocument/2006/relationships/hyperlink" Target="http://www.fao.org/fileadmin/user_upload/bodies/Conference_2019/MX970_23/MX970_C_2019_23_en.pdf" TargetMode="External"/><Relationship Id="rId9" Type="http://schemas.openxmlformats.org/officeDocument/2006/relationships/hyperlink" Target="http://www.fao.org/3/CA2639EN/ca263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B61B-7432-40DE-A09D-18F858DE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7</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Rahmanian, Maryam (CBDD);Patrick Kalas (CBDD)</dc:creator>
  <cp:keywords/>
  <dc:description/>
  <cp:lastModifiedBy>Rahmanian, Maryam (CBDD)</cp:lastModifiedBy>
  <cp:revision>14</cp:revision>
  <cp:lastPrinted>2019-05-03T13:21:00Z</cp:lastPrinted>
  <dcterms:created xsi:type="dcterms:W3CDTF">2019-05-03T08:05:00Z</dcterms:created>
  <dcterms:modified xsi:type="dcterms:W3CDTF">2019-05-03T15:02:00Z</dcterms:modified>
</cp:coreProperties>
</file>