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0C59F" w14:textId="6EBAB1C0" w:rsidR="00236608" w:rsidRPr="00293F53" w:rsidRDefault="00236608" w:rsidP="00790F3D">
      <w:pPr>
        <w:jc w:val="center"/>
        <w:rPr>
          <w:b/>
          <w:sz w:val="22"/>
          <w:szCs w:val="22"/>
        </w:rPr>
      </w:pPr>
      <w:r>
        <w:rPr>
          <w:b/>
          <w:sz w:val="22"/>
          <w:szCs w:val="22"/>
        </w:rPr>
        <w:t>Template</w:t>
      </w:r>
      <w:r w:rsidRPr="00293F53">
        <w:rPr>
          <w:b/>
          <w:sz w:val="22"/>
          <w:szCs w:val="22"/>
        </w:rPr>
        <w:t xml:space="preserve"> for the review of </w:t>
      </w:r>
      <w:r w:rsidR="00790F3D">
        <w:rPr>
          <w:b/>
          <w:sz w:val="22"/>
          <w:szCs w:val="22"/>
        </w:rPr>
        <w:t xml:space="preserve">the document on </w:t>
      </w:r>
      <w:r w:rsidR="00790F3D" w:rsidRPr="00790F3D">
        <w:rPr>
          <w:b/>
          <w:sz w:val="22"/>
          <w:szCs w:val="22"/>
        </w:rPr>
        <w:t xml:space="preserve">linkages between the post-2020 global biodiversity framework and </w:t>
      </w:r>
      <w:r w:rsidR="00790F3D">
        <w:rPr>
          <w:b/>
          <w:sz w:val="22"/>
          <w:szCs w:val="22"/>
        </w:rPr>
        <w:t xml:space="preserve">the </w:t>
      </w:r>
      <w:r w:rsidR="00790F3D" w:rsidRPr="00790F3D">
        <w:rPr>
          <w:b/>
          <w:sz w:val="22"/>
          <w:szCs w:val="22"/>
        </w:rPr>
        <w:t>2030</w:t>
      </w:r>
      <w:r w:rsidR="00790F3D">
        <w:rPr>
          <w:b/>
          <w:sz w:val="22"/>
          <w:szCs w:val="22"/>
        </w:rPr>
        <w:t xml:space="preserve"> </w:t>
      </w:r>
      <w:r w:rsidR="00790F3D" w:rsidRPr="00790F3D">
        <w:rPr>
          <w:b/>
          <w:sz w:val="22"/>
          <w:szCs w:val="22"/>
        </w:rPr>
        <w:t>agenda for sustainable development</w:t>
      </w:r>
    </w:p>
    <w:p w14:paraId="794A5BD2" w14:textId="77777777" w:rsidR="00236608" w:rsidRDefault="00236608" w:rsidP="00236608">
      <w:pPr>
        <w:pStyle w:val="Default"/>
        <w:jc w:val="center"/>
        <w:rPr>
          <w:b/>
          <w:sz w:val="22"/>
          <w:szCs w:val="22"/>
          <w:u w:val="single"/>
        </w:rPr>
      </w:pPr>
    </w:p>
    <w:p w14:paraId="34B17942" w14:textId="77777777" w:rsidR="00236608" w:rsidRDefault="00236608" w:rsidP="00236608">
      <w:pPr>
        <w:pStyle w:val="Default"/>
        <w:jc w:val="center"/>
        <w:rPr>
          <w:b/>
          <w:sz w:val="22"/>
          <w:szCs w:val="22"/>
          <w:u w:val="single"/>
        </w:rPr>
      </w:pPr>
      <w:r>
        <w:rPr>
          <w:b/>
          <w:sz w:val="22"/>
          <w:szCs w:val="22"/>
          <w:u w:val="single"/>
        </w:rPr>
        <w:t>TEMPLATE FOR COMMENTS</w:t>
      </w:r>
    </w:p>
    <w:p w14:paraId="17859718" w14:textId="77777777" w:rsidR="00236608" w:rsidRPr="00532BBA" w:rsidRDefault="00236608" w:rsidP="00236608">
      <w:pPr>
        <w:pStyle w:val="Default"/>
        <w:jc w:val="center"/>
        <w:rPr>
          <w:b/>
          <w:sz w:val="22"/>
          <w:szCs w:val="22"/>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231"/>
        <w:gridCol w:w="2037"/>
        <w:gridCol w:w="6102"/>
      </w:tblGrid>
      <w:tr w:rsidR="00236608" w:rsidRPr="000C0B6C" w14:paraId="6598FBAB" w14:textId="77777777" w:rsidTr="009251C2">
        <w:trPr>
          <w:trHeight w:val="233"/>
        </w:trPr>
        <w:tc>
          <w:tcPr>
            <w:tcW w:w="10188" w:type="dxa"/>
            <w:gridSpan w:val="4"/>
            <w:shd w:val="clear" w:color="auto" w:fill="C0C0C0"/>
          </w:tcPr>
          <w:p w14:paraId="297416BC" w14:textId="77777777" w:rsidR="00236608" w:rsidRPr="000C0B6C" w:rsidRDefault="00236608" w:rsidP="009251C2">
            <w:pPr>
              <w:jc w:val="center"/>
              <w:rPr>
                <w:i/>
              </w:rPr>
            </w:pPr>
            <w:r w:rsidRPr="000C0B6C">
              <w:rPr>
                <w:i/>
              </w:rPr>
              <w:t>Contact information</w:t>
            </w:r>
          </w:p>
        </w:tc>
      </w:tr>
      <w:tr w:rsidR="00236608" w:rsidRPr="000C0B6C" w14:paraId="212CCDF4" w14:textId="77777777" w:rsidTr="009251C2">
        <w:trPr>
          <w:trHeight w:val="270"/>
        </w:trPr>
        <w:tc>
          <w:tcPr>
            <w:tcW w:w="4086" w:type="dxa"/>
            <w:gridSpan w:val="3"/>
          </w:tcPr>
          <w:p w14:paraId="13CBB394"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6102" w:type="dxa"/>
          </w:tcPr>
          <w:p w14:paraId="08B4F522" w14:textId="4F11E354" w:rsidR="00236608" w:rsidRPr="000C0B6C" w:rsidRDefault="00397AF3" w:rsidP="009251C2">
            <w:r>
              <w:t>Lahiri</w:t>
            </w:r>
          </w:p>
        </w:tc>
      </w:tr>
      <w:tr w:rsidR="00236608" w:rsidRPr="000C0B6C" w14:paraId="70478EC8" w14:textId="77777777" w:rsidTr="009251C2">
        <w:trPr>
          <w:trHeight w:val="270"/>
        </w:trPr>
        <w:tc>
          <w:tcPr>
            <w:tcW w:w="4086" w:type="dxa"/>
            <w:gridSpan w:val="3"/>
          </w:tcPr>
          <w:p w14:paraId="4EE5D0BF"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6102" w:type="dxa"/>
          </w:tcPr>
          <w:p w14:paraId="618617AF" w14:textId="122A9123" w:rsidR="00236608" w:rsidRPr="000C0B6C" w:rsidRDefault="00397AF3" w:rsidP="009251C2">
            <w:r>
              <w:t>Souparna</w:t>
            </w:r>
          </w:p>
        </w:tc>
      </w:tr>
      <w:tr w:rsidR="00236608" w:rsidRPr="000C0B6C" w14:paraId="60004B01" w14:textId="77777777" w:rsidTr="009251C2">
        <w:trPr>
          <w:trHeight w:val="280"/>
        </w:trPr>
        <w:tc>
          <w:tcPr>
            <w:tcW w:w="4086" w:type="dxa"/>
            <w:gridSpan w:val="3"/>
          </w:tcPr>
          <w:p w14:paraId="043D7251"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6102" w:type="dxa"/>
          </w:tcPr>
          <w:p w14:paraId="44573104" w14:textId="77777777" w:rsidR="00236608" w:rsidRPr="000C0B6C" w:rsidRDefault="00236608" w:rsidP="009251C2"/>
        </w:tc>
      </w:tr>
      <w:tr w:rsidR="00236608" w:rsidRPr="000C0B6C" w14:paraId="41DAE210" w14:textId="77777777" w:rsidTr="009251C2">
        <w:trPr>
          <w:trHeight w:val="270"/>
        </w:trPr>
        <w:tc>
          <w:tcPr>
            <w:tcW w:w="4086" w:type="dxa"/>
            <w:gridSpan w:val="3"/>
          </w:tcPr>
          <w:p w14:paraId="064A5C6E"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6102" w:type="dxa"/>
          </w:tcPr>
          <w:p w14:paraId="6DC88D1F" w14:textId="3F268F81" w:rsidR="00236608" w:rsidRPr="000C0B6C" w:rsidRDefault="00397AF3" w:rsidP="009251C2">
            <w:r>
              <w:t>Global Forest Coalition</w:t>
            </w:r>
          </w:p>
        </w:tc>
      </w:tr>
      <w:tr w:rsidR="00236608" w:rsidRPr="000C0B6C" w14:paraId="19EAFF8D" w14:textId="77777777" w:rsidTr="009251C2">
        <w:trPr>
          <w:trHeight w:val="280"/>
        </w:trPr>
        <w:tc>
          <w:tcPr>
            <w:tcW w:w="4086" w:type="dxa"/>
            <w:gridSpan w:val="3"/>
          </w:tcPr>
          <w:p w14:paraId="051F46C6"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6102" w:type="dxa"/>
          </w:tcPr>
          <w:p w14:paraId="1BEACDEF" w14:textId="77777777" w:rsidR="00236608" w:rsidRPr="000C0B6C" w:rsidRDefault="00236608" w:rsidP="009251C2"/>
        </w:tc>
      </w:tr>
      <w:tr w:rsidR="00236608" w:rsidRPr="000C0B6C" w14:paraId="3310BC30" w14:textId="77777777" w:rsidTr="009251C2">
        <w:trPr>
          <w:trHeight w:val="270"/>
        </w:trPr>
        <w:tc>
          <w:tcPr>
            <w:tcW w:w="4086" w:type="dxa"/>
            <w:gridSpan w:val="3"/>
          </w:tcPr>
          <w:p w14:paraId="675A80C3"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6102" w:type="dxa"/>
          </w:tcPr>
          <w:p w14:paraId="160AB00E" w14:textId="693A18E2" w:rsidR="00236608" w:rsidRPr="000C0B6C" w:rsidRDefault="00397AF3" w:rsidP="009251C2">
            <w:r>
              <w:t>Amsterdam</w:t>
            </w:r>
          </w:p>
        </w:tc>
      </w:tr>
      <w:tr w:rsidR="00236608" w:rsidRPr="000C0B6C" w14:paraId="0303D967" w14:textId="77777777" w:rsidTr="009251C2">
        <w:trPr>
          <w:trHeight w:val="280"/>
        </w:trPr>
        <w:tc>
          <w:tcPr>
            <w:tcW w:w="4086" w:type="dxa"/>
            <w:gridSpan w:val="3"/>
          </w:tcPr>
          <w:p w14:paraId="241052A2"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6102" w:type="dxa"/>
          </w:tcPr>
          <w:p w14:paraId="213ED87C" w14:textId="157667F1" w:rsidR="00236608" w:rsidRPr="000C0B6C" w:rsidRDefault="00397AF3" w:rsidP="009251C2">
            <w:r>
              <w:t>Netherlands</w:t>
            </w:r>
          </w:p>
        </w:tc>
      </w:tr>
      <w:tr w:rsidR="00236608" w:rsidRPr="000C0B6C" w14:paraId="7C74835B" w14:textId="77777777" w:rsidTr="009251C2">
        <w:trPr>
          <w:trHeight w:val="233"/>
        </w:trPr>
        <w:tc>
          <w:tcPr>
            <w:tcW w:w="4086" w:type="dxa"/>
            <w:gridSpan w:val="3"/>
          </w:tcPr>
          <w:p w14:paraId="45DEDB26" w14:textId="77777777" w:rsidR="00236608" w:rsidRPr="000C0B6C" w:rsidRDefault="00236608" w:rsidP="009251C2">
            <w:pPr>
              <w:pStyle w:val="CommentSubject"/>
              <w:rPr>
                <w:sz w:val="22"/>
                <w:szCs w:val="22"/>
              </w:rPr>
            </w:pPr>
            <w:r w:rsidRPr="000C0B6C">
              <w:rPr>
                <w:sz w:val="22"/>
                <w:szCs w:val="22"/>
              </w:rPr>
              <w:t>E-mail:</w:t>
            </w:r>
          </w:p>
        </w:tc>
        <w:tc>
          <w:tcPr>
            <w:tcW w:w="6102" w:type="dxa"/>
          </w:tcPr>
          <w:p w14:paraId="118A29DB" w14:textId="5AAF99D5" w:rsidR="00236608" w:rsidRPr="000C0B6C" w:rsidRDefault="00893D7E" w:rsidP="009251C2">
            <w:hyperlink r:id="rId7" w:history="1">
              <w:r w:rsidR="00CB3C81" w:rsidRPr="00DF21CE">
                <w:rPr>
                  <w:rStyle w:val="Hyperlink"/>
                </w:rPr>
                <w:t>souparna.lahiri@gmail.com</w:t>
              </w:r>
            </w:hyperlink>
          </w:p>
        </w:tc>
      </w:tr>
      <w:tr w:rsidR="00236608" w:rsidRPr="000C0B6C" w14:paraId="623341FC" w14:textId="77777777" w:rsidTr="009251C2">
        <w:trPr>
          <w:trHeight w:val="224"/>
        </w:trPr>
        <w:tc>
          <w:tcPr>
            <w:tcW w:w="10188" w:type="dxa"/>
            <w:gridSpan w:val="4"/>
            <w:shd w:val="clear" w:color="auto" w:fill="C0C0C0"/>
          </w:tcPr>
          <w:p w14:paraId="1CE0413B" w14:textId="77777777" w:rsidR="00236608" w:rsidRPr="000C0B6C" w:rsidRDefault="00236608" w:rsidP="009251C2">
            <w:pPr>
              <w:jc w:val="center"/>
              <w:rPr>
                <w:b/>
                <w:i/>
              </w:rPr>
            </w:pPr>
            <w:r w:rsidRPr="000C0B6C">
              <w:rPr>
                <w:b/>
                <w:i/>
                <w:highlight w:val="lightGray"/>
              </w:rPr>
              <w:t>Comments</w:t>
            </w:r>
          </w:p>
        </w:tc>
      </w:tr>
      <w:tr w:rsidR="00236608" w:rsidRPr="000C0B6C" w14:paraId="2D6B6755" w14:textId="77777777" w:rsidTr="009251C2">
        <w:trPr>
          <w:trHeight w:val="224"/>
        </w:trPr>
        <w:tc>
          <w:tcPr>
            <w:tcW w:w="818" w:type="dxa"/>
          </w:tcPr>
          <w:p w14:paraId="63773A4F" w14:textId="77777777" w:rsidR="00236608" w:rsidRPr="000C0B6C" w:rsidRDefault="00236608" w:rsidP="009251C2">
            <w:pPr>
              <w:rPr>
                <w:b/>
              </w:rPr>
            </w:pPr>
            <w:r w:rsidRPr="000C0B6C">
              <w:rPr>
                <w:b/>
                <w:sz w:val="22"/>
                <w:szCs w:val="22"/>
              </w:rPr>
              <w:t xml:space="preserve">Page </w:t>
            </w:r>
          </w:p>
        </w:tc>
        <w:tc>
          <w:tcPr>
            <w:tcW w:w="1231" w:type="dxa"/>
          </w:tcPr>
          <w:p w14:paraId="7004D9C3" w14:textId="77777777" w:rsidR="00236608" w:rsidRPr="000C0B6C" w:rsidRDefault="00236608" w:rsidP="009251C2">
            <w:pPr>
              <w:rPr>
                <w:b/>
              </w:rPr>
            </w:pPr>
            <w:r>
              <w:rPr>
                <w:b/>
                <w:sz w:val="22"/>
                <w:szCs w:val="22"/>
              </w:rPr>
              <w:t>Paragraph</w:t>
            </w:r>
          </w:p>
        </w:tc>
        <w:tc>
          <w:tcPr>
            <w:tcW w:w="8139" w:type="dxa"/>
            <w:gridSpan w:val="2"/>
          </w:tcPr>
          <w:p w14:paraId="052311B8" w14:textId="77777777" w:rsidR="00236608" w:rsidRPr="000C0B6C" w:rsidRDefault="00236608" w:rsidP="009251C2">
            <w:pPr>
              <w:rPr>
                <w:b/>
              </w:rPr>
            </w:pPr>
            <w:r w:rsidRPr="000C0B6C">
              <w:rPr>
                <w:b/>
                <w:sz w:val="22"/>
                <w:szCs w:val="22"/>
              </w:rPr>
              <w:t>Comment</w:t>
            </w:r>
          </w:p>
        </w:tc>
      </w:tr>
      <w:tr w:rsidR="00236608" w:rsidRPr="000C0B6C" w14:paraId="0F2CD79B" w14:textId="77777777" w:rsidTr="009251C2">
        <w:trPr>
          <w:trHeight w:val="233"/>
        </w:trPr>
        <w:tc>
          <w:tcPr>
            <w:tcW w:w="818" w:type="dxa"/>
          </w:tcPr>
          <w:p w14:paraId="0C67F728" w14:textId="77777777" w:rsidR="00236608" w:rsidRPr="00CB3C81" w:rsidRDefault="00236608" w:rsidP="009251C2">
            <w:pPr>
              <w:rPr>
                <w:rFonts w:ascii="Arial" w:hAnsi="Arial" w:cs="Arial"/>
              </w:rPr>
            </w:pPr>
            <w:r w:rsidRPr="00CB3C81">
              <w:rPr>
                <w:rFonts w:ascii="Arial" w:hAnsi="Arial" w:cs="Arial"/>
              </w:rPr>
              <w:t>0</w:t>
            </w:r>
          </w:p>
        </w:tc>
        <w:tc>
          <w:tcPr>
            <w:tcW w:w="1231" w:type="dxa"/>
          </w:tcPr>
          <w:p w14:paraId="0B8173C1" w14:textId="77777777" w:rsidR="00236608" w:rsidRPr="00CB3C81" w:rsidRDefault="00236608" w:rsidP="009251C2">
            <w:pPr>
              <w:rPr>
                <w:rFonts w:ascii="Arial" w:hAnsi="Arial" w:cs="Arial"/>
              </w:rPr>
            </w:pPr>
            <w:r w:rsidRPr="00CB3C81">
              <w:rPr>
                <w:rFonts w:ascii="Arial" w:hAnsi="Arial" w:cs="Arial"/>
              </w:rPr>
              <w:t>0</w:t>
            </w:r>
          </w:p>
        </w:tc>
        <w:tc>
          <w:tcPr>
            <w:tcW w:w="8139" w:type="dxa"/>
            <w:gridSpan w:val="2"/>
          </w:tcPr>
          <w:p w14:paraId="33F94EBC" w14:textId="01484B66" w:rsidR="0041170B" w:rsidRPr="00CB3C81" w:rsidRDefault="0041170B" w:rsidP="0041170B">
            <w:pPr>
              <w:shd w:val="clear" w:color="auto" w:fill="FFFFFF"/>
              <w:rPr>
                <w:rFonts w:ascii="Arial" w:hAnsi="Arial" w:cs="Arial"/>
                <w:color w:val="222222"/>
              </w:rPr>
            </w:pPr>
            <w:r w:rsidRPr="00CB3C81">
              <w:rPr>
                <w:rFonts w:ascii="Arial" w:hAnsi="Arial" w:cs="Arial"/>
                <w:color w:val="222222"/>
              </w:rPr>
              <w:t>The document on the </w:t>
            </w:r>
            <w:hyperlink r:id="rId8" w:tgtFrame="_blank" w:history="1">
              <w:r w:rsidRPr="00CB3C81">
                <w:rPr>
                  <w:rStyle w:val="Hyperlink"/>
                  <w:rFonts w:ascii="Arial" w:hAnsi="Arial" w:cs="Arial"/>
                  <w:color w:val="1155CC"/>
                </w:rPr>
                <w:t>Monitoring framework</w:t>
              </w:r>
            </w:hyperlink>
            <w:r w:rsidRPr="00CB3C81">
              <w:rPr>
                <w:rFonts w:ascii="Arial" w:hAnsi="Arial" w:cs="Arial"/>
                <w:color w:val="222222"/>
              </w:rPr>
              <w:t> mentions that "the updated formulations of the proposed 2050 goals and the 2030 targets as well as proposed 2030 milestones are provided for context only" where as in this document such a text is lacking and simply mentions about a “draft” text.</w:t>
            </w:r>
          </w:p>
          <w:p w14:paraId="00426BC3" w14:textId="3AC32FDB" w:rsidR="00236608" w:rsidRPr="00CB3C81" w:rsidRDefault="00236608" w:rsidP="009251C2">
            <w:pPr>
              <w:rPr>
                <w:rFonts w:ascii="Arial" w:hAnsi="Arial" w:cs="Arial"/>
              </w:rPr>
            </w:pPr>
          </w:p>
        </w:tc>
      </w:tr>
      <w:tr w:rsidR="00236608" w:rsidRPr="000C0B6C" w14:paraId="0C9C63D9" w14:textId="77777777" w:rsidTr="009251C2">
        <w:trPr>
          <w:trHeight w:val="224"/>
        </w:trPr>
        <w:tc>
          <w:tcPr>
            <w:tcW w:w="818" w:type="dxa"/>
          </w:tcPr>
          <w:p w14:paraId="46581EE4" w14:textId="46443024" w:rsidR="00236608" w:rsidRPr="00CB3C81" w:rsidRDefault="00584239" w:rsidP="009251C2">
            <w:pPr>
              <w:rPr>
                <w:rFonts w:ascii="Arial" w:hAnsi="Arial" w:cs="Arial"/>
              </w:rPr>
            </w:pPr>
            <w:r w:rsidRPr="00CB3C81">
              <w:rPr>
                <w:rFonts w:ascii="Arial" w:hAnsi="Arial" w:cs="Arial"/>
              </w:rPr>
              <w:t>0</w:t>
            </w:r>
          </w:p>
        </w:tc>
        <w:tc>
          <w:tcPr>
            <w:tcW w:w="1231" w:type="dxa"/>
          </w:tcPr>
          <w:p w14:paraId="3DA5E0E9" w14:textId="40F7AD32" w:rsidR="00236608" w:rsidRPr="00CB3C81" w:rsidRDefault="00584239" w:rsidP="009251C2">
            <w:pPr>
              <w:rPr>
                <w:rFonts w:ascii="Arial" w:hAnsi="Arial" w:cs="Arial"/>
              </w:rPr>
            </w:pPr>
            <w:r w:rsidRPr="00CB3C81">
              <w:rPr>
                <w:rFonts w:ascii="Arial" w:hAnsi="Arial" w:cs="Arial"/>
              </w:rPr>
              <w:t>0</w:t>
            </w:r>
          </w:p>
        </w:tc>
        <w:tc>
          <w:tcPr>
            <w:tcW w:w="8139" w:type="dxa"/>
            <w:gridSpan w:val="2"/>
          </w:tcPr>
          <w:p w14:paraId="1FB20CA9" w14:textId="5DFA29CA" w:rsidR="00236608" w:rsidRPr="00CB3C81" w:rsidRDefault="00584239" w:rsidP="009251C2">
            <w:pPr>
              <w:rPr>
                <w:rFonts w:ascii="Arial" w:hAnsi="Arial" w:cs="Arial"/>
              </w:rPr>
            </w:pPr>
            <w:r w:rsidRPr="00CB3C81">
              <w:rPr>
                <w:rFonts w:ascii="Arial" w:hAnsi="Arial" w:cs="Arial"/>
                <w:color w:val="222222"/>
                <w:shd w:val="clear" w:color="auto" w:fill="FFFFFF"/>
              </w:rPr>
              <w:t>What is presented as “</w:t>
            </w:r>
            <w:r w:rsidRPr="00CB3C81">
              <w:rPr>
                <w:rFonts w:ascii="Arial" w:hAnsi="Arial" w:cs="Arial"/>
                <w:i/>
                <w:iCs/>
                <w:color w:val="222222"/>
                <w:shd w:val="clear" w:color="auto" w:fill="FFFFFF"/>
              </w:rPr>
              <w:t>updated</w:t>
            </w:r>
            <w:r w:rsidRPr="00CB3C81">
              <w:rPr>
                <w:rFonts w:ascii="Arial" w:hAnsi="Arial" w:cs="Arial"/>
                <w:color w:val="222222"/>
                <w:shd w:val="clear" w:color="auto" w:fill="FFFFFF"/>
              </w:rPr>
              <w:t> or </w:t>
            </w:r>
            <w:r w:rsidRPr="00CB3C81">
              <w:rPr>
                <w:rFonts w:ascii="Arial" w:hAnsi="Arial" w:cs="Arial"/>
                <w:i/>
                <w:iCs/>
                <w:color w:val="222222"/>
                <w:shd w:val="clear" w:color="auto" w:fill="FFFFFF"/>
              </w:rPr>
              <w:t>draft </w:t>
            </w:r>
            <w:r w:rsidRPr="00CB3C81">
              <w:rPr>
                <w:rFonts w:ascii="Arial" w:hAnsi="Arial" w:cs="Arial"/>
                <w:color w:val="222222"/>
                <w:shd w:val="clear" w:color="auto" w:fill="FFFFFF"/>
              </w:rPr>
              <w:t>goals and targets of the post-2020 GBF” to our knowledge does not have any other status besides speculation, and many of the comments of both Parties and observers to the meeting of the Ad Hoc Open-Ended Working Group on the GBF last February are not reflected in these draft goals and targets. So we feel they cannot be taken as a basis for this analysis or any SBSTTA documents in general. We urge the Secretariat to respect the inputs from both Parties and observers into the post-2020 GBF negotiations and not to pre-judge the outcome of this process. As a feminist coalition of IPOs and NGOs we are particularly concerned about the omission of a large number of suggestions to strengthen the human rights and gender dimension of the post-2020 GBF.</w:t>
            </w:r>
          </w:p>
        </w:tc>
      </w:tr>
      <w:tr w:rsidR="00236608" w:rsidRPr="000C0B6C" w14:paraId="6153AF8D" w14:textId="77777777" w:rsidTr="009251C2">
        <w:trPr>
          <w:trHeight w:val="233"/>
        </w:trPr>
        <w:tc>
          <w:tcPr>
            <w:tcW w:w="818" w:type="dxa"/>
          </w:tcPr>
          <w:p w14:paraId="66AF3500" w14:textId="5AB7F9CB" w:rsidR="00236608" w:rsidRPr="00CB3C81" w:rsidRDefault="00EE1719" w:rsidP="009251C2">
            <w:pPr>
              <w:rPr>
                <w:rFonts w:ascii="Arial" w:hAnsi="Arial" w:cs="Arial"/>
              </w:rPr>
            </w:pPr>
            <w:r w:rsidRPr="00CB3C81">
              <w:rPr>
                <w:rFonts w:ascii="Arial" w:hAnsi="Arial" w:cs="Arial"/>
              </w:rPr>
              <w:t>0</w:t>
            </w:r>
          </w:p>
        </w:tc>
        <w:tc>
          <w:tcPr>
            <w:tcW w:w="1231" w:type="dxa"/>
          </w:tcPr>
          <w:p w14:paraId="6A91318A" w14:textId="5EF6C0BA" w:rsidR="00236608" w:rsidRPr="00CB3C81" w:rsidRDefault="00EE1719" w:rsidP="009251C2">
            <w:pPr>
              <w:rPr>
                <w:rFonts w:ascii="Arial" w:hAnsi="Arial" w:cs="Arial"/>
              </w:rPr>
            </w:pPr>
            <w:r w:rsidRPr="00CB3C81">
              <w:rPr>
                <w:rFonts w:ascii="Arial" w:hAnsi="Arial" w:cs="Arial"/>
              </w:rPr>
              <w:t>0</w:t>
            </w:r>
          </w:p>
        </w:tc>
        <w:tc>
          <w:tcPr>
            <w:tcW w:w="8139" w:type="dxa"/>
            <w:gridSpan w:val="2"/>
          </w:tcPr>
          <w:p w14:paraId="5F267497" w14:textId="62B9FEE6" w:rsidR="00236608" w:rsidRPr="00CB3C81" w:rsidRDefault="00EE1719" w:rsidP="009251C2">
            <w:pPr>
              <w:rPr>
                <w:rFonts w:ascii="Arial" w:hAnsi="Arial" w:cs="Arial"/>
              </w:rPr>
            </w:pPr>
            <w:r w:rsidRPr="00CB3C81">
              <w:rPr>
                <w:rFonts w:ascii="Arial" w:hAnsi="Arial" w:cs="Arial"/>
                <w:color w:val="222222"/>
                <w:shd w:val="clear" w:color="auto" w:fill="FFFFFF"/>
              </w:rPr>
              <w:t>Lack of gender mainstreaming, and integration of rights-based approaches in general in the “new” draft targets.</w:t>
            </w:r>
          </w:p>
        </w:tc>
      </w:tr>
      <w:tr w:rsidR="00236608" w:rsidRPr="000C0B6C" w14:paraId="6D0FC60A" w14:textId="77777777" w:rsidTr="009251C2">
        <w:trPr>
          <w:trHeight w:val="224"/>
        </w:trPr>
        <w:tc>
          <w:tcPr>
            <w:tcW w:w="818" w:type="dxa"/>
          </w:tcPr>
          <w:p w14:paraId="6282A73C" w14:textId="336EE222" w:rsidR="00236608" w:rsidRPr="00CB3C81" w:rsidRDefault="0005402D" w:rsidP="009251C2">
            <w:pPr>
              <w:rPr>
                <w:rFonts w:ascii="Arial" w:hAnsi="Arial" w:cs="Arial"/>
              </w:rPr>
            </w:pPr>
            <w:r w:rsidRPr="00CB3C81">
              <w:rPr>
                <w:rFonts w:ascii="Arial" w:hAnsi="Arial" w:cs="Arial"/>
              </w:rPr>
              <w:t>0</w:t>
            </w:r>
          </w:p>
        </w:tc>
        <w:tc>
          <w:tcPr>
            <w:tcW w:w="1231" w:type="dxa"/>
          </w:tcPr>
          <w:p w14:paraId="4956A208" w14:textId="3FE60E37" w:rsidR="00236608" w:rsidRPr="00CB3C81" w:rsidRDefault="0005402D" w:rsidP="009251C2">
            <w:pPr>
              <w:rPr>
                <w:rFonts w:ascii="Arial" w:hAnsi="Arial" w:cs="Arial"/>
              </w:rPr>
            </w:pPr>
            <w:r w:rsidRPr="00CB3C81">
              <w:rPr>
                <w:rFonts w:ascii="Arial" w:hAnsi="Arial" w:cs="Arial"/>
              </w:rPr>
              <w:t>0</w:t>
            </w:r>
          </w:p>
        </w:tc>
        <w:tc>
          <w:tcPr>
            <w:tcW w:w="8139" w:type="dxa"/>
            <w:gridSpan w:val="2"/>
          </w:tcPr>
          <w:p w14:paraId="1B92E2B4" w14:textId="7F4AEC53" w:rsidR="00236608" w:rsidRPr="00CB3C81" w:rsidRDefault="0005402D" w:rsidP="009251C2">
            <w:pPr>
              <w:rPr>
                <w:rFonts w:ascii="Arial" w:hAnsi="Arial" w:cs="Arial"/>
              </w:rPr>
            </w:pPr>
            <w:r w:rsidRPr="00CB3C81">
              <w:rPr>
                <w:rFonts w:ascii="Arial" w:hAnsi="Arial" w:cs="Arial"/>
                <w:color w:val="222222"/>
                <w:shd w:val="clear" w:color="auto" w:fill="FFFFFF"/>
              </w:rPr>
              <w:t>The text mentions nature-based solutions and differentiates between “nature-based solutions and ecosystem-based approaches” which would imply NBS are not ecosystem-based approaches. So what are they?</w:t>
            </w:r>
          </w:p>
        </w:tc>
      </w:tr>
      <w:tr w:rsidR="00236608" w:rsidRPr="000C0B6C" w14:paraId="30930566" w14:textId="77777777" w:rsidTr="009251C2">
        <w:trPr>
          <w:trHeight w:val="224"/>
        </w:trPr>
        <w:tc>
          <w:tcPr>
            <w:tcW w:w="818" w:type="dxa"/>
          </w:tcPr>
          <w:p w14:paraId="7E88CD75" w14:textId="49C4141B" w:rsidR="00236608" w:rsidRPr="00CB3C81" w:rsidRDefault="00893256" w:rsidP="009251C2">
            <w:pPr>
              <w:rPr>
                <w:rFonts w:ascii="Arial" w:hAnsi="Arial" w:cs="Arial"/>
              </w:rPr>
            </w:pPr>
            <w:r w:rsidRPr="00CB3C81">
              <w:rPr>
                <w:rFonts w:ascii="Arial" w:hAnsi="Arial" w:cs="Arial"/>
              </w:rPr>
              <w:t>0</w:t>
            </w:r>
          </w:p>
        </w:tc>
        <w:tc>
          <w:tcPr>
            <w:tcW w:w="1231" w:type="dxa"/>
          </w:tcPr>
          <w:p w14:paraId="613F0F0B" w14:textId="024437ED" w:rsidR="00236608" w:rsidRPr="00CB3C81" w:rsidRDefault="00893256" w:rsidP="009251C2">
            <w:pPr>
              <w:rPr>
                <w:rFonts w:ascii="Arial" w:hAnsi="Arial" w:cs="Arial"/>
              </w:rPr>
            </w:pPr>
            <w:r w:rsidRPr="00CB3C81">
              <w:rPr>
                <w:rFonts w:ascii="Arial" w:hAnsi="Arial" w:cs="Arial"/>
              </w:rPr>
              <w:t>0</w:t>
            </w:r>
          </w:p>
        </w:tc>
        <w:tc>
          <w:tcPr>
            <w:tcW w:w="8139" w:type="dxa"/>
            <w:gridSpan w:val="2"/>
          </w:tcPr>
          <w:p w14:paraId="4B30F77B" w14:textId="404526C0" w:rsidR="00236608" w:rsidRPr="00CB3C81" w:rsidRDefault="00893256" w:rsidP="009251C2">
            <w:pPr>
              <w:rPr>
                <w:rFonts w:ascii="Arial" w:hAnsi="Arial" w:cs="Arial"/>
              </w:rPr>
            </w:pPr>
            <w:r w:rsidRPr="00CB3C81">
              <w:rPr>
                <w:rFonts w:ascii="Arial" w:hAnsi="Arial" w:cs="Arial"/>
              </w:rPr>
              <w:t xml:space="preserve">No </w:t>
            </w:r>
            <w:r w:rsidRPr="00CB3C81">
              <w:rPr>
                <w:rFonts w:ascii="Arial" w:hAnsi="Arial" w:cs="Arial"/>
                <w:color w:val="222222"/>
                <w:shd w:val="clear" w:color="auto" w:fill="FFFFFF"/>
              </w:rPr>
              <w:t>reference to harmful investments and the need to address them.</w:t>
            </w:r>
          </w:p>
        </w:tc>
      </w:tr>
      <w:tr w:rsidR="00C61BB8" w:rsidRPr="000C0B6C" w14:paraId="7FD65A43" w14:textId="77777777" w:rsidTr="009251C2">
        <w:trPr>
          <w:trHeight w:val="224"/>
        </w:trPr>
        <w:tc>
          <w:tcPr>
            <w:tcW w:w="818" w:type="dxa"/>
          </w:tcPr>
          <w:p w14:paraId="0FAC47D3" w14:textId="5D51AFF4" w:rsidR="00C61BB8" w:rsidRPr="00CB3C81" w:rsidRDefault="00C61BB8" w:rsidP="009251C2">
            <w:pPr>
              <w:rPr>
                <w:rFonts w:ascii="Arial" w:hAnsi="Arial" w:cs="Arial"/>
              </w:rPr>
            </w:pPr>
            <w:r>
              <w:rPr>
                <w:rFonts w:ascii="Arial" w:hAnsi="Arial" w:cs="Arial"/>
              </w:rPr>
              <w:t>0</w:t>
            </w:r>
          </w:p>
        </w:tc>
        <w:tc>
          <w:tcPr>
            <w:tcW w:w="1231" w:type="dxa"/>
          </w:tcPr>
          <w:p w14:paraId="5F4C1542" w14:textId="21D807F9" w:rsidR="00C61BB8" w:rsidRPr="00CB3C81" w:rsidRDefault="00C61BB8" w:rsidP="009251C2">
            <w:pPr>
              <w:rPr>
                <w:rFonts w:ascii="Arial" w:hAnsi="Arial" w:cs="Arial"/>
              </w:rPr>
            </w:pPr>
            <w:r>
              <w:rPr>
                <w:rFonts w:ascii="Arial" w:hAnsi="Arial" w:cs="Arial"/>
              </w:rPr>
              <w:t>0</w:t>
            </w:r>
          </w:p>
        </w:tc>
        <w:tc>
          <w:tcPr>
            <w:tcW w:w="8139" w:type="dxa"/>
            <w:gridSpan w:val="2"/>
          </w:tcPr>
          <w:p w14:paraId="04D87A3E" w14:textId="103F49E4" w:rsidR="00C61BB8" w:rsidRPr="00CB3C81" w:rsidRDefault="00893D7E" w:rsidP="009251C2">
            <w:pPr>
              <w:rPr>
                <w:rFonts w:ascii="Arial" w:hAnsi="Arial" w:cs="Arial"/>
                <w:color w:val="222222"/>
                <w:shd w:val="clear" w:color="auto" w:fill="FFFFFF"/>
              </w:rPr>
            </w:pPr>
            <w:r>
              <w:rPr>
                <w:rFonts w:ascii="Arial" w:hAnsi="Arial" w:cs="Arial"/>
                <w:color w:val="222222"/>
                <w:shd w:val="clear" w:color="auto" w:fill="FFFFFF"/>
              </w:rPr>
              <w:t>A</w:t>
            </w:r>
            <w:r>
              <w:rPr>
                <w:rFonts w:ascii="Arial" w:hAnsi="Arial" w:cs="Arial"/>
                <w:color w:val="222222"/>
                <w:shd w:val="clear" w:color="auto" w:fill="FFFFFF"/>
              </w:rPr>
              <w:t xml:space="preserve"> profound assessment of the effectiveness and social impacts of existing protected areas</w:t>
            </w:r>
            <w:r>
              <w:rPr>
                <w:rFonts w:ascii="Arial" w:hAnsi="Arial" w:cs="Arial"/>
                <w:color w:val="222222"/>
                <w:shd w:val="clear" w:color="auto" w:fill="FFFFFF"/>
              </w:rPr>
              <w:t xml:space="preserve"> is needed</w:t>
            </w:r>
            <w:r>
              <w:rPr>
                <w:rFonts w:ascii="Arial" w:hAnsi="Arial" w:cs="Arial"/>
                <w:color w:val="222222"/>
                <w:shd w:val="clear" w:color="auto" w:fill="FFFFFF"/>
              </w:rPr>
              <w:t xml:space="preserve"> before a new protected area target is adopted.</w:t>
            </w:r>
            <w:r>
              <w:rPr>
                <w:rFonts w:ascii="Arial" w:hAnsi="Arial" w:cs="Arial"/>
                <w:color w:val="222222"/>
                <w:shd w:val="clear" w:color="auto" w:fill="FFFFFF"/>
              </w:rPr>
              <w:t xml:space="preserve"> An assessment of real impacts of protected areas on SDG1, SDG 2 and SDG5 is needed.</w:t>
            </w:r>
          </w:p>
        </w:tc>
      </w:tr>
      <w:tr w:rsidR="00236608" w:rsidRPr="000C0B6C" w14:paraId="419DB47A" w14:textId="77777777" w:rsidTr="009251C2">
        <w:trPr>
          <w:trHeight w:val="224"/>
        </w:trPr>
        <w:tc>
          <w:tcPr>
            <w:tcW w:w="818" w:type="dxa"/>
          </w:tcPr>
          <w:p w14:paraId="583A2152" w14:textId="7B4BFDD7" w:rsidR="00236608" w:rsidRPr="00CB3C81" w:rsidRDefault="00CB3C81" w:rsidP="009251C2">
            <w:pPr>
              <w:rPr>
                <w:rFonts w:ascii="Arial" w:hAnsi="Arial" w:cs="Arial"/>
              </w:rPr>
            </w:pPr>
            <w:r w:rsidRPr="00CB3C81">
              <w:rPr>
                <w:rFonts w:ascii="Arial" w:hAnsi="Arial" w:cs="Arial"/>
              </w:rPr>
              <w:lastRenderedPageBreak/>
              <w:t>28</w:t>
            </w:r>
          </w:p>
        </w:tc>
        <w:tc>
          <w:tcPr>
            <w:tcW w:w="1231" w:type="dxa"/>
          </w:tcPr>
          <w:p w14:paraId="491D28B8" w14:textId="593AC89F" w:rsidR="00236608" w:rsidRPr="00CB3C81" w:rsidRDefault="00CB3C81" w:rsidP="009251C2">
            <w:pPr>
              <w:rPr>
                <w:rFonts w:ascii="Arial" w:hAnsi="Arial" w:cs="Arial"/>
              </w:rPr>
            </w:pPr>
            <w:r w:rsidRPr="00CB3C81">
              <w:rPr>
                <w:rFonts w:ascii="Arial" w:hAnsi="Arial" w:cs="Arial"/>
              </w:rPr>
              <w:t>12</w:t>
            </w:r>
          </w:p>
        </w:tc>
        <w:tc>
          <w:tcPr>
            <w:tcW w:w="8139" w:type="dxa"/>
            <w:gridSpan w:val="2"/>
          </w:tcPr>
          <w:p w14:paraId="7EB00430" w14:textId="79230BE2" w:rsidR="00236608" w:rsidRPr="00CB3C81" w:rsidRDefault="00CB3C81" w:rsidP="009251C2">
            <w:pPr>
              <w:rPr>
                <w:rFonts w:ascii="Arial" w:hAnsi="Arial" w:cs="Arial"/>
              </w:rPr>
            </w:pPr>
            <w:r w:rsidRPr="00CB3C81">
              <w:rPr>
                <w:rFonts w:ascii="Arial" w:hAnsi="Arial" w:cs="Arial"/>
                <w:color w:val="222222"/>
                <w:shd w:val="clear" w:color="auto" w:fill="FFFFFF"/>
              </w:rPr>
              <w:t>There are opportunities here to mainstream gender and if the opportunity to mainstreaming fails the Parties to the CBD would ignore their agreed Gender Plan of Action at the next Open-ended Working Group.</w:t>
            </w:r>
          </w:p>
        </w:tc>
      </w:tr>
      <w:tr w:rsidR="00236608" w:rsidRPr="000C0B6C" w14:paraId="5DBDB291" w14:textId="77777777" w:rsidTr="009251C2">
        <w:trPr>
          <w:trHeight w:val="224"/>
        </w:trPr>
        <w:tc>
          <w:tcPr>
            <w:tcW w:w="818" w:type="dxa"/>
          </w:tcPr>
          <w:p w14:paraId="29E068DB" w14:textId="77777777" w:rsidR="00236608" w:rsidRPr="00CB3C81" w:rsidRDefault="00236608" w:rsidP="009251C2">
            <w:pPr>
              <w:rPr>
                <w:rFonts w:ascii="Arial" w:hAnsi="Arial" w:cs="Arial"/>
              </w:rPr>
            </w:pPr>
          </w:p>
        </w:tc>
        <w:tc>
          <w:tcPr>
            <w:tcW w:w="1231" w:type="dxa"/>
          </w:tcPr>
          <w:p w14:paraId="212354D4" w14:textId="77777777" w:rsidR="00236608" w:rsidRPr="00CB3C81" w:rsidRDefault="00236608" w:rsidP="009251C2">
            <w:pPr>
              <w:rPr>
                <w:rFonts w:ascii="Arial" w:hAnsi="Arial" w:cs="Arial"/>
              </w:rPr>
            </w:pPr>
          </w:p>
        </w:tc>
        <w:tc>
          <w:tcPr>
            <w:tcW w:w="8139" w:type="dxa"/>
            <w:gridSpan w:val="2"/>
          </w:tcPr>
          <w:p w14:paraId="637A167D" w14:textId="77777777" w:rsidR="00236608" w:rsidRPr="00CB3C81" w:rsidRDefault="00236608" w:rsidP="009251C2">
            <w:pPr>
              <w:rPr>
                <w:rFonts w:ascii="Arial" w:hAnsi="Arial" w:cs="Arial"/>
              </w:rPr>
            </w:pPr>
          </w:p>
        </w:tc>
      </w:tr>
      <w:tr w:rsidR="00236608" w:rsidRPr="000C0B6C" w14:paraId="7A865B83" w14:textId="77777777" w:rsidTr="009251C2">
        <w:trPr>
          <w:trHeight w:val="224"/>
        </w:trPr>
        <w:tc>
          <w:tcPr>
            <w:tcW w:w="818" w:type="dxa"/>
          </w:tcPr>
          <w:p w14:paraId="48F7EE30" w14:textId="77777777" w:rsidR="00236608" w:rsidRPr="00CB3C81" w:rsidRDefault="00236608" w:rsidP="009251C2">
            <w:pPr>
              <w:rPr>
                <w:rFonts w:ascii="Arial" w:hAnsi="Arial" w:cs="Arial"/>
              </w:rPr>
            </w:pPr>
          </w:p>
        </w:tc>
        <w:tc>
          <w:tcPr>
            <w:tcW w:w="1231" w:type="dxa"/>
          </w:tcPr>
          <w:p w14:paraId="6A798625" w14:textId="77777777" w:rsidR="00236608" w:rsidRPr="00CB3C81" w:rsidRDefault="00236608" w:rsidP="009251C2">
            <w:pPr>
              <w:rPr>
                <w:rFonts w:ascii="Arial" w:hAnsi="Arial" w:cs="Arial"/>
              </w:rPr>
            </w:pPr>
          </w:p>
        </w:tc>
        <w:tc>
          <w:tcPr>
            <w:tcW w:w="8139" w:type="dxa"/>
            <w:gridSpan w:val="2"/>
          </w:tcPr>
          <w:p w14:paraId="531C2A0F" w14:textId="77777777" w:rsidR="00236608" w:rsidRPr="00CB3C81" w:rsidRDefault="00236608" w:rsidP="009251C2">
            <w:pPr>
              <w:rPr>
                <w:rFonts w:ascii="Arial" w:hAnsi="Arial" w:cs="Arial"/>
              </w:rPr>
            </w:pPr>
          </w:p>
        </w:tc>
      </w:tr>
      <w:tr w:rsidR="00236608" w:rsidRPr="000C0B6C" w14:paraId="73FD340A" w14:textId="77777777" w:rsidTr="009251C2">
        <w:trPr>
          <w:trHeight w:val="224"/>
        </w:trPr>
        <w:tc>
          <w:tcPr>
            <w:tcW w:w="818" w:type="dxa"/>
          </w:tcPr>
          <w:p w14:paraId="37288C1C" w14:textId="77777777" w:rsidR="00236608" w:rsidRPr="00CB3C81" w:rsidRDefault="00236608" w:rsidP="009251C2">
            <w:pPr>
              <w:rPr>
                <w:rFonts w:ascii="Arial" w:hAnsi="Arial" w:cs="Arial"/>
              </w:rPr>
            </w:pPr>
          </w:p>
        </w:tc>
        <w:tc>
          <w:tcPr>
            <w:tcW w:w="1231" w:type="dxa"/>
          </w:tcPr>
          <w:p w14:paraId="2993E983" w14:textId="77777777" w:rsidR="00236608" w:rsidRPr="00CB3C81" w:rsidRDefault="00236608" w:rsidP="009251C2">
            <w:pPr>
              <w:rPr>
                <w:rFonts w:ascii="Arial" w:hAnsi="Arial" w:cs="Arial"/>
              </w:rPr>
            </w:pPr>
          </w:p>
        </w:tc>
        <w:tc>
          <w:tcPr>
            <w:tcW w:w="8139" w:type="dxa"/>
            <w:gridSpan w:val="2"/>
          </w:tcPr>
          <w:p w14:paraId="2A720A2D" w14:textId="77777777" w:rsidR="00236608" w:rsidRPr="00CB3C81" w:rsidRDefault="00236608" w:rsidP="009251C2">
            <w:pPr>
              <w:rPr>
                <w:rFonts w:ascii="Arial" w:hAnsi="Arial" w:cs="Arial"/>
              </w:rPr>
            </w:pPr>
          </w:p>
        </w:tc>
      </w:tr>
      <w:tr w:rsidR="00236608" w:rsidRPr="000C0B6C" w14:paraId="435624C6" w14:textId="77777777" w:rsidTr="009251C2">
        <w:trPr>
          <w:trHeight w:val="224"/>
        </w:trPr>
        <w:tc>
          <w:tcPr>
            <w:tcW w:w="818" w:type="dxa"/>
          </w:tcPr>
          <w:p w14:paraId="112D65BF" w14:textId="77777777" w:rsidR="00236608" w:rsidRPr="00CB3C81" w:rsidRDefault="00236608" w:rsidP="009251C2">
            <w:pPr>
              <w:rPr>
                <w:rFonts w:ascii="Arial" w:hAnsi="Arial" w:cs="Arial"/>
              </w:rPr>
            </w:pPr>
          </w:p>
        </w:tc>
        <w:tc>
          <w:tcPr>
            <w:tcW w:w="1231" w:type="dxa"/>
          </w:tcPr>
          <w:p w14:paraId="15A50A76" w14:textId="77777777" w:rsidR="00236608" w:rsidRPr="00CB3C81" w:rsidRDefault="00236608" w:rsidP="009251C2">
            <w:pPr>
              <w:rPr>
                <w:rFonts w:ascii="Arial" w:hAnsi="Arial" w:cs="Arial"/>
              </w:rPr>
            </w:pPr>
          </w:p>
        </w:tc>
        <w:tc>
          <w:tcPr>
            <w:tcW w:w="8139" w:type="dxa"/>
            <w:gridSpan w:val="2"/>
          </w:tcPr>
          <w:p w14:paraId="778EFB93" w14:textId="77777777" w:rsidR="00236608" w:rsidRPr="00CB3C81" w:rsidRDefault="00236608" w:rsidP="009251C2">
            <w:pPr>
              <w:rPr>
                <w:rFonts w:ascii="Arial" w:hAnsi="Arial" w:cs="Arial"/>
              </w:rPr>
            </w:pPr>
          </w:p>
        </w:tc>
      </w:tr>
      <w:tr w:rsidR="006060BF" w:rsidRPr="000C0B6C" w14:paraId="1FCC3F88" w14:textId="77777777" w:rsidTr="009251C2">
        <w:trPr>
          <w:trHeight w:val="224"/>
        </w:trPr>
        <w:tc>
          <w:tcPr>
            <w:tcW w:w="818" w:type="dxa"/>
          </w:tcPr>
          <w:p w14:paraId="7F4E8176" w14:textId="77777777" w:rsidR="006060BF" w:rsidRPr="00CB3C81" w:rsidRDefault="006060BF" w:rsidP="009251C2">
            <w:pPr>
              <w:rPr>
                <w:rFonts w:ascii="Arial" w:hAnsi="Arial" w:cs="Arial"/>
              </w:rPr>
            </w:pPr>
          </w:p>
        </w:tc>
        <w:tc>
          <w:tcPr>
            <w:tcW w:w="1231" w:type="dxa"/>
          </w:tcPr>
          <w:p w14:paraId="01C993F1" w14:textId="77777777" w:rsidR="006060BF" w:rsidRPr="00CB3C81" w:rsidRDefault="006060BF" w:rsidP="009251C2">
            <w:pPr>
              <w:rPr>
                <w:rFonts w:ascii="Arial" w:hAnsi="Arial" w:cs="Arial"/>
              </w:rPr>
            </w:pPr>
          </w:p>
        </w:tc>
        <w:tc>
          <w:tcPr>
            <w:tcW w:w="8139" w:type="dxa"/>
            <w:gridSpan w:val="2"/>
          </w:tcPr>
          <w:p w14:paraId="2D3D32A2" w14:textId="77777777" w:rsidR="006060BF" w:rsidRPr="00CB3C81" w:rsidRDefault="006060BF" w:rsidP="009251C2">
            <w:pPr>
              <w:rPr>
                <w:rFonts w:ascii="Arial" w:hAnsi="Arial" w:cs="Arial"/>
              </w:rPr>
            </w:pPr>
          </w:p>
        </w:tc>
      </w:tr>
      <w:tr w:rsidR="006060BF" w:rsidRPr="000C0B6C" w14:paraId="22A28E2C" w14:textId="77777777" w:rsidTr="009251C2">
        <w:trPr>
          <w:trHeight w:val="224"/>
        </w:trPr>
        <w:tc>
          <w:tcPr>
            <w:tcW w:w="818" w:type="dxa"/>
          </w:tcPr>
          <w:p w14:paraId="27B43458" w14:textId="77777777" w:rsidR="006060BF" w:rsidRPr="00CB3C81" w:rsidRDefault="006060BF" w:rsidP="009251C2">
            <w:pPr>
              <w:rPr>
                <w:rFonts w:ascii="Arial" w:hAnsi="Arial" w:cs="Arial"/>
              </w:rPr>
            </w:pPr>
          </w:p>
        </w:tc>
        <w:tc>
          <w:tcPr>
            <w:tcW w:w="1231" w:type="dxa"/>
          </w:tcPr>
          <w:p w14:paraId="4748D5FB" w14:textId="77777777" w:rsidR="006060BF" w:rsidRPr="00CB3C81" w:rsidRDefault="006060BF" w:rsidP="009251C2">
            <w:pPr>
              <w:rPr>
                <w:rFonts w:ascii="Arial" w:hAnsi="Arial" w:cs="Arial"/>
              </w:rPr>
            </w:pPr>
          </w:p>
        </w:tc>
        <w:tc>
          <w:tcPr>
            <w:tcW w:w="8139" w:type="dxa"/>
            <w:gridSpan w:val="2"/>
          </w:tcPr>
          <w:p w14:paraId="5045D8FF" w14:textId="77777777" w:rsidR="006060BF" w:rsidRPr="00CB3C81" w:rsidRDefault="006060BF" w:rsidP="009251C2">
            <w:pPr>
              <w:rPr>
                <w:rFonts w:ascii="Arial" w:hAnsi="Arial" w:cs="Arial"/>
              </w:rPr>
            </w:pPr>
          </w:p>
        </w:tc>
      </w:tr>
      <w:tr w:rsidR="006060BF" w:rsidRPr="000C0B6C" w14:paraId="69101B4F" w14:textId="77777777" w:rsidTr="009251C2">
        <w:trPr>
          <w:trHeight w:val="224"/>
        </w:trPr>
        <w:tc>
          <w:tcPr>
            <w:tcW w:w="818" w:type="dxa"/>
          </w:tcPr>
          <w:p w14:paraId="7FEEC057" w14:textId="77777777" w:rsidR="006060BF" w:rsidRPr="00CB3C81" w:rsidRDefault="006060BF" w:rsidP="009251C2">
            <w:pPr>
              <w:rPr>
                <w:rFonts w:ascii="Arial" w:hAnsi="Arial" w:cs="Arial"/>
              </w:rPr>
            </w:pPr>
          </w:p>
        </w:tc>
        <w:tc>
          <w:tcPr>
            <w:tcW w:w="1231" w:type="dxa"/>
          </w:tcPr>
          <w:p w14:paraId="0555C2D8" w14:textId="77777777" w:rsidR="006060BF" w:rsidRPr="00CB3C81" w:rsidRDefault="006060BF" w:rsidP="009251C2">
            <w:pPr>
              <w:rPr>
                <w:rFonts w:ascii="Arial" w:hAnsi="Arial" w:cs="Arial"/>
              </w:rPr>
            </w:pPr>
          </w:p>
        </w:tc>
        <w:tc>
          <w:tcPr>
            <w:tcW w:w="8139" w:type="dxa"/>
            <w:gridSpan w:val="2"/>
          </w:tcPr>
          <w:p w14:paraId="4620880C" w14:textId="77777777" w:rsidR="006060BF" w:rsidRPr="00CB3C81" w:rsidRDefault="006060BF" w:rsidP="009251C2">
            <w:pPr>
              <w:rPr>
                <w:rFonts w:ascii="Arial" w:hAnsi="Arial" w:cs="Arial"/>
              </w:rPr>
            </w:pPr>
          </w:p>
        </w:tc>
      </w:tr>
      <w:tr w:rsidR="006060BF" w:rsidRPr="000C0B6C" w14:paraId="00DA4A24" w14:textId="77777777" w:rsidTr="009251C2">
        <w:trPr>
          <w:trHeight w:val="224"/>
        </w:trPr>
        <w:tc>
          <w:tcPr>
            <w:tcW w:w="818" w:type="dxa"/>
          </w:tcPr>
          <w:p w14:paraId="0BF9A4EA" w14:textId="77777777" w:rsidR="006060BF" w:rsidRPr="00CB3C81" w:rsidRDefault="006060BF" w:rsidP="009251C2">
            <w:pPr>
              <w:rPr>
                <w:rFonts w:ascii="Arial" w:hAnsi="Arial" w:cs="Arial"/>
              </w:rPr>
            </w:pPr>
          </w:p>
        </w:tc>
        <w:tc>
          <w:tcPr>
            <w:tcW w:w="1231" w:type="dxa"/>
          </w:tcPr>
          <w:p w14:paraId="03384ADA" w14:textId="77777777" w:rsidR="006060BF" w:rsidRPr="00CB3C81" w:rsidRDefault="006060BF" w:rsidP="009251C2">
            <w:pPr>
              <w:rPr>
                <w:rFonts w:ascii="Arial" w:hAnsi="Arial" w:cs="Arial"/>
              </w:rPr>
            </w:pPr>
          </w:p>
        </w:tc>
        <w:tc>
          <w:tcPr>
            <w:tcW w:w="8139" w:type="dxa"/>
            <w:gridSpan w:val="2"/>
          </w:tcPr>
          <w:p w14:paraId="219C3642" w14:textId="77777777" w:rsidR="006060BF" w:rsidRPr="00CB3C81" w:rsidRDefault="006060BF" w:rsidP="009251C2">
            <w:pPr>
              <w:rPr>
                <w:rFonts w:ascii="Arial" w:hAnsi="Arial" w:cs="Arial"/>
              </w:rPr>
            </w:pPr>
          </w:p>
        </w:tc>
      </w:tr>
      <w:tr w:rsidR="006060BF" w:rsidRPr="000C0B6C" w14:paraId="0D3F0894" w14:textId="77777777" w:rsidTr="009251C2">
        <w:trPr>
          <w:trHeight w:val="224"/>
        </w:trPr>
        <w:tc>
          <w:tcPr>
            <w:tcW w:w="818" w:type="dxa"/>
          </w:tcPr>
          <w:p w14:paraId="021FCAB6" w14:textId="77777777" w:rsidR="006060BF" w:rsidRPr="00CB3C81" w:rsidRDefault="006060BF" w:rsidP="009251C2">
            <w:pPr>
              <w:rPr>
                <w:rFonts w:ascii="Arial" w:hAnsi="Arial" w:cs="Arial"/>
              </w:rPr>
            </w:pPr>
          </w:p>
        </w:tc>
        <w:tc>
          <w:tcPr>
            <w:tcW w:w="1231" w:type="dxa"/>
          </w:tcPr>
          <w:p w14:paraId="18B05321" w14:textId="77777777" w:rsidR="006060BF" w:rsidRPr="00CB3C81" w:rsidRDefault="006060BF" w:rsidP="009251C2">
            <w:pPr>
              <w:rPr>
                <w:rFonts w:ascii="Arial" w:hAnsi="Arial" w:cs="Arial"/>
              </w:rPr>
            </w:pPr>
          </w:p>
        </w:tc>
        <w:tc>
          <w:tcPr>
            <w:tcW w:w="8139" w:type="dxa"/>
            <w:gridSpan w:val="2"/>
          </w:tcPr>
          <w:p w14:paraId="3F71D682" w14:textId="77777777" w:rsidR="006060BF" w:rsidRPr="00CB3C81" w:rsidRDefault="006060BF" w:rsidP="009251C2">
            <w:pPr>
              <w:rPr>
                <w:rFonts w:ascii="Arial" w:hAnsi="Arial" w:cs="Arial"/>
              </w:rPr>
            </w:pPr>
          </w:p>
        </w:tc>
      </w:tr>
      <w:tr w:rsidR="006060BF" w:rsidRPr="000C0B6C" w14:paraId="1BEC6B92" w14:textId="77777777" w:rsidTr="009251C2">
        <w:trPr>
          <w:trHeight w:val="224"/>
        </w:trPr>
        <w:tc>
          <w:tcPr>
            <w:tcW w:w="818" w:type="dxa"/>
          </w:tcPr>
          <w:p w14:paraId="3428EEEB" w14:textId="77777777" w:rsidR="006060BF" w:rsidRPr="00CB3C81" w:rsidRDefault="006060BF" w:rsidP="009251C2">
            <w:pPr>
              <w:rPr>
                <w:rFonts w:ascii="Arial" w:hAnsi="Arial" w:cs="Arial"/>
              </w:rPr>
            </w:pPr>
          </w:p>
        </w:tc>
        <w:tc>
          <w:tcPr>
            <w:tcW w:w="1231" w:type="dxa"/>
          </w:tcPr>
          <w:p w14:paraId="216280D8" w14:textId="77777777" w:rsidR="006060BF" w:rsidRPr="00CB3C81" w:rsidRDefault="006060BF" w:rsidP="009251C2">
            <w:pPr>
              <w:rPr>
                <w:rFonts w:ascii="Arial" w:hAnsi="Arial" w:cs="Arial"/>
              </w:rPr>
            </w:pPr>
          </w:p>
        </w:tc>
        <w:tc>
          <w:tcPr>
            <w:tcW w:w="8139" w:type="dxa"/>
            <w:gridSpan w:val="2"/>
          </w:tcPr>
          <w:p w14:paraId="5AF59F48" w14:textId="77777777" w:rsidR="006060BF" w:rsidRPr="00CB3C81" w:rsidRDefault="006060BF" w:rsidP="009251C2">
            <w:pPr>
              <w:rPr>
                <w:rFonts w:ascii="Arial" w:hAnsi="Arial" w:cs="Arial"/>
              </w:rPr>
            </w:pPr>
          </w:p>
        </w:tc>
      </w:tr>
      <w:tr w:rsidR="00236608" w:rsidRPr="000C0B6C" w14:paraId="4C53569F" w14:textId="77777777" w:rsidTr="009251C2">
        <w:trPr>
          <w:trHeight w:val="224"/>
        </w:trPr>
        <w:tc>
          <w:tcPr>
            <w:tcW w:w="818" w:type="dxa"/>
          </w:tcPr>
          <w:p w14:paraId="5ACD88D5" w14:textId="77777777" w:rsidR="00236608" w:rsidRPr="000C0B6C" w:rsidRDefault="00236608" w:rsidP="009251C2"/>
        </w:tc>
        <w:tc>
          <w:tcPr>
            <w:tcW w:w="1231" w:type="dxa"/>
          </w:tcPr>
          <w:p w14:paraId="1A074978" w14:textId="77777777" w:rsidR="00236608" w:rsidRPr="000C0B6C" w:rsidRDefault="00236608" w:rsidP="009251C2"/>
        </w:tc>
        <w:tc>
          <w:tcPr>
            <w:tcW w:w="8139" w:type="dxa"/>
            <w:gridSpan w:val="2"/>
          </w:tcPr>
          <w:p w14:paraId="249A3E43" w14:textId="77777777" w:rsidR="00236608" w:rsidRPr="000C0B6C" w:rsidRDefault="00236608" w:rsidP="009251C2">
            <w:r w:rsidRPr="000C0B6C">
              <w:rPr>
                <w:sz w:val="22"/>
                <w:szCs w:val="22"/>
              </w:rPr>
              <w:t>Additional rows can be added to this table by selecting “Table” followed by “insert” and “rows below”</w:t>
            </w:r>
          </w:p>
        </w:tc>
      </w:tr>
    </w:tbl>
    <w:p w14:paraId="3F5E71EC" w14:textId="77777777" w:rsidR="00236608" w:rsidRPr="00532BBA" w:rsidRDefault="00236608" w:rsidP="00236608">
      <w:pPr>
        <w:pStyle w:val="Default"/>
        <w:jc w:val="center"/>
        <w:rPr>
          <w:b/>
          <w:sz w:val="22"/>
          <w:szCs w:val="22"/>
          <w:u w:val="single"/>
        </w:rPr>
      </w:pPr>
    </w:p>
    <w:p w14:paraId="254542ED" w14:textId="29D16795" w:rsidR="00236608" w:rsidRPr="00624FAA" w:rsidRDefault="00236608" w:rsidP="00790F3D">
      <w:pPr>
        <w:tabs>
          <w:tab w:val="left" w:pos="5900"/>
        </w:tabs>
        <w:jc w:val="both"/>
        <w:rPr>
          <w:i/>
          <w:szCs w:val="22"/>
        </w:rPr>
      </w:pPr>
      <w:r w:rsidRPr="00624FAA">
        <w:rPr>
          <w:i/>
          <w:sz w:val="22"/>
          <w:szCs w:val="22"/>
        </w:rPr>
        <w:t xml:space="preserve">Comments should be sent by e-mail to </w:t>
      </w:r>
      <w:hyperlink r:id="rId9" w:history="1">
        <w:r w:rsidRPr="00624FAA">
          <w:rPr>
            <w:rStyle w:val="Hyperlink"/>
            <w:i/>
            <w:sz w:val="22"/>
            <w:szCs w:val="22"/>
          </w:rPr>
          <w:t>secretariat@cbd.int</w:t>
        </w:r>
      </w:hyperlink>
      <w:r w:rsidRPr="00153018">
        <w:rPr>
          <w:i/>
          <w:sz w:val="22"/>
          <w:szCs w:val="22"/>
        </w:rPr>
        <w:t xml:space="preserve"> </w:t>
      </w:r>
      <w:r w:rsidR="00790F3D">
        <w:rPr>
          <w:i/>
          <w:sz w:val="22"/>
          <w:szCs w:val="22"/>
        </w:rPr>
        <w:t>by 25 July 2020</w:t>
      </w:r>
    </w:p>
    <w:p w14:paraId="48DAF900" w14:textId="5924F03A" w:rsidR="00B51493" w:rsidRDefault="00B51493" w:rsidP="00D93CCA"/>
    <w:sectPr w:rsidR="00B51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A"/>
    <w:rsid w:val="0005402D"/>
    <w:rsid w:val="00236608"/>
    <w:rsid w:val="00334544"/>
    <w:rsid w:val="00397AF3"/>
    <w:rsid w:val="003B08FB"/>
    <w:rsid w:val="0041170B"/>
    <w:rsid w:val="00504926"/>
    <w:rsid w:val="0053118E"/>
    <w:rsid w:val="005324AB"/>
    <w:rsid w:val="00584239"/>
    <w:rsid w:val="006060BF"/>
    <w:rsid w:val="006125AA"/>
    <w:rsid w:val="00790F3D"/>
    <w:rsid w:val="00893256"/>
    <w:rsid w:val="00893D7E"/>
    <w:rsid w:val="008E7015"/>
    <w:rsid w:val="00A51FA4"/>
    <w:rsid w:val="00AF4AD0"/>
    <w:rsid w:val="00B51493"/>
    <w:rsid w:val="00BD481F"/>
    <w:rsid w:val="00C61BB8"/>
    <w:rsid w:val="00CB3C81"/>
    <w:rsid w:val="00D93CCA"/>
    <w:rsid w:val="00DB20C0"/>
    <w:rsid w:val="00EE1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FB3F"/>
  <w15:chartTrackingRefBased/>
  <w15:docId w15:val="{8ABB2551-FD75-4774-AA7D-5EEB921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236608"/>
    <w:rPr>
      <w:sz w:val="20"/>
      <w:szCs w:val="20"/>
    </w:rPr>
  </w:style>
  <w:style w:type="character" w:customStyle="1" w:styleId="CommentTextChar">
    <w:name w:val="Comment Text Char"/>
    <w:basedOn w:val="DefaultParagraphFont"/>
    <w:link w:val="CommentText"/>
    <w:uiPriority w:val="99"/>
    <w:semiHidden/>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character" w:styleId="UnresolvedMention">
    <w:name w:val="Unresolved Mention"/>
    <w:basedOn w:val="DefaultParagraphFont"/>
    <w:uiPriority w:val="99"/>
    <w:semiHidden/>
    <w:unhideWhenUsed/>
    <w:rsid w:val="00CB3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56121">
      <w:bodyDiv w:val="1"/>
      <w:marLeft w:val="0"/>
      <w:marRight w:val="0"/>
      <w:marTop w:val="0"/>
      <w:marBottom w:val="0"/>
      <w:divBdr>
        <w:top w:val="none" w:sz="0" w:space="0" w:color="auto"/>
        <w:left w:val="none" w:sz="0" w:space="0" w:color="auto"/>
        <w:bottom w:val="none" w:sz="0" w:space="0" w:color="auto"/>
        <w:right w:val="none" w:sz="0" w:space="0" w:color="auto"/>
      </w:divBdr>
      <w:divsChild>
        <w:div w:id="942884447">
          <w:marLeft w:val="0"/>
          <w:marRight w:val="0"/>
          <w:marTop w:val="0"/>
          <w:marBottom w:val="0"/>
          <w:divBdr>
            <w:top w:val="none" w:sz="0" w:space="0" w:color="auto"/>
            <w:left w:val="none" w:sz="0" w:space="0" w:color="auto"/>
            <w:bottom w:val="none" w:sz="0" w:space="0" w:color="auto"/>
            <w:right w:val="none" w:sz="0" w:space="0" w:color="auto"/>
          </w:divBdr>
        </w:div>
        <w:div w:id="997657143">
          <w:marLeft w:val="0"/>
          <w:marRight w:val="0"/>
          <w:marTop w:val="0"/>
          <w:marBottom w:val="0"/>
          <w:divBdr>
            <w:top w:val="none" w:sz="0" w:space="0" w:color="auto"/>
            <w:left w:val="none" w:sz="0" w:space="0" w:color="auto"/>
            <w:bottom w:val="none" w:sz="0" w:space="0" w:color="auto"/>
            <w:right w:val="none" w:sz="0" w:space="0" w:color="auto"/>
          </w:divBdr>
        </w:div>
        <w:div w:id="190586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sbstta/sbstta-24/post2020-monitoring-en.pdf" TargetMode="External"/><Relationship Id="rId3" Type="http://schemas.openxmlformats.org/officeDocument/2006/relationships/customXml" Target="../customXml/item3.xml"/><Relationship Id="rId7" Type="http://schemas.openxmlformats.org/officeDocument/2006/relationships/hyperlink" Target="mailto:souparna.lahiri@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cretariat@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E5421389A9C45B9715F4635D04BA2" ma:contentTypeVersion="4" ma:contentTypeDescription="Create a new document." ma:contentTypeScope="" ma:versionID="c9f52f57bb19d3444f42fed33c61a0a8">
  <xsd:schema xmlns:xsd="http://www.w3.org/2001/XMLSchema" xmlns:xs="http://www.w3.org/2001/XMLSchema" xmlns:p="http://schemas.microsoft.com/office/2006/metadata/properties" xmlns:ns3="44a14099-cec4-4adc-a615-00f5e506ea84" targetNamespace="http://schemas.microsoft.com/office/2006/metadata/properties" ma:root="true" ma:fieldsID="de152265d4e971181488395f72506170" ns3:_="">
    <xsd:import namespace="44a14099-cec4-4adc-a615-00f5e506ea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14099-cec4-4adc-a615-00f5e506e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ECA71-57C8-4A5D-B57E-8940CEBA6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D2B3A-6508-431F-917D-92474158A9E1}">
  <ds:schemaRefs>
    <ds:schemaRef ds:uri="http://schemas.microsoft.com/sharepoint/v3/contenttype/forms"/>
  </ds:schemaRefs>
</ds:datastoreItem>
</file>

<file path=customXml/itemProps3.xml><?xml version="1.0" encoding="utf-8"?>
<ds:datastoreItem xmlns:ds="http://schemas.openxmlformats.org/officeDocument/2006/customXml" ds:itemID="{602D3070-FA56-45D7-9A9F-A8720FB71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14099-cec4-4adc-a615-00f5e506e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souparna lahiri</cp:lastModifiedBy>
  <cp:revision>11</cp:revision>
  <dcterms:created xsi:type="dcterms:W3CDTF">2020-06-24T12:28:00Z</dcterms:created>
  <dcterms:modified xsi:type="dcterms:W3CDTF">2020-07-22T06:56:00Z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0x0101003B8E5421389A9C45B9715F4635D04BA2</vt:lpwstr>
  </property>
</Properties>
</file>