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66123" w14:textId="77777777" w:rsidR="00D451AA" w:rsidRDefault="00D451AA">
      <w:pPr>
        <w:ind w:right="44"/>
        <w:jc w:val="both"/>
        <w:rPr>
          <w:sz w:val="22"/>
          <w:szCs w:val="22"/>
        </w:rPr>
      </w:pPr>
    </w:p>
    <w:p w14:paraId="14F95FBF" w14:textId="77777777" w:rsidR="00D451AA" w:rsidRDefault="00276D9B">
      <w:pPr>
        <w:jc w:val="center"/>
        <w:rPr>
          <w:sz w:val="22"/>
          <w:szCs w:val="22"/>
        </w:rPr>
      </w:pPr>
      <w:r>
        <w:rPr>
          <w:b/>
          <w:sz w:val="22"/>
          <w:szCs w:val="22"/>
        </w:rPr>
        <w:t>Guidelines and template for the review of the draft monitoring framework for the post-2020 global biodiversity framework</w:t>
      </w:r>
    </w:p>
    <w:p w14:paraId="3DDAE8AB" w14:textId="77777777" w:rsidR="00D451AA" w:rsidRDefault="00D451AA">
      <w:pPr>
        <w:ind w:left="360"/>
        <w:jc w:val="both"/>
        <w:rPr>
          <w:sz w:val="22"/>
          <w:szCs w:val="22"/>
        </w:rPr>
      </w:pPr>
      <w:bookmarkStart w:id="0" w:name="_gjdgxs" w:colFirst="0" w:colLast="0"/>
      <w:bookmarkEnd w:id="0"/>
    </w:p>
    <w:p w14:paraId="121CD080" w14:textId="77777777" w:rsidR="00D451AA" w:rsidRDefault="00276D9B">
      <w:pPr>
        <w:pStyle w:val="Heading2"/>
        <w:numPr>
          <w:ilvl w:val="0"/>
          <w:numId w:val="3"/>
        </w:num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Background</w:t>
      </w:r>
    </w:p>
    <w:p w14:paraId="767772F2" w14:textId="77777777" w:rsidR="00D451AA" w:rsidRDefault="00D451AA"/>
    <w:p w14:paraId="5F81B3CF" w14:textId="77777777" w:rsidR="00D451AA" w:rsidRDefault="00276D9B">
      <w:pPr>
        <w:numPr>
          <w:ilvl w:val="0"/>
          <w:numId w:val="1"/>
        </w:numPr>
        <w:pBdr>
          <w:top w:val="nil"/>
          <w:left w:val="nil"/>
          <w:bottom w:val="nil"/>
          <w:right w:val="nil"/>
          <w:between w:val="nil"/>
        </w:pBdr>
        <w:spacing w:line="259" w:lineRule="auto"/>
        <w:ind w:left="0" w:firstLine="0"/>
        <w:rPr>
          <w:color w:val="000000"/>
          <w:sz w:val="22"/>
          <w:szCs w:val="22"/>
        </w:rPr>
      </w:pPr>
      <w:r>
        <w:rPr>
          <w:color w:val="000000"/>
          <w:sz w:val="22"/>
          <w:szCs w:val="22"/>
        </w:rPr>
        <w:t>The second meeting of the Open-ended Working Group</w:t>
      </w:r>
      <w:r>
        <w:rPr>
          <w:color w:val="000000"/>
          <w:sz w:val="22"/>
          <w:szCs w:val="22"/>
          <w:vertAlign w:val="superscript"/>
        </w:rPr>
        <w:footnoteReference w:id="1"/>
      </w:r>
      <w:r>
        <w:rPr>
          <w:color w:val="000000"/>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0DDBFCD2" w14:textId="77777777" w:rsidR="00D451AA" w:rsidRDefault="00276D9B">
      <w:pPr>
        <w:numPr>
          <w:ilvl w:val="0"/>
          <w:numId w:val="1"/>
        </w:numPr>
        <w:pBdr>
          <w:top w:val="nil"/>
          <w:left w:val="nil"/>
          <w:bottom w:val="nil"/>
          <w:right w:val="nil"/>
          <w:between w:val="nil"/>
        </w:pBdr>
        <w:spacing w:after="160" w:line="259" w:lineRule="auto"/>
        <w:ind w:left="0" w:firstLine="0"/>
        <w:rPr>
          <w:color w:val="000000"/>
          <w:sz w:val="22"/>
          <w:szCs w:val="22"/>
        </w:rPr>
      </w:pPr>
      <w:r>
        <w:rPr>
          <w:color w:val="000000"/>
          <w:sz w:val="22"/>
          <w:szCs w:val="22"/>
        </w:rPr>
        <w:t xml:space="preserve">Tables 1 and 2, presents a draft monitoring framework for the 2050 Goals and the 2030 </w:t>
      </w:r>
      <w:proofErr w:type="gramStart"/>
      <w:r>
        <w:rPr>
          <w:color w:val="000000"/>
          <w:sz w:val="22"/>
          <w:szCs w:val="22"/>
        </w:rPr>
        <w:t>targets</w:t>
      </w:r>
      <w:proofErr w:type="gramEnd"/>
      <w:r>
        <w:rPr>
          <w:color w:val="000000"/>
          <w:sz w:val="22"/>
          <w:szCs w:val="22"/>
        </w:rPr>
        <w:t xml:space="preserve">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 </w:t>
      </w:r>
    </w:p>
    <w:p w14:paraId="4B7EB7FD" w14:textId="77777777" w:rsidR="00D451AA" w:rsidRDefault="00276D9B">
      <w:pPr>
        <w:pStyle w:val="Heading2"/>
        <w:jc w:val="center"/>
      </w:pPr>
      <w:r>
        <w:rPr>
          <w:rFonts w:ascii="Times New Roman" w:eastAsia="Times New Roman" w:hAnsi="Times New Roman" w:cs="Times New Roman"/>
          <w:sz w:val="22"/>
          <w:szCs w:val="22"/>
        </w:rPr>
        <w:t>II. Submitting Comments</w:t>
      </w:r>
    </w:p>
    <w:p w14:paraId="57654B7C" w14:textId="77777777" w:rsidR="00D451AA" w:rsidRDefault="00D451AA">
      <w:pPr>
        <w:tabs>
          <w:tab w:val="left" w:pos="720"/>
        </w:tabs>
        <w:ind w:left="360"/>
        <w:jc w:val="both"/>
        <w:rPr>
          <w:sz w:val="22"/>
          <w:szCs w:val="22"/>
        </w:rPr>
      </w:pPr>
      <w:bookmarkStart w:id="1" w:name="_30j0zll" w:colFirst="0" w:colLast="0"/>
      <w:bookmarkEnd w:id="1"/>
    </w:p>
    <w:p w14:paraId="640DC76F" w14:textId="77777777" w:rsidR="00D451AA" w:rsidRDefault="00276D9B">
      <w:pPr>
        <w:numPr>
          <w:ilvl w:val="0"/>
          <w:numId w:val="2"/>
        </w:numPr>
        <w:tabs>
          <w:tab w:val="left" w:pos="720"/>
        </w:tabs>
        <w:ind w:left="360" w:firstLine="0"/>
        <w:jc w:val="both"/>
        <w:rPr>
          <w:sz w:val="22"/>
          <w:szCs w:val="22"/>
        </w:rPr>
      </w:pPr>
      <w:r>
        <w:rPr>
          <w:sz w:val="22"/>
          <w:szCs w:val="22"/>
        </w:rPr>
        <w:t xml:space="preserve">To ensure that your comments are given due consideration, please send them by e-mail to </w:t>
      </w:r>
      <w:hyperlink r:id="rId7">
        <w:r>
          <w:rPr>
            <w:color w:val="0000FF"/>
            <w:sz w:val="22"/>
            <w:szCs w:val="22"/>
            <w:u w:val="single"/>
          </w:rPr>
          <w:t>secretariat@cbd.int</w:t>
        </w:r>
      </w:hyperlink>
      <w:r>
        <w:rPr>
          <w:sz w:val="22"/>
          <w:szCs w:val="22"/>
        </w:rPr>
        <w:t xml:space="preserve">, at your earliest convenience but </w:t>
      </w:r>
      <w:r>
        <w:rPr>
          <w:b/>
          <w:sz w:val="22"/>
          <w:szCs w:val="22"/>
        </w:rPr>
        <w:t>no later than 25 July 2020</w:t>
      </w:r>
    </w:p>
    <w:p w14:paraId="7FA8E308" w14:textId="77777777" w:rsidR="00D451AA" w:rsidRDefault="00D451AA">
      <w:pPr>
        <w:tabs>
          <w:tab w:val="left" w:pos="720"/>
        </w:tabs>
        <w:ind w:left="360"/>
        <w:jc w:val="both"/>
        <w:rPr>
          <w:sz w:val="22"/>
          <w:szCs w:val="22"/>
        </w:rPr>
      </w:pPr>
    </w:p>
    <w:p w14:paraId="0D1AB7D3" w14:textId="77777777" w:rsidR="00D451AA" w:rsidRDefault="00276D9B">
      <w:pPr>
        <w:numPr>
          <w:ilvl w:val="0"/>
          <w:numId w:val="2"/>
        </w:numPr>
        <w:tabs>
          <w:tab w:val="left" w:pos="720"/>
        </w:tabs>
        <w:ind w:left="360" w:firstLine="0"/>
        <w:jc w:val="both"/>
        <w:rPr>
          <w:sz w:val="22"/>
          <w:szCs w:val="22"/>
        </w:rPr>
      </w:pPr>
      <w:r>
        <w:rPr>
          <w:sz w:val="22"/>
          <w:szCs w:val="22"/>
        </w:rPr>
        <w:t xml:space="preserve">  When submitting comments, please adhere to the following guidelines as much as possible:</w:t>
      </w:r>
    </w:p>
    <w:p w14:paraId="550ACE53" w14:textId="77777777" w:rsidR="00D451AA" w:rsidRDefault="00D451AA">
      <w:pPr>
        <w:ind w:left="1080"/>
        <w:jc w:val="both"/>
        <w:rPr>
          <w:sz w:val="22"/>
          <w:szCs w:val="22"/>
        </w:rPr>
      </w:pPr>
    </w:p>
    <w:p w14:paraId="1A9A3A98" w14:textId="77777777" w:rsidR="00D451AA" w:rsidRDefault="00276D9B">
      <w:pPr>
        <w:numPr>
          <w:ilvl w:val="1"/>
          <w:numId w:val="2"/>
        </w:numPr>
        <w:jc w:val="both"/>
        <w:rPr>
          <w:sz w:val="22"/>
          <w:szCs w:val="22"/>
        </w:rPr>
      </w:pPr>
      <w:r>
        <w:rPr>
          <w:sz w:val="22"/>
          <w:szCs w:val="22"/>
        </w:rPr>
        <w:t xml:space="preserve">Please provide all comments in writing and in an MS Word or similar document format using the table provided below. </w:t>
      </w:r>
    </w:p>
    <w:p w14:paraId="29C69709" w14:textId="77777777" w:rsidR="00D451AA" w:rsidRDefault="00D451AA">
      <w:pPr>
        <w:ind w:left="1080"/>
        <w:jc w:val="both"/>
        <w:rPr>
          <w:sz w:val="22"/>
          <w:szCs w:val="22"/>
        </w:rPr>
      </w:pPr>
    </w:p>
    <w:p w14:paraId="429D087D" w14:textId="77777777" w:rsidR="00D451AA" w:rsidRDefault="00276D9B">
      <w:pPr>
        <w:numPr>
          <w:ilvl w:val="1"/>
          <w:numId w:val="2"/>
        </w:numPr>
        <w:jc w:val="both"/>
        <w:rPr>
          <w:sz w:val="22"/>
          <w:szCs w:val="22"/>
        </w:rPr>
      </w:pPr>
      <w:r>
        <w:rPr>
          <w:sz w:val="22"/>
          <w:szCs w:val="22"/>
        </w:rPr>
        <w:t xml:space="preserve">Please provide full contact information for the individual/Government/organization submitting the comments. </w:t>
      </w:r>
    </w:p>
    <w:p w14:paraId="1D5B838C" w14:textId="77777777" w:rsidR="00D451AA" w:rsidRDefault="00D451AA">
      <w:pPr>
        <w:jc w:val="both"/>
        <w:rPr>
          <w:sz w:val="22"/>
          <w:szCs w:val="22"/>
        </w:rPr>
      </w:pPr>
    </w:p>
    <w:p w14:paraId="5AD2470F" w14:textId="77777777" w:rsidR="00D451AA" w:rsidRDefault="00276D9B">
      <w:pPr>
        <w:numPr>
          <w:ilvl w:val="1"/>
          <w:numId w:val="2"/>
        </w:numPr>
        <w:jc w:val="both"/>
        <w:rPr>
          <w:sz w:val="22"/>
          <w:szCs w:val="22"/>
        </w:rPr>
      </w:pPr>
      <w:r>
        <w:rPr>
          <w:sz w:val="22"/>
          <w:szCs w:val="22"/>
        </w:rPr>
        <w:t xml:space="preserve">Please avoid commenting on issues related to grammar, spelling, or punctuation, unless it affects the overall meaning of the text, as the document will be edited as the final draft is prepared. </w:t>
      </w:r>
    </w:p>
    <w:p w14:paraId="4FFCE2F0" w14:textId="77777777" w:rsidR="00D451AA" w:rsidRDefault="00D451AA">
      <w:pPr>
        <w:jc w:val="both"/>
        <w:rPr>
          <w:sz w:val="22"/>
          <w:szCs w:val="22"/>
        </w:rPr>
      </w:pPr>
    </w:p>
    <w:p w14:paraId="339AFEE2" w14:textId="77777777" w:rsidR="00D451AA" w:rsidRDefault="00276D9B">
      <w:pPr>
        <w:numPr>
          <w:ilvl w:val="1"/>
          <w:numId w:val="2"/>
        </w:numPr>
        <w:jc w:val="both"/>
        <w:rPr>
          <w:sz w:val="22"/>
          <w:szCs w:val="22"/>
        </w:rPr>
      </w:pPr>
      <w:r>
        <w:rPr>
          <w:sz w:val="22"/>
          <w:szCs w:val="22"/>
        </w:rPr>
        <w:t>To facilitate the revision process please be as specific as possible in your comments. In areas where you feel additional or alternative text or information is required, please suggest, if possible, what this text may look like or what should be included.</w:t>
      </w:r>
    </w:p>
    <w:p w14:paraId="5C30FAF1" w14:textId="77777777" w:rsidR="00D451AA" w:rsidRDefault="00D451AA">
      <w:pPr>
        <w:jc w:val="both"/>
        <w:rPr>
          <w:sz w:val="22"/>
          <w:szCs w:val="22"/>
        </w:rPr>
      </w:pPr>
    </w:p>
    <w:p w14:paraId="5E17DD65" w14:textId="77777777" w:rsidR="00D451AA" w:rsidRDefault="00276D9B">
      <w:pPr>
        <w:numPr>
          <w:ilvl w:val="1"/>
          <w:numId w:val="2"/>
        </w:numPr>
        <w:jc w:val="both"/>
        <w:rPr>
          <w:sz w:val="22"/>
          <w:szCs w:val="22"/>
        </w:rPr>
      </w:pPr>
      <w:r>
        <w:rPr>
          <w:sz w:val="22"/>
          <w:szCs w:val="22"/>
        </w:rPr>
        <w:t xml:space="preserve">If you refer to additional sources of information, please include these with your comments when possible or provide a complete reference or hyperlink.  </w:t>
      </w:r>
    </w:p>
    <w:p w14:paraId="54955078" w14:textId="77777777" w:rsidR="00D451AA" w:rsidRDefault="00D451AA">
      <w:pPr>
        <w:jc w:val="both"/>
        <w:rPr>
          <w:sz w:val="22"/>
          <w:szCs w:val="22"/>
        </w:rPr>
      </w:pPr>
    </w:p>
    <w:p w14:paraId="7F3CF131" w14:textId="77777777" w:rsidR="00D451AA" w:rsidRDefault="00276D9B">
      <w:pPr>
        <w:numPr>
          <w:ilvl w:val="1"/>
          <w:numId w:val="2"/>
        </w:numPr>
        <w:jc w:val="both"/>
        <w:rPr>
          <w:sz w:val="22"/>
          <w:szCs w:val="22"/>
        </w:rPr>
      </w:pPr>
      <w:r>
        <w:rPr>
          <w:sz w:val="22"/>
          <w:szCs w:val="22"/>
        </w:rPr>
        <w:t xml:space="preserve">Please focus your comments on columns A (monitoring elements), B (indicators) and C (Indicator baseline year and frequency of updates) of the tables 1 and 2. </w:t>
      </w:r>
    </w:p>
    <w:p w14:paraId="5FFDF0B1" w14:textId="77777777" w:rsidR="00D451AA" w:rsidRDefault="00D451AA">
      <w:pPr>
        <w:pBdr>
          <w:top w:val="nil"/>
          <w:left w:val="nil"/>
          <w:bottom w:val="nil"/>
          <w:right w:val="nil"/>
          <w:between w:val="nil"/>
        </w:pBdr>
        <w:ind w:left="720"/>
        <w:rPr>
          <w:color w:val="000000"/>
          <w:sz w:val="22"/>
          <w:szCs w:val="22"/>
        </w:rPr>
      </w:pPr>
    </w:p>
    <w:p w14:paraId="2C0794F0" w14:textId="77777777" w:rsidR="00D451AA" w:rsidRDefault="00276D9B">
      <w:pPr>
        <w:numPr>
          <w:ilvl w:val="1"/>
          <w:numId w:val="2"/>
        </w:numPr>
        <w:jc w:val="both"/>
        <w:rPr>
          <w:sz w:val="22"/>
          <w:szCs w:val="22"/>
        </w:rPr>
      </w:pPr>
      <w:r>
        <w:rPr>
          <w:sz w:val="22"/>
          <w:szCs w:val="22"/>
        </w:rPr>
        <w:lastRenderedPageBreak/>
        <w:t xml:space="preserve">If you 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 </w:t>
      </w:r>
    </w:p>
    <w:p w14:paraId="39E97E79" w14:textId="77777777" w:rsidR="00D451AA" w:rsidRDefault="00D451AA">
      <w:pPr>
        <w:pBdr>
          <w:top w:val="nil"/>
          <w:left w:val="nil"/>
          <w:bottom w:val="nil"/>
          <w:right w:val="nil"/>
          <w:between w:val="nil"/>
        </w:pBdr>
        <w:ind w:left="720"/>
        <w:rPr>
          <w:color w:val="000000"/>
          <w:sz w:val="22"/>
          <w:szCs w:val="22"/>
        </w:rPr>
      </w:pPr>
    </w:p>
    <w:p w14:paraId="4DA5C624" w14:textId="77777777" w:rsidR="00D451AA" w:rsidRDefault="00276D9B">
      <w:pPr>
        <w:numPr>
          <w:ilvl w:val="1"/>
          <w:numId w:val="2"/>
        </w:numPr>
        <w:jc w:val="both"/>
        <w:rPr>
          <w:sz w:val="22"/>
          <w:szCs w:val="22"/>
        </w:rPr>
      </w:pPr>
      <w:r>
        <w:rPr>
          <w:sz w:val="22"/>
          <w:szCs w:val="22"/>
        </w:rPr>
        <w:t>All review comments will be posted on the webpage</w:t>
      </w:r>
      <w:r>
        <w:rPr>
          <w:sz w:val="22"/>
          <w:szCs w:val="22"/>
          <w:vertAlign w:val="superscript"/>
        </w:rPr>
        <w:footnoteReference w:id="2"/>
      </w:r>
      <w:r>
        <w:rPr>
          <w:sz w:val="22"/>
          <w:szCs w:val="22"/>
        </w:rPr>
        <w:t xml:space="preserve"> for the post-2020 global biodiversity framework in the interests of transparency</w:t>
      </w:r>
    </w:p>
    <w:p w14:paraId="6BAF3947" w14:textId="77777777" w:rsidR="00D451AA" w:rsidRDefault="00D451AA">
      <w:pPr>
        <w:ind w:left="360"/>
        <w:jc w:val="both"/>
        <w:rPr>
          <w:sz w:val="22"/>
          <w:szCs w:val="22"/>
        </w:rPr>
      </w:pPr>
    </w:p>
    <w:p w14:paraId="3C354FB4" w14:textId="77777777" w:rsidR="00D451AA" w:rsidRDefault="00276D9B">
      <w:pPr>
        <w:numPr>
          <w:ilvl w:val="0"/>
          <w:numId w:val="2"/>
        </w:numPr>
        <w:ind w:left="360" w:firstLine="0"/>
        <w:jc w:val="both"/>
        <w:rPr>
          <w:sz w:val="22"/>
          <w:szCs w:val="22"/>
        </w:rPr>
      </w:pPr>
      <w:r>
        <w:rPr>
          <w:sz w:val="22"/>
          <w:szCs w:val="22"/>
        </w:rPr>
        <w:t xml:space="preserve">Should you have any questions regarding the review process, please contact </w:t>
      </w:r>
      <w:hyperlink r:id="rId8">
        <w:r>
          <w:rPr>
            <w:color w:val="0000FF"/>
            <w:u w:val="single"/>
          </w:rPr>
          <w:t>secretariat@cbd.int</w:t>
        </w:r>
      </w:hyperlink>
      <w:r>
        <w:t xml:space="preserve">. </w:t>
      </w:r>
      <w:r>
        <w:rPr>
          <w:sz w:val="22"/>
          <w:szCs w:val="22"/>
        </w:rPr>
        <w:t xml:space="preserve"> </w:t>
      </w:r>
    </w:p>
    <w:p w14:paraId="643F906B" w14:textId="77777777" w:rsidR="00D451AA" w:rsidRDefault="00D451AA">
      <w:pPr>
        <w:pBdr>
          <w:top w:val="nil"/>
          <w:left w:val="nil"/>
          <w:bottom w:val="nil"/>
          <w:right w:val="nil"/>
          <w:between w:val="nil"/>
        </w:pBdr>
        <w:ind w:left="360"/>
        <w:jc w:val="center"/>
        <w:rPr>
          <w:color w:val="000000"/>
          <w:sz w:val="22"/>
          <w:szCs w:val="22"/>
          <w:u w:val="single"/>
        </w:rPr>
      </w:pPr>
    </w:p>
    <w:p w14:paraId="75944584" w14:textId="77777777" w:rsidR="00D451AA" w:rsidRDefault="00D451AA">
      <w:pPr>
        <w:pBdr>
          <w:top w:val="nil"/>
          <w:left w:val="nil"/>
          <w:bottom w:val="nil"/>
          <w:right w:val="nil"/>
          <w:between w:val="nil"/>
        </w:pBdr>
        <w:ind w:left="360"/>
        <w:jc w:val="center"/>
        <w:rPr>
          <w:color w:val="000000"/>
          <w:sz w:val="22"/>
          <w:szCs w:val="22"/>
          <w:u w:val="single"/>
        </w:rPr>
      </w:pPr>
    </w:p>
    <w:p w14:paraId="543BC154" w14:textId="77777777" w:rsidR="00D451AA" w:rsidRDefault="00276D9B">
      <w:pPr>
        <w:pBdr>
          <w:top w:val="nil"/>
          <w:left w:val="nil"/>
          <w:bottom w:val="nil"/>
          <w:right w:val="nil"/>
          <w:between w:val="nil"/>
        </w:pBdr>
        <w:ind w:left="360"/>
        <w:jc w:val="center"/>
        <w:rPr>
          <w:color w:val="000000"/>
          <w:sz w:val="22"/>
          <w:szCs w:val="22"/>
          <w:u w:val="single"/>
        </w:rPr>
      </w:pPr>
      <w:r>
        <w:rPr>
          <w:b/>
          <w:i/>
          <w:color w:val="000000"/>
          <w:sz w:val="22"/>
          <w:szCs w:val="22"/>
          <w:u w:val="single"/>
        </w:rPr>
        <w:t>III. Template for Comments</w:t>
      </w:r>
    </w:p>
    <w:p w14:paraId="13748E68" w14:textId="77777777" w:rsidR="00D451AA" w:rsidRDefault="00D451AA">
      <w:pPr>
        <w:pBdr>
          <w:top w:val="nil"/>
          <w:left w:val="nil"/>
          <w:bottom w:val="nil"/>
          <w:right w:val="nil"/>
          <w:between w:val="nil"/>
        </w:pBdr>
        <w:ind w:left="360"/>
        <w:jc w:val="both"/>
        <w:rPr>
          <w:color w:val="000000"/>
          <w:sz w:val="22"/>
          <w:szCs w:val="22"/>
        </w:rPr>
      </w:pPr>
    </w:p>
    <w:p w14:paraId="7987EBEB" w14:textId="77777777" w:rsidR="00D451AA" w:rsidRDefault="00276D9B">
      <w:pPr>
        <w:numPr>
          <w:ilvl w:val="0"/>
          <w:numId w:val="2"/>
        </w:numPr>
        <w:pBdr>
          <w:top w:val="nil"/>
          <w:left w:val="nil"/>
          <w:bottom w:val="nil"/>
          <w:right w:val="nil"/>
          <w:between w:val="nil"/>
        </w:pBdr>
        <w:ind w:left="360" w:firstLine="0"/>
        <w:jc w:val="both"/>
        <w:rPr>
          <w:color w:val="000000"/>
          <w:sz w:val="22"/>
          <w:szCs w:val="22"/>
        </w:rPr>
      </w:pPr>
      <w:r>
        <w:rPr>
          <w:color w:val="000000"/>
          <w:sz w:val="22"/>
          <w:szCs w:val="22"/>
        </w:rPr>
        <w:t xml:space="preserve">Please use the review template below when providing comments. </w:t>
      </w:r>
    </w:p>
    <w:p w14:paraId="6E7282CA" w14:textId="77777777" w:rsidR="00D451AA" w:rsidRDefault="00D451AA">
      <w:pPr>
        <w:jc w:val="both"/>
        <w:rPr>
          <w:sz w:val="22"/>
          <w:szCs w:val="22"/>
        </w:rPr>
      </w:pPr>
    </w:p>
    <w:p w14:paraId="3A10794B" w14:textId="77777777" w:rsidR="00D451AA" w:rsidRDefault="00276D9B">
      <w:pPr>
        <w:numPr>
          <w:ilvl w:val="0"/>
          <w:numId w:val="2"/>
        </w:numPr>
        <w:pBdr>
          <w:top w:val="nil"/>
          <w:left w:val="nil"/>
          <w:bottom w:val="nil"/>
          <w:right w:val="nil"/>
          <w:between w:val="nil"/>
        </w:pBdr>
        <w:ind w:left="360" w:firstLine="0"/>
        <w:jc w:val="both"/>
        <w:rPr>
          <w:color w:val="000000"/>
          <w:sz w:val="22"/>
          <w:szCs w:val="22"/>
        </w:rPr>
      </w:pPr>
      <w:r>
        <w:rPr>
          <w:color w:val="000000"/>
          <w:sz w:val="22"/>
          <w:szCs w:val="22"/>
        </w:rPr>
        <w:t>The complete draft of the monitoring framework has been released in a portable document format (PDF). For tables 1, 2 and 3 column letters and row numbers have been provided as well as page numbers. Please use these as a reference as illustrated in the table below. General comments can be included in the table by referring to Page 0 and Line 0.</w:t>
      </w:r>
    </w:p>
    <w:p w14:paraId="2509FA1B" w14:textId="77777777" w:rsidR="00D451AA" w:rsidRDefault="00D451AA">
      <w:pPr>
        <w:pBdr>
          <w:top w:val="nil"/>
          <w:left w:val="nil"/>
          <w:bottom w:val="nil"/>
          <w:right w:val="nil"/>
          <w:between w:val="nil"/>
        </w:pBdr>
        <w:ind w:left="720"/>
        <w:rPr>
          <w:color w:val="000000"/>
          <w:sz w:val="22"/>
          <w:szCs w:val="22"/>
        </w:rPr>
      </w:pPr>
    </w:p>
    <w:p w14:paraId="0ACC98B5" w14:textId="77777777" w:rsidR="00D451AA" w:rsidRDefault="00276D9B">
      <w:pPr>
        <w:pBdr>
          <w:top w:val="nil"/>
          <w:left w:val="nil"/>
          <w:bottom w:val="nil"/>
          <w:right w:val="nil"/>
          <w:between w:val="nil"/>
        </w:pBdr>
        <w:jc w:val="center"/>
        <w:rPr>
          <w:color w:val="000000"/>
          <w:sz w:val="22"/>
          <w:szCs w:val="22"/>
          <w:u w:val="single"/>
        </w:rPr>
      </w:pPr>
      <w:r>
        <w:rPr>
          <w:b/>
          <w:color w:val="000000"/>
          <w:sz w:val="22"/>
          <w:szCs w:val="22"/>
          <w:u w:val="single"/>
        </w:rPr>
        <w:t>TEMPLATE FOR COMMENTS</w:t>
      </w:r>
    </w:p>
    <w:p w14:paraId="660B0263" w14:textId="77777777" w:rsidR="00D451AA" w:rsidRDefault="00D451AA">
      <w:pPr>
        <w:pBdr>
          <w:top w:val="nil"/>
          <w:left w:val="nil"/>
          <w:bottom w:val="nil"/>
          <w:right w:val="nil"/>
          <w:between w:val="nil"/>
        </w:pBdr>
        <w:jc w:val="center"/>
        <w:rPr>
          <w:color w:val="000000"/>
          <w:sz w:val="22"/>
          <w:szCs w:val="22"/>
          <w:u w:val="single"/>
        </w:rPr>
      </w:pP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15"/>
        <w:gridCol w:w="974"/>
        <w:gridCol w:w="196"/>
        <w:gridCol w:w="1019"/>
        <w:gridCol w:w="5785"/>
      </w:tblGrid>
      <w:tr w:rsidR="00D451AA" w14:paraId="4F5B1E19" w14:textId="77777777">
        <w:trPr>
          <w:trHeight w:val="242"/>
        </w:trPr>
        <w:tc>
          <w:tcPr>
            <w:tcW w:w="9606" w:type="dxa"/>
            <w:gridSpan w:val="6"/>
          </w:tcPr>
          <w:p w14:paraId="4F67775E" w14:textId="77777777" w:rsidR="00D451AA" w:rsidRDefault="00276D9B">
            <w:pPr>
              <w:jc w:val="center"/>
            </w:pPr>
            <w:r>
              <w:rPr>
                <w:b/>
              </w:rPr>
              <w:t>Review comments on the draft monitoring framework for the post-2020 global biodiversity framework</w:t>
            </w:r>
          </w:p>
        </w:tc>
      </w:tr>
      <w:tr w:rsidR="00D451AA" w14:paraId="5F99F153" w14:textId="77777777">
        <w:trPr>
          <w:trHeight w:val="233"/>
        </w:trPr>
        <w:tc>
          <w:tcPr>
            <w:tcW w:w="9606" w:type="dxa"/>
            <w:gridSpan w:val="6"/>
            <w:shd w:val="clear" w:color="auto" w:fill="C0C0C0"/>
          </w:tcPr>
          <w:p w14:paraId="759E93D3" w14:textId="77777777" w:rsidR="00D451AA" w:rsidRDefault="00276D9B">
            <w:pPr>
              <w:jc w:val="center"/>
            </w:pPr>
            <w:r>
              <w:rPr>
                <w:i/>
              </w:rPr>
              <w:t>Contact information</w:t>
            </w:r>
          </w:p>
        </w:tc>
      </w:tr>
      <w:tr w:rsidR="00D451AA" w14:paraId="06DC0337" w14:textId="77777777">
        <w:trPr>
          <w:trHeight w:val="270"/>
        </w:trPr>
        <w:tc>
          <w:tcPr>
            <w:tcW w:w="2802" w:type="dxa"/>
            <w:gridSpan w:val="4"/>
          </w:tcPr>
          <w:p w14:paraId="2FCBD7BE" w14:textId="77777777" w:rsidR="00D451AA" w:rsidRDefault="00276D9B">
            <w:pPr>
              <w:pBdr>
                <w:top w:val="nil"/>
                <w:left w:val="nil"/>
                <w:bottom w:val="nil"/>
                <w:right w:val="nil"/>
                <w:between w:val="nil"/>
              </w:pBdr>
              <w:spacing w:before="60" w:after="60"/>
              <w:rPr>
                <w:color w:val="000000"/>
                <w:sz w:val="22"/>
                <w:szCs w:val="22"/>
              </w:rPr>
            </w:pPr>
            <w:r>
              <w:rPr>
                <w:b/>
                <w:color w:val="000000"/>
                <w:sz w:val="22"/>
                <w:szCs w:val="22"/>
              </w:rPr>
              <w:t>Surname:</w:t>
            </w:r>
          </w:p>
        </w:tc>
        <w:tc>
          <w:tcPr>
            <w:tcW w:w="6804" w:type="dxa"/>
            <w:gridSpan w:val="2"/>
          </w:tcPr>
          <w:p w14:paraId="3A205EA7" w14:textId="77777777" w:rsidR="00D451AA" w:rsidRDefault="00276D9B">
            <w:r>
              <w:t>Bridgers</w:t>
            </w:r>
          </w:p>
        </w:tc>
      </w:tr>
      <w:tr w:rsidR="00D451AA" w14:paraId="41972338" w14:textId="77777777">
        <w:trPr>
          <w:trHeight w:val="270"/>
        </w:trPr>
        <w:tc>
          <w:tcPr>
            <w:tcW w:w="2802" w:type="dxa"/>
            <w:gridSpan w:val="4"/>
          </w:tcPr>
          <w:p w14:paraId="41740097" w14:textId="77777777" w:rsidR="00D451AA" w:rsidRDefault="00276D9B">
            <w:pPr>
              <w:pBdr>
                <w:top w:val="nil"/>
                <w:left w:val="nil"/>
                <w:bottom w:val="nil"/>
                <w:right w:val="nil"/>
                <w:between w:val="nil"/>
              </w:pBdr>
              <w:spacing w:before="60" w:after="60"/>
              <w:rPr>
                <w:color w:val="000000"/>
                <w:sz w:val="22"/>
                <w:szCs w:val="22"/>
              </w:rPr>
            </w:pPr>
            <w:r>
              <w:rPr>
                <w:b/>
                <w:color w:val="000000"/>
                <w:sz w:val="22"/>
                <w:szCs w:val="22"/>
              </w:rPr>
              <w:t>Given Name:</w:t>
            </w:r>
          </w:p>
        </w:tc>
        <w:tc>
          <w:tcPr>
            <w:tcW w:w="6804" w:type="dxa"/>
            <w:gridSpan w:val="2"/>
          </w:tcPr>
          <w:p w14:paraId="1A476FC2" w14:textId="77777777" w:rsidR="00D451AA" w:rsidRDefault="00276D9B">
            <w:r>
              <w:t>Jessica</w:t>
            </w:r>
          </w:p>
        </w:tc>
      </w:tr>
      <w:tr w:rsidR="00D451AA" w14:paraId="6E924424" w14:textId="77777777">
        <w:trPr>
          <w:trHeight w:val="280"/>
        </w:trPr>
        <w:tc>
          <w:tcPr>
            <w:tcW w:w="2802" w:type="dxa"/>
            <w:gridSpan w:val="4"/>
          </w:tcPr>
          <w:p w14:paraId="5E2EE898" w14:textId="77777777" w:rsidR="00D451AA" w:rsidRDefault="00276D9B">
            <w:pPr>
              <w:pBdr>
                <w:top w:val="nil"/>
                <w:left w:val="nil"/>
                <w:bottom w:val="nil"/>
                <w:right w:val="nil"/>
                <w:between w:val="nil"/>
              </w:pBdr>
              <w:spacing w:before="60" w:after="60"/>
              <w:rPr>
                <w:color w:val="000000"/>
                <w:sz w:val="22"/>
                <w:szCs w:val="22"/>
              </w:rPr>
            </w:pPr>
            <w:r>
              <w:rPr>
                <w:b/>
                <w:color w:val="000000"/>
                <w:sz w:val="22"/>
                <w:szCs w:val="22"/>
              </w:rPr>
              <w:t xml:space="preserve">Government </w:t>
            </w:r>
            <w:r>
              <w:rPr>
                <w:color w:val="000000"/>
                <w:sz w:val="22"/>
                <w:szCs w:val="22"/>
              </w:rPr>
              <w:t>(if applicable)</w:t>
            </w:r>
            <w:r>
              <w:rPr>
                <w:b/>
                <w:color w:val="000000"/>
                <w:sz w:val="22"/>
                <w:szCs w:val="22"/>
              </w:rPr>
              <w:t xml:space="preserve">: </w:t>
            </w:r>
          </w:p>
        </w:tc>
        <w:tc>
          <w:tcPr>
            <w:tcW w:w="6804" w:type="dxa"/>
            <w:gridSpan w:val="2"/>
          </w:tcPr>
          <w:p w14:paraId="489DF379" w14:textId="77777777" w:rsidR="00D451AA" w:rsidRDefault="00D451AA"/>
        </w:tc>
      </w:tr>
      <w:tr w:rsidR="00D451AA" w14:paraId="1CB98D50" w14:textId="77777777">
        <w:trPr>
          <w:trHeight w:val="270"/>
        </w:trPr>
        <w:tc>
          <w:tcPr>
            <w:tcW w:w="2802" w:type="dxa"/>
            <w:gridSpan w:val="4"/>
          </w:tcPr>
          <w:p w14:paraId="7C4D1B73" w14:textId="77777777" w:rsidR="00D451AA" w:rsidRDefault="00276D9B">
            <w:pPr>
              <w:pBdr>
                <w:top w:val="nil"/>
                <w:left w:val="nil"/>
                <w:bottom w:val="nil"/>
                <w:right w:val="nil"/>
                <w:between w:val="nil"/>
              </w:pBdr>
              <w:spacing w:before="60" w:after="60"/>
              <w:rPr>
                <w:color w:val="000000"/>
                <w:sz w:val="22"/>
                <w:szCs w:val="22"/>
              </w:rPr>
            </w:pPr>
            <w:r>
              <w:rPr>
                <w:b/>
                <w:color w:val="000000"/>
                <w:sz w:val="22"/>
                <w:szCs w:val="22"/>
              </w:rPr>
              <w:t>Organization:</w:t>
            </w:r>
          </w:p>
        </w:tc>
        <w:tc>
          <w:tcPr>
            <w:tcW w:w="6804" w:type="dxa"/>
            <w:gridSpan w:val="2"/>
          </w:tcPr>
          <w:p w14:paraId="35230D14" w14:textId="77777777" w:rsidR="00D451AA" w:rsidRDefault="00276D9B">
            <w:r>
              <w:t>World Animal Net</w:t>
            </w:r>
          </w:p>
        </w:tc>
      </w:tr>
      <w:tr w:rsidR="00D451AA" w14:paraId="3D1F2127" w14:textId="77777777">
        <w:trPr>
          <w:trHeight w:val="280"/>
        </w:trPr>
        <w:tc>
          <w:tcPr>
            <w:tcW w:w="2802" w:type="dxa"/>
            <w:gridSpan w:val="4"/>
          </w:tcPr>
          <w:p w14:paraId="156EEFC3" w14:textId="77777777" w:rsidR="00D451AA" w:rsidRDefault="00276D9B">
            <w:pPr>
              <w:pBdr>
                <w:top w:val="nil"/>
                <w:left w:val="nil"/>
                <w:bottom w:val="nil"/>
                <w:right w:val="nil"/>
                <w:between w:val="nil"/>
              </w:pBdr>
              <w:spacing w:before="60" w:after="60"/>
              <w:rPr>
                <w:color w:val="000000"/>
                <w:sz w:val="22"/>
                <w:szCs w:val="22"/>
              </w:rPr>
            </w:pPr>
            <w:r>
              <w:rPr>
                <w:b/>
                <w:color w:val="000000"/>
                <w:sz w:val="22"/>
                <w:szCs w:val="22"/>
              </w:rPr>
              <w:t xml:space="preserve">Address:  </w:t>
            </w:r>
          </w:p>
        </w:tc>
        <w:tc>
          <w:tcPr>
            <w:tcW w:w="6804" w:type="dxa"/>
            <w:gridSpan w:val="2"/>
          </w:tcPr>
          <w:p w14:paraId="5BF0BA12" w14:textId="77777777" w:rsidR="00D451AA" w:rsidRDefault="00276D9B">
            <w:r>
              <w:rPr>
                <w:highlight w:val="white"/>
              </w:rPr>
              <w:t>25 Chestnut Square</w:t>
            </w:r>
          </w:p>
        </w:tc>
      </w:tr>
      <w:tr w:rsidR="00D451AA" w14:paraId="677F3325" w14:textId="77777777">
        <w:trPr>
          <w:trHeight w:val="270"/>
        </w:trPr>
        <w:tc>
          <w:tcPr>
            <w:tcW w:w="2802" w:type="dxa"/>
            <w:gridSpan w:val="4"/>
          </w:tcPr>
          <w:p w14:paraId="6E479C1F" w14:textId="77777777" w:rsidR="00D451AA" w:rsidRDefault="00276D9B">
            <w:pPr>
              <w:pBdr>
                <w:top w:val="nil"/>
                <w:left w:val="nil"/>
                <w:bottom w:val="nil"/>
                <w:right w:val="nil"/>
                <w:between w:val="nil"/>
              </w:pBdr>
              <w:spacing w:before="60" w:after="60"/>
              <w:rPr>
                <w:color w:val="000000"/>
                <w:sz w:val="22"/>
                <w:szCs w:val="22"/>
              </w:rPr>
            </w:pPr>
            <w:r>
              <w:rPr>
                <w:b/>
                <w:color w:val="000000"/>
                <w:sz w:val="22"/>
                <w:szCs w:val="22"/>
              </w:rPr>
              <w:t>City:</w:t>
            </w:r>
          </w:p>
        </w:tc>
        <w:tc>
          <w:tcPr>
            <w:tcW w:w="6804" w:type="dxa"/>
            <w:gridSpan w:val="2"/>
          </w:tcPr>
          <w:p w14:paraId="4C3D51FD" w14:textId="77777777" w:rsidR="00D451AA" w:rsidRDefault="00276D9B">
            <w:r>
              <w:t>Boston</w:t>
            </w:r>
          </w:p>
        </w:tc>
      </w:tr>
      <w:tr w:rsidR="00D451AA" w14:paraId="518935D7" w14:textId="77777777">
        <w:trPr>
          <w:trHeight w:val="280"/>
        </w:trPr>
        <w:tc>
          <w:tcPr>
            <w:tcW w:w="2802" w:type="dxa"/>
            <w:gridSpan w:val="4"/>
          </w:tcPr>
          <w:p w14:paraId="15DA0349" w14:textId="77777777" w:rsidR="00D451AA" w:rsidRDefault="00276D9B">
            <w:pPr>
              <w:pBdr>
                <w:top w:val="nil"/>
                <w:left w:val="nil"/>
                <w:bottom w:val="nil"/>
                <w:right w:val="nil"/>
                <w:between w:val="nil"/>
              </w:pBdr>
              <w:spacing w:before="60" w:after="60"/>
              <w:rPr>
                <w:color w:val="000000"/>
                <w:sz w:val="22"/>
                <w:szCs w:val="22"/>
              </w:rPr>
            </w:pPr>
            <w:r>
              <w:rPr>
                <w:b/>
                <w:color w:val="000000"/>
                <w:sz w:val="22"/>
                <w:szCs w:val="22"/>
              </w:rPr>
              <w:t>Country:</w:t>
            </w:r>
          </w:p>
        </w:tc>
        <w:tc>
          <w:tcPr>
            <w:tcW w:w="6804" w:type="dxa"/>
            <w:gridSpan w:val="2"/>
          </w:tcPr>
          <w:p w14:paraId="67BCD01F" w14:textId="77777777" w:rsidR="00D451AA" w:rsidRDefault="00276D9B">
            <w:r>
              <w:t>U.S.A.</w:t>
            </w:r>
          </w:p>
        </w:tc>
      </w:tr>
      <w:tr w:rsidR="00D451AA" w14:paraId="5532CFF0" w14:textId="77777777">
        <w:trPr>
          <w:trHeight w:val="233"/>
        </w:trPr>
        <w:tc>
          <w:tcPr>
            <w:tcW w:w="2802" w:type="dxa"/>
            <w:gridSpan w:val="4"/>
          </w:tcPr>
          <w:p w14:paraId="17E34742" w14:textId="77777777" w:rsidR="00D451AA" w:rsidRDefault="00276D9B">
            <w:pPr>
              <w:pBdr>
                <w:top w:val="nil"/>
                <w:left w:val="nil"/>
                <w:bottom w:val="nil"/>
                <w:right w:val="nil"/>
                <w:between w:val="nil"/>
              </w:pBdr>
              <w:rPr>
                <w:b/>
                <w:color w:val="000000"/>
                <w:sz w:val="22"/>
                <w:szCs w:val="22"/>
              </w:rPr>
            </w:pPr>
            <w:r>
              <w:rPr>
                <w:b/>
                <w:color w:val="000000"/>
                <w:sz w:val="22"/>
                <w:szCs w:val="22"/>
              </w:rPr>
              <w:t>E-mail:</w:t>
            </w:r>
          </w:p>
        </w:tc>
        <w:tc>
          <w:tcPr>
            <w:tcW w:w="6804" w:type="dxa"/>
            <w:gridSpan w:val="2"/>
          </w:tcPr>
          <w:p w14:paraId="053173C4" w14:textId="77777777" w:rsidR="00D451AA" w:rsidRDefault="00276D9B">
            <w:r>
              <w:t>jessica@worldanimal.net</w:t>
            </w:r>
          </w:p>
        </w:tc>
      </w:tr>
      <w:tr w:rsidR="00D451AA" w14:paraId="237FA9C9" w14:textId="77777777">
        <w:trPr>
          <w:trHeight w:val="224"/>
        </w:trPr>
        <w:tc>
          <w:tcPr>
            <w:tcW w:w="817" w:type="dxa"/>
            <w:shd w:val="clear" w:color="auto" w:fill="C0C0C0"/>
          </w:tcPr>
          <w:p w14:paraId="19600AB3" w14:textId="77777777" w:rsidR="00D451AA" w:rsidRDefault="00D451AA">
            <w:pPr>
              <w:jc w:val="center"/>
              <w:rPr>
                <w:highlight w:val="lightGray"/>
              </w:rPr>
            </w:pPr>
          </w:p>
        </w:tc>
        <w:tc>
          <w:tcPr>
            <w:tcW w:w="815" w:type="dxa"/>
            <w:shd w:val="clear" w:color="auto" w:fill="C0C0C0"/>
          </w:tcPr>
          <w:p w14:paraId="148726B5" w14:textId="77777777" w:rsidR="00D451AA" w:rsidRDefault="00D451AA">
            <w:pPr>
              <w:jc w:val="center"/>
              <w:rPr>
                <w:highlight w:val="lightGray"/>
              </w:rPr>
            </w:pPr>
          </w:p>
        </w:tc>
        <w:tc>
          <w:tcPr>
            <w:tcW w:w="7974" w:type="dxa"/>
            <w:gridSpan w:val="4"/>
            <w:shd w:val="clear" w:color="auto" w:fill="C0C0C0"/>
          </w:tcPr>
          <w:p w14:paraId="1FE4B1A4" w14:textId="77777777" w:rsidR="00D451AA" w:rsidRDefault="00276D9B">
            <w:pPr>
              <w:jc w:val="center"/>
            </w:pPr>
            <w:r>
              <w:rPr>
                <w:b/>
                <w:i/>
                <w:highlight w:val="lightGray"/>
              </w:rPr>
              <w:t>Comments</w:t>
            </w:r>
          </w:p>
        </w:tc>
      </w:tr>
      <w:tr w:rsidR="00D451AA" w14:paraId="4FA7DA9C" w14:textId="77777777">
        <w:trPr>
          <w:trHeight w:val="224"/>
        </w:trPr>
        <w:tc>
          <w:tcPr>
            <w:tcW w:w="817" w:type="dxa"/>
          </w:tcPr>
          <w:p w14:paraId="73A14940" w14:textId="77777777" w:rsidR="00D451AA" w:rsidRDefault="00276D9B">
            <w:pPr>
              <w:rPr>
                <w:sz w:val="22"/>
                <w:szCs w:val="22"/>
              </w:rPr>
            </w:pPr>
            <w:r>
              <w:rPr>
                <w:b/>
                <w:sz w:val="22"/>
                <w:szCs w:val="22"/>
              </w:rPr>
              <w:t>Table</w:t>
            </w:r>
          </w:p>
        </w:tc>
        <w:tc>
          <w:tcPr>
            <w:tcW w:w="815" w:type="dxa"/>
          </w:tcPr>
          <w:p w14:paraId="0D841629" w14:textId="77777777" w:rsidR="00D451AA" w:rsidRDefault="00276D9B">
            <w:pPr>
              <w:rPr>
                <w:sz w:val="22"/>
                <w:szCs w:val="22"/>
              </w:rPr>
            </w:pPr>
            <w:r>
              <w:rPr>
                <w:b/>
                <w:sz w:val="22"/>
                <w:szCs w:val="22"/>
              </w:rPr>
              <w:t>Page</w:t>
            </w:r>
          </w:p>
        </w:tc>
        <w:tc>
          <w:tcPr>
            <w:tcW w:w="974" w:type="dxa"/>
          </w:tcPr>
          <w:p w14:paraId="1F52EAC1" w14:textId="77777777" w:rsidR="00D451AA" w:rsidRDefault="00276D9B">
            <w:r>
              <w:rPr>
                <w:b/>
                <w:sz w:val="22"/>
                <w:szCs w:val="22"/>
              </w:rPr>
              <w:t>Column letter</w:t>
            </w:r>
          </w:p>
        </w:tc>
        <w:tc>
          <w:tcPr>
            <w:tcW w:w="1215" w:type="dxa"/>
            <w:gridSpan w:val="2"/>
          </w:tcPr>
          <w:p w14:paraId="4B04A902" w14:textId="77777777" w:rsidR="00D451AA" w:rsidRDefault="00276D9B">
            <w:r>
              <w:rPr>
                <w:b/>
              </w:rPr>
              <w:t>Row number</w:t>
            </w:r>
          </w:p>
        </w:tc>
        <w:tc>
          <w:tcPr>
            <w:tcW w:w="5785" w:type="dxa"/>
          </w:tcPr>
          <w:p w14:paraId="0CD482BA" w14:textId="77777777" w:rsidR="00D451AA" w:rsidRDefault="00276D9B">
            <w:r>
              <w:rPr>
                <w:b/>
                <w:sz w:val="22"/>
                <w:szCs w:val="22"/>
              </w:rPr>
              <w:t>Comment</w:t>
            </w:r>
          </w:p>
        </w:tc>
      </w:tr>
      <w:tr w:rsidR="00D451AA" w14:paraId="5B96B4AB" w14:textId="77777777">
        <w:trPr>
          <w:trHeight w:val="233"/>
        </w:trPr>
        <w:tc>
          <w:tcPr>
            <w:tcW w:w="817" w:type="dxa"/>
          </w:tcPr>
          <w:p w14:paraId="757A5F9F" w14:textId="77777777" w:rsidR="00D451AA" w:rsidRDefault="00276D9B">
            <w:pPr>
              <w:rPr>
                <w:sz w:val="22"/>
                <w:szCs w:val="22"/>
              </w:rPr>
            </w:pPr>
            <w:r>
              <w:rPr>
                <w:sz w:val="22"/>
                <w:szCs w:val="22"/>
              </w:rPr>
              <w:t>0</w:t>
            </w:r>
          </w:p>
        </w:tc>
        <w:tc>
          <w:tcPr>
            <w:tcW w:w="815" w:type="dxa"/>
          </w:tcPr>
          <w:p w14:paraId="72B34581" w14:textId="77777777" w:rsidR="00D451AA" w:rsidRDefault="00276D9B">
            <w:pPr>
              <w:rPr>
                <w:sz w:val="22"/>
                <w:szCs w:val="22"/>
              </w:rPr>
            </w:pPr>
            <w:r>
              <w:rPr>
                <w:sz w:val="22"/>
                <w:szCs w:val="22"/>
              </w:rPr>
              <w:t>0</w:t>
            </w:r>
          </w:p>
        </w:tc>
        <w:tc>
          <w:tcPr>
            <w:tcW w:w="974" w:type="dxa"/>
          </w:tcPr>
          <w:p w14:paraId="627E51AF" w14:textId="77777777" w:rsidR="00D451AA" w:rsidRDefault="00276D9B">
            <w:pPr>
              <w:rPr>
                <w:sz w:val="22"/>
                <w:szCs w:val="22"/>
              </w:rPr>
            </w:pPr>
            <w:r>
              <w:rPr>
                <w:sz w:val="22"/>
                <w:szCs w:val="22"/>
              </w:rPr>
              <w:t>0</w:t>
            </w:r>
          </w:p>
        </w:tc>
        <w:tc>
          <w:tcPr>
            <w:tcW w:w="1215" w:type="dxa"/>
            <w:gridSpan w:val="2"/>
          </w:tcPr>
          <w:p w14:paraId="23108F1A" w14:textId="77777777" w:rsidR="00D451AA" w:rsidRDefault="00276D9B">
            <w:pPr>
              <w:rPr>
                <w:sz w:val="22"/>
                <w:szCs w:val="22"/>
              </w:rPr>
            </w:pPr>
            <w:r>
              <w:rPr>
                <w:sz w:val="22"/>
                <w:szCs w:val="22"/>
              </w:rPr>
              <w:t>0</w:t>
            </w:r>
          </w:p>
        </w:tc>
        <w:tc>
          <w:tcPr>
            <w:tcW w:w="5785" w:type="dxa"/>
          </w:tcPr>
          <w:p w14:paraId="4D4E9AD5" w14:textId="77777777" w:rsidR="00D451AA" w:rsidRDefault="00276D9B">
            <w:pPr>
              <w:rPr>
                <w:sz w:val="22"/>
                <w:szCs w:val="22"/>
              </w:rPr>
            </w:pPr>
            <w:r>
              <w:rPr>
                <w:sz w:val="22"/>
                <w:szCs w:val="22"/>
              </w:rPr>
              <w:t>Multiple monitoring elements (B) are lacking indicators. Monitoring elements need to be defined to ensure they are being correctly evaluated and addressed.</w:t>
            </w:r>
          </w:p>
        </w:tc>
      </w:tr>
      <w:tr w:rsidR="00D451AA" w14:paraId="09BEE777" w14:textId="77777777">
        <w:trPr>
          <w:trHeight w:val="233"/>
        </w:trPr>
        <w:tc>
          <w:tcPr>
            <w:tcW w:w="817" w:type="dxa"/>
          </w:tcPr>
          <w:p w14:paraId="3F9DF56A" w14:textId="77777777" w:rsidR="00D451AA" w:rsidRDefault="00276D9B">
            <w:pPr>
              <w:rPr>
                <w:sz w:val="22"/>
                <w:szCs w:val="22"/>
              </w:rPr>
            </w:pPr>
            <w:r>
              <w:rPr>
                <w:sz w:val="22"/>
                <w:szCs w:val="22"/>
              </w:rPr>
              <w:t>0</w:t>
            </w:r>
          </w:p>
        </w:tc>
        <w:tc>
          <w:tcPr>
            <w:tcW w:w="815" w:type="dxa"/>
          </w:tcPr>
          <w:p w14:paraId="29DCAF90" w14:textId="77777777" w:rsidR="00D451AA" w:rsidRDefault="00276D9B">
            <w:pPr>
              <w:rPr>
                <w:sz w:val="22"/>
                <w:szCs w:val="22"/>
              </w:rPr>
            </w:pPr>
            <w:r>
              <w:rPr>
                <w:sz w:val="22"/>
                <w:szCs w:val="22"/>
              </w:rPr>
              <w:t>0</w:t>
            </w:r>
          </w:p>
        </w:tc>
        <w:tc>
          <w:tcPr>
            <w:tcW w:w="974" w:type="dxa"/>
          </w:tcPr>
          <w:p w14:paraId="1247E8CE" w14:textId="77777777" w:rsidR="00D451AA" w:rsidRDefault="00276D9B">
            <w:pPr>
              <w:rPr>
                <w:sz w:val="22"/>
                <w:szCs w:val="22"/>
              </w:rPr>
            </w:pPr>
            <w:r>
              <w:rPr>
                <w:sz w:val="22"/>
                <w:szCs w:val="22"/>
              </w:rPr>
              <w:t>0</w:t>
            </w:r>
          </w:p>
        </w:tc>
        <w:tc>
          <w:tcPr>
            <w:tcW w:w="1215" w:type="dxa"/>
            <w:gridSpan w:val="2"/>
          </w:tcPr>
          <w:p w14:paraId="6BBAD0DE" w14:textId="77777777" w:rsidR="00D451AA" w:rsidRDefault="00276D9B">
            <w:pPr>
              <w:rPr>
                <w:sz w:val="22"/>
                <w:szCs w:val="22"/>
              </w:rPr>
            </w:pPr>
            <w:r>
              <w:rPr>
                <w:sz w:val="22"/>
                <w:szCs w:val="22"/>
              </w:rPr>
              <w:t>0</w:t>
            </w:r>
          </w:p>
        </w:tc>
        <w:tc>
          <w:tcPr>
            <w:tcW w:w="5785" w:type="dxa"/>
          </w:tcPr>
          <w:p w14:paraId="78EBD107" w14:textId="77777777" w:rsidR="00D451AA" w:rsidRDefault="00276D9B">
            <w:pPr>
              <w:rPr>
                <w:sz w:val="22"/>
                <w:szCs w:val="22"/>
              </w:rPr>
            </w:pPr>
            <w:r>
              <w:rPr>
                <w:sz w:val="22"/>
                <w:szCs w:val="22"/>
              </w:rPr>
              <w:t xml:space="preserve">Multiple indicators (C) currently do not have anything for ‘baseline data and frequency of updates.’ If there is no baseline data, because an already-established organization does not collect that data or for any other reason, there should be a proposal how this data plans to be collected. If there is lack of knowledge on the frequency of updates, there should be a </w:t>
            </w:r>
            <w:r>
              <w:rPr>
                <w:sz w:val="22"/>
                <w:szCs w:val="22"/>
              </w:rPr>
              <w:lastRenderedPageBreak/>
              <w:t xml:space="preserve">proposed timeline for how often this data should be collected and examined. </w:t>
            </w:r>
          </w:p>
        </w:tc>
      </w:tr>
      <w:tr w:rsidR="00D451AA" w14:paraId="2C1DC36A" w14:textId="77777777">
        <w:trPr>
          <w:trHeight w:val="224"/>
        </w:trPr>
        <w:tc>
          <w:tcPr>
            <w:tcW w:w="817" w:type="dxa"/>
          </w:tcPr>
          <w:p w14:paraId="7BC285B0" w14:textId="77777777" w:rsidR="00D451AA" w:rsidRDefault="00276D9B">
            <w:r>
              <w:lastRenderedPageBreak/>
              <w:t>0</w:t>
            </w:r>
          </w:p>
        </w:tc>
        <w:tc>
          <w:tcPr>
            <w:tcW w:w="815" w:type="dxa"/>
          </w:tcPr>
          <w:p w14:paraId="708F9963" w14:textId="77777777" w:rsidR="00D451AA" w:rsidRDefault="00276D9B">
            <w:r>
              <w:t>0</w:t>
            </w:r>
          </w:p>
        </w:tc>
        <w:tc>
          <w:tcPr>
            <w:tcW w:w="974" w:type="dxa"/>
          </w:tcPr>
          <w:p w14:paraId="4FFC4CE5" w14:textId="77777777" w:rsidR="00D451AA" w:rsidRDefault="00276D9B">
            <w:r>
              <w:t>0</w:t>
            </w:r>
          </w:p>
        </w:tc>
        <w:tc>
          <w:tcPr>
            <w:tcW w:w="1215" w:type="dxa"/>
            <w:gridSpan w:val="2"/>
          </w:tcPr>
          <w:p w14:paraId="1D1ED69E" w14:textId="77777777" w:rsidR="00D451AA" w:rsidRDefault="00276D9B">
            <w:r>
              <w:t>0</w:t>
            </w:r>
          </w:p>
        </w:tc>
        <w:tc>
          <w:tcPr>
            <w:tcW w:w="5785" w:type="dxa"/>
          </w:tcPr>
          <w:p w14:paraId="431C34AE" w14:textId="3F7E762D" w:rsidR="00D451AA" w:rsidRDefault="00276D9B">
            <w:r>
              <w:t xml:space="preserve">Intrinsic value of nature, ecosystems, and biodiversity should always be accounted for. There is a lack of regard for these in and of themselves, and most value that is attributed to them is based on what they contribute to human survival. </w:t>
            </w:r>
            <w:r w:rsidR="00E973CF">
              <w:t xml:space="preserve">All wild species contribute to </w:t>
            </w:r>
            <w:proofErr w:type="gramStart"/>
            <w:r w:rsidR="00E973CF">
              <w:t>ecosystems,</w:t>
            </w:r>
            <w:proofErr w:type="gramEnd"/>
            <w:r w:rsidR="00E973CF">
              <w:t xml:space="preserve"> therefore, a</w:t>
            </w:r>
            <w:r>
              <w:t xml:space="preserve"> more balanced approach is needed.</w:t>
            </w:r>
          </w:p>
        </w:tc>
      </w:tr>
      <w:tr w:rsidR="00D451AA" w14:paraId="2B976668" w14:textId="77777777">
        <w:trPr>
          <w:trHeight w:val="224"/>
        </w:trPr>
        <w:tc>
          <w:tcPr>
            <w:tcW w:w="817" w:type="dxa"/>
          </w:tcPr>
          <w:p w14:paraId="0CDE88EF" w14:textId="77777777" w:rsidR="00D451AA" w:rsidRDefault="00276D9B">
            <w:r>
              <w:t>0</w:t>
            </w:r>
          </w:p>
        </w:tc>
        <w:tc>
          <w:tcPr>
            <w:tcW w:w="815" w:type="dxa"/>
          </w:tcPr>
          <w:p w14:paraId="503800FB" w14:textId="77777777" w:rsidR="00D451AA" w:rsidRDefault="00276D9B">
            <w:r>
              <w:t>0</w:t>
            </w:r>
          </w:p>
        </w:tc>
        <w:tc>
          <w:tcPr>
            <w:tcW w:w="974" w:type="dxa"/>
          </w:tcPr>
          <w:p w14:paraId="0F8A73F4" w14:textId="77777777" w:rsidR="00D451AA" w:rsidRDefault="00276D9B">
            <w:r>
              <w:t>0</w:t>
            </w:r>
          </w:p>
        </w:tc>
        <w:tc>
          <w:tcPr>
            <w:tcW w:w="1215" w:type="dxa"/>
            <w:gridSpan w:val="2"/>
          </w:tcPr>
          <w:p w14:paraId="4D8F1827" w14:textId="77777777" w:rsidR="00D451AA" w:rsidRDefault="00276D9B">
            <w:r>
              <w:t>0</w:t>
            </w:r>
          </w:p>
        </w:tc>
        <w:tc>
          <w:tcPr>
            <w:tcW w:w="5785" w:type="dxa"/>
          </w:tcPr>
          <w:p w14:paraId="059E7912" w14:textId="5C65872F" w:rsidR="00D451AA" w:rsidRDefault="00276D9B">
            <w:r>
              <w:t xml:space="preserve">Many components (A) and monitoring elements (B) include phrases such as ‘sustainable management’ or ‘sustainable practices,’ but they refer to vastly different aspects of biodiversity from marine to terrestrial species. ‘Sustainable’ needs to be defined for each one of these because it will look differently depending on species and/or ecosystem. </w:t>
            </w:r>
            <w:r w:rsidR="00E973CF">
              <w:t>It is important to remember that humans and animals alike rely on the function of all ecosystems.</w:t>
            </w:r>
          </w:p>
        </w:tc>
      </w:tr>
      <w:tr w:rsidR="00D451AA" w14:paraId="74F4431C" w14:textId="77777777">
        <w:trPr>
          <w:trHeight w:val="224"/>
        </w:trPr>
        <w:tc>
          <w:tcPr>
            <w:tcW w:w="817" w:type="dxa"/>
          </w:tcPr>
          <w:p w14:paraId="6A406677" w14:textId="77777777" w:rsidR="00D451AA" w:rsidRDefault="00276D9B">
            <w:r>
              <w:t>0</w:t>
            </w:r>
          </w:p>
        </w:tc>
        <w:tc>
          <w:tcPr>
            <w:tcW w:w="815" w:type="dxa"/>
          </w:tcPr>
          <w:p w14:paraId="43A7D665" w14:textId="77777777" w:rsidR="00D451AA" w:rsidRDefault="00276D9B">
            <w:r>
              <w:t>0</w:t>
            </w:r>
          </w:p>
        </w:tc>
        <w:tc>
          <w:tcPr>
            <w:tcW w:w="974" w:type="dxa"/>
          </w:tcPr>
          <w:p w14:paraId="18D8C180" w14:textId="77777777" w:rsidR="00D451AA" w:rsidRDefault="00276D9B">
            <w:r>
              <w:t>0</w:t>
            </w:r>
          </w:p>
        </w:tc>
        <w:tc>
          <w:tcPr>
            <w:tcW w:w="1215" w:type="dxa"/>
            <w:gridSpan w:val="2"/>
          </w:tcPr>
          <w:p w14:paraId="4E84190D" w14:textId="77777777" w:rsidR="00D451AA" w:rsidRDefault="00276D9B">
            <w:r>
              <w:t>0</w:t>
            </w:r>
          </w:p>
        </w:tc>
        <w:tc>
          <w:tcPr>
            <w:tcW w:w="5785" w:type="dxa"/>
          </w:tcPr>
          <w:p w14:paraId="3CC1E17D" w14:textId="084F7E3D" w:rsidR="00D451AA" w:rsidRDefault="00E973CF">
            <w:r>
              <w:t>Certifications alone, such as MSC or FSC, do not equate to sustainability. Neither do established limits/quotas, so a comprehensive view of biodiversity needs to be considered.</w:t>
            </w:r>
          </w:p>
        </w:tc>
      </w:tr>
      <w:tr w:rsidR="00D451AA" w14:paraId="3763714C" w14:textId="77777777">
        <w:trPr>
          <w:trHeight w:val="224"/>
        </w:trPr>
        <w:tc>
          <w:tcPr>
            <w:tcW w:w="817" w:type="dxa"/>
          </w:tcPr>
          <w:p w14:paraId="59BF8D0B" w14:textId="77777777" w:rsidR="00D451AA" w:rsidRDefault="00276D9B">
            <w:r>
              <w:t>0</w:t>
            </w:r>
          </w:p>
        </w:tc>
        <w:tc>
          <w:tcPr>
            <w:tcW w:w="815" w:type="dxa"/>
          </w:tcPr>
          <w:p w14:paraId="2492D336" w14:textId="77777777" w:rsidR="00D451AA" w:rsidRDefault="00276D9B">
            <w:r>
              <w:t>0</w:t>
            </w:r>
          </w:p>
        </w:tc>
        <w:tc>
          <w:tcPr>
            <w:tcW w:w="974" w:type="dxa"/>
          </w:tcPr>
          <w:p w14:paraId="2FBD8DE5" w14:textId="77777777" w:rsidR="00D451AA" w:rsidRDefault="00276D9B">
            <w:r>
              <w:t>0</w:t>
            </w:r>
          </w:p>
        </w:tc>
        <w:tc>
          <w:tcPr>
            <w:tcW w:w="1215" w:type="dxa"/>
            <w:gridSpan w:val="2"/>
          </w:tcPr>
          <w:p w14:paraId="15F9446A" w14:textId="77777777" w:rsidR="00D451AA" w:rsidRDefault="00276D9B">
            <w:r>
              <w:t>0</w:t>
            </w:r>
          </w:p>
        </w:tc>
        <w:tc>
          <w:tcPr>
            <w:tcW w:w="5785" w:type="dxa"/>
          </w:tcPr>
          <w:p w14:paraId="16C24F28" w14:textId="77777777" w:rsidR="00D451AA" w:rsidRDefault="00276D9B">
            <w:r>
              <w:t xml:space="preserve">The One Health framework, and the more comprehensive concept </w:t>
            </w:r>
            <w:hyperlink r:id="rId9">
              <w:r>
                <w:rPr>
                  <w:color w:val="0000FF"/>
                  <w:u w:val="single"/>
                </w:rPr>
                <w:t>One Welfare</w:t>
              </w:r>
            </w:hyperlink>
            <w:r>
              <w:t xml:space="preserve">, should be integrated throughout to emphasize the interconnectivity between planet, human, and animal welfare. </w:t>
            </w:r>
          </w:p>
        </w:tc>
      </w:tr>
      <w:tr w:rsidR="00E973CF" w14:paraId="60FCC5F0" w14:textId="77777777">
        <w:trPr>
          <w:trHeight w:val="224"/>
        </w:trPr>
        <w:tc>
          <w:tcPr>
            <w:tcW w:w="817" w:type="dxa"/>
          </w:tcPr>
          <w:p w14:paraId="58BF9AAF" w14:textId="5C42646C" w:rsidR="00E973CF" w:rsidRDefault="00E973CF">
            <w:r>
              <w:t>0</w:t>
            </w:r>
          </w:p>
        </w:tc>
        <w:tc>
          <w:tcPr>
            <w:tcW w:w="815" w:type="dxa"/>
          </w:tcPr>
          <w:p w14:paraId="499E0796" w14:textId="7A137413" w:rsidR="00E973CF" w:rsidRDefault="00E973CF">
            <w:r>
              <w:t>0</w:t>
            </w:r>
          </w:p>
        </w:tc>
        <w:tc>
          <w:tcPr>
            <w:tcW w:w="974" w:type="dxa"/>
          </w:tcPr>
          <w:p w14:paraId="4E95E16E" w14:textId="5758EBDF" w:rsidR="00E973CF" w:rsidRDefault="00E973CF">
            <w:r>
              <w:t>0</w:t>
            </w:r>
          </w:p>
        </w:tc>
        <w:tc>
          <w:tcPr>
            <w:tcW w:w="1215" w:type="dxa"/>
            <w:gridSpan w:val="2"/>
          </w:tcPr>
          <w:p w14:paraId="66F60DED" w14:textId="095DA44E" w:rsidR="00E973CF" w:rsidRDefault="00E973CF">
            <w:r>
              <w:t>0</w:t>
            </w:r>
          </w:p>
        </w:tc>
        <w:tc>
          <w:tcPr>
            <w:tcW w:w="5785" w:type="dxa"/>
          </w:tcPr>
          <w:p w14:paraId="08813C8E" w14:textId="367A2F67" w:rsidR="00E973CF" w:rsidRDefault="00E973CF">
            <w:r>
              <w:t>Sustainable management, for forests and marine resources alike, should be the last resort. Priority should be given to protecting and conserving biodiversity rather than use. There are also different levels of protection, so the highest level of protection will lead to the most benefits. It is important not to focus on the commodification of biodiversity because this can lead to negative effects such as overexploitation of wild species.</w:t>
            </w:r>
          </w:p>
        </w:tc>
      </w:tr>
      <w:tr w:rsidR="00E973CF" w14:paraId="6489D55B" w14:textId="77777777">
        <w:trPr>
          <w:trHeight w:val="224"/>
        </w:trPr>
        <w:tc>
          <w:tcPr>
            <w:tcW w:w="817" w:type="dxa"/>
          </w:tcPr>
          <w:p w14:paraId="7B5E8F9F" w14:textId="16CAF32E" w:rsidR="00E973CF" w:rsidRDefault="00E973CF">
            <w:r>
              <w:t>0</w:t>
            </w:r>
          </w:p>
        </w:tc>
        <w:tc>
          <w:tcPr>
            <w:tcW w:w="815" w:type="dxa"/>
          </w:tcPr>
          <w:p w14:paraId="75B8C3AA" w14:textId="02DFED81" w:rsidR="00E973CF" w:rsidRDefault="00E973CF">
            <w:r>
              <w:t>0</w:t>
            </w:r>
          </w:p>
        </w:tc>
        <w:tc>
          <w:tcPr>
            <w:tcW w:w="974" w:type="dxa"/>
          </w:tcPr>
          <w:p w14:paraId="4C37492B" w14:textId="63A70D68" w:rsidR="00E973CF" w:rsidRDefault="00E973CF">
            <w:r>
              <w:t>0</w:t>
            </w:r>
          </w:p>
        </w:tc>
        <w:tc>
          <w:tcPr>
            <w:tcW w:w="1215" w:type="dxa"/>
            <w:gridSpan w:val="2"/>
          </w:tcPr>
          <w:p w14:paraId="7FFECC8F" w14:textId="1ABA3AAF" w:rsidR="00E973CF" w:rsidRDefault="00E973CF">
            <w:r>
              <w:t>0</w:t>
            </w:r>
          </w:p>
        </w:tc>
        <w:tc>
          <w:tcPr>
            <w:tcW w:w="5785" w:type="dxa"/>
          </w:tcPr>
          <w:p w14:paraId="6CFA9743" w14:textId="48E2C89F" w:rsidR="00E973CF" w:rsidRDefault="00E973CF">
            <w:r>
              <w:t xml:space="preserve">There is a lot of emphasis on the benefits of biodiversity for humans, but there are also many risks related to the use of biodiversity that have not been addressed (such as zoonotic diseases). </w:t>
            </w:r>
          </w:p>
        </w:tc>
      </w:tr>
      <w:tr w:rsidR="00D451AA" w14:paraId="453AEEFA" w14:textId="77777777">
        <w:trPr>
          <w:trHeight w:val="224"/>
        </w:trPr>
        <w:tc>
          <w:tcPr>
            <w:tcW w:w="817" w:type="dxa"/>
          </w:tcPr>
          <w:p w14:paraId="7CFE3A30" w14:textId="77777777" w:rsidR="00D451AA" w:rsidRDefault="00276D9B">
            <w:r>
              <w:t>1</w:t>
            </w:r>
          </w:p>
        </w:tc>
        <w:tc>
          <w:tcPr>
            <w:tcW w:w="815" w:type="dxa"/>
          </w:tcPr>
          <w:p w14:paraId="400B2B83" w14:textId="77777777" w:rsidR="00D451AA" w:rsidRDefault="00276D9B">
            <w:r>
              <w:t>3</w:t>
            </w:r>
          </w:p>
        </w:tc>
        <w:tc>
          <w:tcPr>
            <w:tcW w:w="974" w:type="dxa"/>
          </w:tcPr>
          <w:p w14:paraId="079125F9" w14:textId="77777777" w:rsidR="00D451AA" w:rsidRDefault="00276D9B">
            <w:r>
              <w:t>A</w:t>
            </w:r>
          </w:p>
        </w:tc>
        <w:tc>
          <w:tcPr>
            <w:tcW w:w="1215" w:type="dxa"/>
            <w:gridSpan w:val="2"/>
          </w:tcPr>
          <w:p w14:paraId="666A6BB7" w14:textId="77777777" w:rsidR="00D451AA" w:rsidRDefault="00276D9B">
            <w:r>
              <w:t>34</w:t>
            </w:r>
          </w:p>
        </w:tc>
        <w:tc>
          <w:tcPr>
            <w:tcW w:w="5785" w:type="dxa"/>
          </w:tcPr>
          <w:p w14:paraId="1BB33668" w14:textId="77777777" w:rsidR="00D451AA" w:rsidRDefault="00276D9B">
            <w:r>
              <w:t xml:space="preserve">When referring to ‘health of species,’ as written in A4, health must be defined. Animal health includes mental and physical well-being of individuals, defined by the access to food, decreased or absence of threats from human-wildlife conflict, etc. Animal health also includes population well-being, defined by ecosystem health, geographic range, etc. </w:t>
            </w:r>
          </w:p>
        </w:tc>
      </w:tr>
      <w:tr w:rsidR="00D451AA" w14:paraId="7531D6DE" w14:textId="77777777">
        <w:trPr>
          <w:trHeight w:val="224"/>
        </w:trPr>
        <w:tc>
          <w:tcPr>
            <w:tcW w:w="817" w:type="dxa"/>
          </w:tcPr>
          <w:p w14:paraId="00EEB355" w14:textId="77777777" w:rsidR="00D451AA" w:rsidRDefault="00276D9B">
            <w:r>
              <w:t>1</w:t>
            </w:r>
          </w:p>
        </w:tc>
        <w:tc>
          <w:tcPr>
            <w:tcW w:w="815" w:type="dxa"/>
          </w:tcPr>
          <w:p w14:paraId="6062746E" w14:textId="77777777" w:rsidR="00D451AA" w:rsidRDefault="00276D9B">
            <w:r>
              <w:t>4</w:t>
            </w:r>
          </w:p>
        </w:tc>
        <w:tc>
          <w:tcPr>
            <w:tcW w:w="974" w:type="dxa"/>
          </w:tcPr>
          <w:p w14:paraId="3C1994C7" w14:textId="77777777" w:rsidR="00D451AA" w:rsidRDefault="00276D9B">
            <w:r>
              <w:t>A</w:t>
            </w:r>
          </w:p>
        </w:tc>
        <w:tc>
          <w:tcPr>
            <w:tcW w:w="1215" w:type="dxa"/>
            <w:gridSpan w:val="2"/>
          </w:tcPr>
          <w:p w14:paraId="3C6D5C0D" w14:textId="77777777" w:rsidR="00D451AA" w:rsidRDefault="00276D9B">
            <w:r>
              <w:t>42</w:t>
            </w:r>
          </w:p>
        </w:tc>
        <w:tc>
          <w:tcPr>
            <w:tcW w:w="5785" w:type="dxa"/>
          </w:tcPr>
          <w:p w14:paraId="4A713CAF" w14:textId="77777777" w:rsidR="00D451AA" w:rsidRDefault="00276D9B">
            <w:r>
              <w:t xml:space="preserve">The definition of ‘critical ecosystems’ is required. This definition can change depending on what criteria is used. It is important not to define this solely based on human </w:t>
            </w:r>
            <w:r>
              <w:lastRenderedPageBreak/>
              <w:t>need. Intrinsic value of nature, and the value of ecosystems to other species, must also be considered.</w:t>
            </w:r>
          </w:p>
        </w:tc>
      </w:tr>
      <w:tr w:rsidR="00D451AA" w14:paraId="5E0C67FD" w14:textId="77777777">
        <w:trPr>
          <w:trHeight w:val="224"/>
        </w:trPr>
        <w:tc>
          <w:tcPr>
            <w:tcW w:w="817" w:type="dxa"/>
          </w:tcPr>
          <w:p w14:paraId="140D05ED" w14:textId="77777777" w:rsidR="00D451AA" w:rsidRDefault="00276D9B">
            <w:r>
              <w:lastRenderedPageBreak/>
              <w:t>1</w:t>
            </w:r>
          </w:p>
        </w:tc>
        <w:tc>
          <w:tcPr>
            <w:tcW w:w="815" w:type="dxa"/>
          </w:tcPr>
          <w:p w14:paraId="52A91190" w14:textId="77777777" w:rsidR="00D451AA" w:rsidRDefault="00276D9B">
            <w:r>
              <w:t>4</w:t>
            </w:r>
          </w:p>
        </w:tc>
        <w:tc>
          <w:tcPr>
            <w:tcW w:w="974" w:type="dxa"/>
          </w:tcPr>
          <w:p w14:paraId="3B13B18E" w14:textId="77777777" w:rsidR="00D451AA" w:rsidRDefault="00276D9B">
            <w:r>
              <w:t>B</w:t>
            </w:r>
          </w:p>
        </w:tc>
        <w:tc>
          <w:tcPr>
            <w:tcW w:w="1215" w:type="dxa"/>
            <w:gridSpan w:val="2"/>
          </w:tcPr>
          <w:p w14:paraId="7D8F722B" w14:textId="77777777" w:rsidR="00D451AA" w:rsidRDefault="00276D9B">
            <w:r>
              <w:t>46-48</w:t>
            </w:r>
          </w:p>
        </w:tc>
        <w:tc>
          <w:tcPr>
            <w:tcW w:w="5785" w:type="dxa"/>
          </w:tcPr>
          <w:p w14:paraId="031BD6CF" w14:textId="77777777" w:rsidR="00D451AA" w:rsidRDefault="00276D9B">
            <w:r>
              <w:t xml:space="preserve">The phrase ‘of particular importance’ may, as the previous comment pointed out, change depending on how an area is defined as particularly important. It is important to remember that all ecosystems and biodiversity have a role, therefore, they are all necessary to ensure a fully functioning planet. The precautionary principle is also urged. </w:t>
            </w:r>
          </w:p>
        </w:tc>
      </w:tr>
      <w:tr w:rsidR="00D451AA" w14:paraId="36575739" w14:textId="77777777">
        <w:trPr>
          <w:trHeight w:val="224"/>
        </w:trPr>
        <w:tc>
          <w:tcPr>
            <w:tcW w:w="817" w:type="dxa"/>
          </w:tcPr>
          <w:p w14:paraId="1CFE35DF" w14:textId="77777777" w:rsidR="00D451AA" w:rsidRDefault="00276D9B">
            <w:r>
              <w:t>1</w:t>
            </w:r>
          </w:p>
        </w:tc>
        <w:tc>
          <w:tcPr>
            <w:tcW w:w="815" w:type="dxa"/>
          </w:tcPr>
          <w:p w14:paraId="5F657823" w14:textId="77777777" w:rsidR="00D451AA" w:rsidRDefault="00276D9B">
            <w:r>
              <w:t>5</w:t>
            </w:r>
          </w:p>
        </w:tc>
        <w:tc>
          <w:tcPr>
            <w:tcW w:w="974" w:type="dxa"/>
          </w:tcPr>
          <w:p w14:paraId="52BEC588" w14:textId="77777777" w:rsidR="00D451AA" w:rsidRDefault="00276D9B">
            <w:r>
              <w:t>B</w:t>
            </w:r>
          </w:p>
        </w:tc>
        <w:tc>
          <w:tcPr>
            <w:tcW w:w="1215" w:type="dxa"/>
            <w:gridSpan w:val="2"/>
          </w:tcPr>
          <w:p w14:paraId="7BACE50B" w14:textId="77777777" w:rsidR="00D451AA" w:rsidRDefault="00276D9B">
            <w:r>
              <w:t>51</w:t>
            </w:r>
          </w:p>
        </w:tc>
        <w:tc>
          <w:tcPr>
            <w:tcW w:w="5785" w:type="dxa"/>
          </w:tcPr>
          <w:p w14:paraId="32DBD3C1" w14:textId="77777777" w:rsidR="00D451AA" w:rsidRDefault="00276D9B">
            <w:r>
              <w:t xml:space="preserve">Add restoration: ‘Trends in habitat creation, </w:t>
            </w:r>
            <w:r>
              <w:rPr>
                <w:i/>
              </w:rPr>
              <w:t>restoration</w:t>
            </w:r>
            <w:r>
              <w:t>, and maintenance’</w:t>
            </w:r>
          </w:p>
        </w:tc>
      </w:tr>
      <w:tr w:rsidR="00D451AA" w14:paraId="20253F49" w14:textId="77777777">
        <w:trPr>
          <w:trHeight w:val="224"/>
        </w:trPr>
        <w:tc>
          <w:tcPr>
            <w:tcW w:w="817" w:type="dxa"/>
          </w:tcPr>
          <w:p w14:paraId="4FBA03D1" w14:textId="77777777" w:rsidR="00D451AA" w:rsidRDefault="00276D9B">
            <w:r>
              <w:t>1</w:t>
            </w:r>
          </w:p>
        </w:tc>
        <w:tc>
          <w:tcPr>
            <w:tcW w:w="815" w:type="dxa"/>
          </w:tcPr>
          <w:p w14:paraId="2E314829" w14:textId="77777777" w:rsidR="00D451AA" w:rsidRDefault="00276D9B">
            <w:r>
              <w:t>5</w:t>
            </w:r>
          </w:p>
        </w:tc>
        <w:tc>
          <w:tcPr>
            <w:tcW w:w="974" w:type="dxa"/>
          </w:tcPr>
          <w:p w14:paraId="33AA2191" w14:textId="77777777" w:rsidR="00D451AA" w:rsidRDefault="00276D9B">
            <w:r>
              <w:t>C</w:t>
            </w:r>
          </w:p>
        </w:tc>
        <w:tc>
          <w:tcPr>
            <w:tcW w:w="1215" w:type="dxa"/>
            <w:gridSpan w:val="2"/>
          </w:tcPr>
          <w:p w14:paraId="20D674E5" w14:textId="77777777" w:rsidR="00D451AA" w:rsidRDefault="00276D9B">
            <w:r>
              <w:t>51</w:t>
            </w:r>
          </w:p>
        </w:tc>
        <w:tc>
          <w:tcPr>
            <w:tcW w:w="5785" w:type="dxa"/>
          </w:tcPr>
          <w:p w14:paraId="5E4F3807" w14:textId="77777777" w:rsidR="00D451AA" w:rsidRDefault="00276D9B">
            <w:r>
              <w:t>Forests under sustainable management should not be the priority. Sustainable management should be implemented when necessary, but the priority should be restoring and maintaining forests with minimal, or no, use. This would apply more to the goal component: ‘regulating contributions to climate change.’</w:t>
            </w:r>
          </w:p>
        </w:tc>
      </w:tr>
      <w:tr w:rsidR="00D451AA" w14:paraId="5808C1AB" w14:textId="77777777">
        <w:trPr>
          <w:trHeight w:val="224"/>
        </w:trPr>
        <w:tc>
          <w:tcPr>
            <w:tcW w:w="817" w:type="dxa"/>
          </w:tcPr>
          <w:p w14:paraId="4FF985B9" w14:textId="77777777" w:rsidR="00D451AA" w:rsidRDefault="00276D9B">
            <w:r>
              <w:t>1</w:t>
            </w:r>
          </w:p>
        </w:tc>
        <w:tc>
          <w:tcPr>
            <w:tcW w:w="815" w:type="dxa"/>
          </w:tcPr>
          <w:p w14:paraId="328BD882" w14:textId="77777777" w:rsidR="00D451AA" w:rsidRDefault="00276D9B">
            <w:r>
              <w:t>5</w:t>
            </w:r>
          </w:p>
        </w:tc>
        <w:tc>
          <w:tcPr>
            <w:tcW w:w="974" w:type="dxa"/>
          </w:tcPr>
          <w:p w14:paraId="39FDC5F3" w14:textId="77777777" w:rsidR="00D451AA" w:rsidRDefault="00276D9B">
            <w:r>
              <w:t>B</w:t>
            </w:r>
          </w:p>
        </w:tc>
        <w:tc>
          <w:tcPr>
            <w:tcW w:w="1215" w:type="dxa"/>
            <w:gridSpan w:val="2"/>
          </w:tcPr>
          <w:p w14:paraId="579FC322" w14:textId="77777777" w:rsidR="00D451AA" w:rsidRDefault="00276D9B">
            <w:r>
              <w:t>60</w:t>
            </w:r>
          </w:p>
        </w:tc>
        <w:tc>
          <w:tcPr>
            <w:tcW w:w="5785" w:type="dxa"/>
          </w:tcPr>
          <w:p w14:paraId="270DD09C" w14:textId="77777777" w:rsidR="00D451AA" w:rsidRDefault="00276D9B">
            <w:bookmarkStart w:id="2" w:name="_1fob9te" w:colFirst="0" w:colLast="0"/>
            <w:bookmarkEnd w:id="2"/>
            <w:r>
              <w:t xml:space="preserve">Add coastal habitats: ‘Trends in regulation of coastal water quality </w:t>
            </w:r>
            <w:r>
              <w:rPr>
                <w:i/>
              </w:rPr>
              <w:t>and habitats’</w:t>
            </w:r>
            <w:r>
              <w:t xml:space="preserve"> to emphasize the need for fully functioning coastal ecosystems in prevention methods </w:t>
            </w:r>
            <w:hyperlink r:id="rId10">
              <w:r>
                <w:rPr>
                  <w:color w:val="0000FF"/>
                  <w:u w:val="single"/>
                </w:rPr>
                <w:t>against natural disasters</w:t>
              </w:r>
            </w:hyperlink>
            <w:r>
              <w:t>.</w:t>
            </w:r>
          </w:p>
        </w:tc>
      </w:tr>
      <w:tr w:rsidR="00D451AA" w14:paraId="47BA8CAF" w14:textId="77777777">
        <w:trPr>
          <w:trHeight w:val="224"/>
        </w:trPr>
        <w:tc>
          <w:tcPr>
            <w:tcW w:w="817" w:type="dxa"/>
          </w:tcPr>
          <w:p w14:paraId="62FAA485" w14:textId="77777777" w:rsidR="00D451AA" w:rsidRDefault="00276D9B">
            <w:r>
              <w:t>1</w:t>
            </w:r>
          </w:p>
        </w:tc>
        <w:tc>
          <w:tcPr>
            <w:tcW w:w="815" w:type="dxa"/>
          </w:tcPr>
          <w:p w14:paraId="448675A2" w14:textId="77777777" w:rsidR="00D451AA" w:rsidRDefault="00276D9B">
            <w:r>
              <w:t>6</w:t>
            </w:r>
          </w:p>
        </w:tc>
        <w:tc>
          <w:tcPr>
            <w:tcW w:w="974" w:type="dxa"/>
          </w:tcPr>
          <w:p w14:paraId="755B903B" w14:textId="77777777" w:rsidR="00D451AA" w:rsidRDefault="00276D9B">
            <w:r>
              <w:t>B</w:t>
            </w:r>
          </w:p>
        </w:tc>
        <w:tc>
          <w:tcPr>
            <w:tcW w:w="1215" w:type="dxa"/>
            <w:gridSpan w:val="2"/>
          </w:tcPr>
          <w:p w14:paraId="54B9131B" w14:textId="77777777" w:rsidR="00D451AA" w:rsidRDefault="00276D9B">
            <w:r>
              <w:t>63</w:t>
            </w:r>
          </w:p>
        </w:tc>
        <w:tc>
          <w:tcPr>
            <w:tcW w:w="5785" w:type="dxa"/>
          </w:tcPr>
          <w:p w14:paraId="5B1ECD65" w14:textId="77777777" w:rsidR="00D451AA" w:rsidRDefault="00276D9B">
            <w:r>
              <w:t>What and who defines ‘detrimental organisms and biological processes’? And how will these be regulated?</w:t>
            </w:r>
          </w:p>
        </w:tc>
      </w:tr>
      <w:tr w:rsidR="00D451AA" w14:paraId="2C3AF241" w14:textId="77777777">
        <w:trPr>
          <w:trHeight w:val="224"/>
        </w:trPr>
        <w:tc>
          <w:tcPr>
            <w:tcW w:w="817" w:type="dxa"/>
          </w:tcPr>
          <w:p w14:paraId="5AB3EC1D" w14:textId="77777777" w:rsidR="00D451AA" w:rsidRDefault="00276D9B">
            <w:r>
              <w:t>1</w:t>
            </w:r>
          </w:p>
        </w:tc>
        <w:tc>
          <w:tcPr>
            <w:tcW w:w="815" w:type="dxa"/>
          </w:tcPr>
          <w:p w14:paraId="43760CDF" w14:textId="77777777" w:rsidR="00D451AA" w:rsidRDefault="00276D9B">
            <w:r>
              <w:t>6</w:t>
            </w:r>
          </w:p>
        </w:tc>
        <w:tc>
          <w:tcPr>
            <w:tcW w:w="974" w:type="dxa"/>
          </w:tcPr>
          <w:p w14:paraId="22D895EA" w14:textId="77777777" w:rsidR="00D451AA" w:rsidRDefault="00276D9B">
            <w:r>
              <w:t>A</w:t>
            </w:r>
          </w:p>
        </w:tc>
        <w:tc>
          <w:tcPr>
            <w:tcW w:w="1215" w:type="dxa"/>
            <w:gridSpan w:val="2"/>
          </w:tcPr>
          <w:p w14:paraId="69FBEFBF" w14:textId="77777777" w:rsidR="00D451AA" w:rsidRDefault="00276D9B">
            <w:r>
              <w:t>64</w:t>
            </w:r>
          </w:p>
        </w:tc>
        <w:tc>
          <w:tcPr>
            <w:tcW w:w="5785" w:type="dxa"/>
          </w:tcPr>
          <w:p w14:paraId="01296601" w14:textId="77777777" w:rsidR="00D451AA" w:rsidRDefault="00276D9B">
            <w:r>
              <w:t>Measuring biodiversity based on ‘material contributions,’ and using the indicators provided that emphasize ecosystem services rather than the value in protecting biodiversity, will likely lead to adverse, if unintentional, consequences. Advocating for the use of biodiversity may continue the current trend in biodiversity loss.</w:t>
            </w:r>
          </w:p>
        </w:tc>
      </w:tr>
      <w:tr w:rsidR="00D451AA" w14:paraId="3000FCF4" w14:textId="77777777">
        <w:trPr>
          <w:trHeight w:val="224"/>
        </w:trPr>
        <w:tc>
          <w:tcPr>
            <w:tcW w:w="817" w:type="dxa"/>
          </w:tcPr>
          <w:p w14:paraId="6C6C82CD" w14:textId="77777777" w:rsidR="00D451AA" w:rsidRDefault="00276D9B">
            <w:r>
              <w:t>1</w:t>
            </w:r>
          </w:p>
        </w:tc>
        <w:tc>
          <w:tcPr>
            <w:tcW w:w="815" w:type="dxa"/>
          </w:tcPr>
          <w:p w14:paraId="19E2D9FD" w14:textId="77777777" w:rsidR="00D451AA" w:rsidRDefault="00276D9B">
            <w:r>
              <w:t>6</w:t>
            </w:r>
          </w:p>
        </w:tc>
        <w:tc>
          <w:tcPr>
            <w:tcW w:w="974" w:type="dxa"/>
          </w:tcPr>
          <w:p w14:paraId="2ED1832C" w14:textId="77777777" w:rsidR="00D451AA" w:rsidRDefault="00276D9B">
            <w:r>
              <w:t>A</w:t>
            </w:r>
          </w:p>
        </w:tc>
        <w:tc>
          <w:tcPr>
            <w:tcW w:w="1215" w:type="dxa"/>
            <w:gridSpan w:val="2"/>
          </w:tcPr>
          <w:p w14:paraId="36A1F4AB" w14:textId="77777777" w:rsidR="00D451AA" w:rsidRDefault="00276D9B">
            <w:r>
              <w:t>68</w:t>
            </w:r>
          </w:p>
        </w:tc>
        <w:bookmarkStart w:id="3" w:name="_3znysh7" w:colFirst="0" w:colLast="0"/>
        <w:bookmarkEnd w:id="3"/>
        <w:tc>
          <w:tcPr>
            <w:tcW w:w="5785" w:type="dxa"/>
          </w:tcPr>
          <w:p w14:paraId="7E341B1C" w14:textId="77777777" w:rsidR="00D451AA" w:rsidRDefault="00276D9B">
            <w:r>
              <w:fldChar w:fldCharType="begin"/>
            </w:r>
            <w:r>
              <w:instrText xml:space="preserve"> HYPERLINK "https://www.tandfonline.com/doi/abs/10.1080/11745398.2019.1655459" \h </w:instrText>
            </w:r>
            <w:r>
              <w:fldChar w:fldCharType="separate"/>
            </w:r>
            <w:r>
              <w:rPr>
                <w:color w:val="0000FF"/>
                <w:u w:val="single"/>
              </w:rPr>
              <w:t>Mental health</w:t>
            </w:r>
            <w:r>
              <w:rPr>
                <w:color w:val="0000FF"/>
                <w:u w:val="single"/>
              </w:rPr>
              <w:fldChar w:fldCharType="end"/>
            </w:r>
            <w:r>
              <w:t xml:space="preserve"> is another indicator of nature’s ‘non-material contributions.’</w:t>
            </w:r>
          </w:p>
        </w:tc>
      </w:tr>
      <w:tr w:rsidR="00D451AA" w14:paraId="74CCABB9" w14:textId="77777777">
        <w:trPr>
          <w:trHeight w:val="224"/>
        </w:trPr>
        <w:tc>
          <w:tcPr>
            <w:tcW w:w="817" w:type="dxa"/>
          </w:tcPr>
          <w:p w14:paraId="30F4F92E" w14:textId="77777777" w:rsidR="00D451AA" w:rsidRDefault="00276D9B">
            <w:r>
              <w:t>1</w:t>
            </w:r>
          </w:p>
        </w:tc>
        <w:tc>
          <w:tcPr>
            <w:tcW w:w="815" w:type="dxa"/>
          </w:tcPr>
          <w:p w14:paraId="410819B3" w14:textId="77777777" w:rsidR="00D451AA" w:rsidRDefault="00276D9B">
            <w:r>
              <w:t>6</w:t>
            </w:r>
          </w:p>
        </w:tc>
        <w:tc>
          <w:tcPr>
            <w:tcW w:w="974" w:type="dxa"/>
          </w:tcPr>
          <w:p w14:paraId="6ECEC682" w14:textId="77777777" w:rsidR="00D451AA" w:rsidRDefault="00276D9B">
            <w:r>
              <w:t>A</w:t>
            </w:r>
          </w:p>
        </w:tc>
        <w:tc>
          <w:tcPr>
            <w:tcW w:w="1215" w:type="dxa"/>
            <w:gridSpan w:val="2"/>
          </w:tcPr>
          <w:p w14:paraId="0DA26B4E" w14:textId="77777777" w:rsidR="00D451AA" w:rsidRDefault="00276D9B">
            <w:r>
              <w:t>77</w:t>
            </w:r>
          </w:p>
        </w:tc>
        <w:tc>
          <w:tcPr>
            <w:tcW w:w="5785" w:type="dxa"/>
          </w:tcPr>
          <w:p w14:paraId="2AFB4F67" w14:textId="77777777" w:rsidR="00D451AA" w:rsidRDefault="00276D9B">
            <w:r>
              <w:t>The ‘Availability of sufficient financial resources’ (D1) and its indicators must also consider the financial resources invested in practices harmful to reaching targets and goals and to biodiversity. Even if more financial resources are utilized for protecting biodiversity, the continued investment into practices that go against biodiversity can negate this trend.</w:t>
            </w:r>
          </w:p>
          <w:p w14:paraId="0621E183" w14:textId="77777777" w:rsidR="00D451AA" w:rsidRDefault="00D451AA"/>
          <w:p w14:paraId="5CD50FD1" w14:textId="77777777" w:rsidR="00D451AA" w:rsidRDefault="00276D9B">
            <w:r>
              <w:t xml:space="preserve">We also suggest considering adding a component on elimination of financial flows detrimental to biodiversity (i.e. subsidies for intensive agricultural development which contribute to land use change). </w:t>
            </w:r>
          </w:p>
        </w:tc>
      </w:tr>
      <w:tr w:rsidR="00D451AA" w14:paraId="3794CBAE" w14:textId="77777777">
        <w:trPr>
          <w:trHeight w:val="224"/>
        </w:trPr>
        <w:tc>
          <w:tcPr>
            <w:tcW w:w="817" w:type="dxa"/>
          </w:tcPr>
          <w:p w14:paraId="6AE4E080" w14:textId="77777777" w:rsidR="00D451AA" w:rsidRDefault="00276D9B">
            <w:r>
              <w:t>1</w:t>
            </w:r>
          </w:p>
        </w:tc>
        <w:tc>
          <w:tcPr>
            <w:tcW w:w="815" w:type="dxa"/>
          </w:tcPr>
          <w:p w14:paraId="698577EC" w14:textId="77777777" w:rsidR="00D451AA" w:rsidRDefault="00276D9B">
            <w:r>
              <w:t>7</w:t>
            </w:r>
          </w:p>
        </w:tc>
        <w:tc>
          <w:tcPr>
            <w:tcW w:w="974" w:type="dxa"/>
          </w:tcPr>
          <w:p w14:paraId="40568874" w14:textId="77777777" w:rsidR="00D451AA" w:rsidRDefault="00276D9B">
            <w:r>
              <w:t>A</w:t>
            </w:r>
          </w:p>
        </w:tc>
        <w:tc>
          <w:tcPr>
            <w:tcW w:w="1215" w:type="dxa"/>
            <w:gridSpan w:val="2"/>
          </w:tcPr>
          <w:p w14:paraId="52BD9D4F" w14:textId="77777777" w:rsidR="00D451AA" w:rsidRDefault="00276D9B">
            <w:r>
              <w:t>81</w:t>
            </w:r>
          </w:p>
        </w:tc>
        <w:tc>
          <w:tcPr>
            <w:tcW w:w="5785" w:type="dxa"/>
          </w:tcPr>
          <w:p w14:paraId="4F48D15D" w14:textId="77777777" w:rsidR="00D451AA" w:rsidRDefault="00276D9B">
            <w:r>
              <w:t xml:space="preserve">Capacity building must define the need to empower women and girls, local and/or marginalized communities, and indigenous peoples. </w:t>
            </w:r>
          </w:p>
        </w:tc>
      </w:tr>
      <w:tr w:rsidR="00D451AA" w14:paraId="68A1C945" w14:textId="77777777">
        <w:trPr>
          <w:trHeight w:val="224"/>
        </w:trPr>
        <w:tc>
          <w:tcPr>
            <w:tcW w:w="817" w:type="dxa"/>
          </w:tcPr>
          <w:p w14:paraId="6256A574" w14:textId="77777777" w:rsidR="00D451AA" w:rsidRDefault="00276D9B">
            <w:r>
              <w:t>2</w:t>
            </w:r>
          </w:p>
        </w:tc>
        <w:tc>
          <w:tcPr>
            <w:tcW w:w="815" w:type="dxa"/>
          </w:tcPr>
          <w:p w14:paraId="31164BC7" w14:textId="77777777" w:rsidR="00D451AA" w:rsidRDefault="00276D9B">
            <w:r>
              <w:t>8</w:t>
            </w:r>
          </w:p>
        </w:tc>
        <w:tc>
          <w:tcPr>
            <w:tcW w:w="974" w:type="dxa"/>
          </w:tcPr>
          <w:p w14:paraId="3F65D5B4" w14:textId="77777777" w:rsidR="00D451AA" w:rsidRDefault="00276D9B">
            <w:r>
              <w:t>A</w:t>
            </w:r>
          </w:p>
        </w:tc>
        <w:tc>
          <w:tcPr>
            <w:tcW w:w="1215" w:type="dxa"/>
            <w:gridSpan w:val="2"/>
          </w:tcPr>
          <w:p w14:paraId="40C42E03" w14:textId="77777777" w:rsidR="00D451AA" w:rsidRDefault="00276D9B">
            <w:r>
              <w:t>6</w:t>
            </w:r>
          </w:p>
        </w:tc>
        <w:tc>
          <w:tcPr>
            <w:tcW w:w="5785" w:type="dxa"/>
          </w:tcPr>
          <w:p w14:paraId="4125F7D7" w14:textId="77777777" w:rsidR="00D451AA" w:rsidRDefault="00276D9B">
            <w:r>
              <w:t xml:space="preserve">Rather than only the ‘Prevention of reduction and fragmentation of natural habitats due to land/sea use </w:t>
            </w:r>
            <w:r>
              <w:lastRenderedPageBreak/>
              <w:t xml:space="preserve">change,’ also the active restoration and conservation of previously fragmented habitats. </w:t>
            </w:r>
          </w:p>
        </w:tc>
      </w:tr>
      <w:tr w:rsidR="00D451AA" w14:paraId="0B2F2E13" w14:textId="77777777">
        <w:trPr>
          <w:trHeight w:val="224"/>
        </w:trPr>
        <w:tc>
          <w:tcPr>
            <w:tcW w:w="817" w:type="dxa"/>
          </w:tcPr>
          <w:p w14:paraId="21B357ED" w14:textId="77777777" w:rsidR="00D451AA" w:rsidRDefault="00276D9B">
            <w:r>
              <w:lastRenderedPageBreak/>
              <w:t>2</w:t>
            </w:r>
          </w:p>
        </w:tc>
        <w:tc>
          <w:tcPr>
            <w:tcW w:w="815" w:type="dxa"/>
          </w:tcPr>
          <w:p w14:paraId="7840DC3C" w14:textId="77777777" w:rsidR="00D451AA" w:rsidRDefault="00276D9B">
            <w:r>
              <w:t>9</w:t>
            </w:r>
          </w:p>
        </w:tc>
        <w:tc>
          <w:tcPr>
            <w:tcW w:w="974" w:type="dxa"/>
          </w:tcPr>
          <w:p w14:paraId="6B4DF264" w14:textId="77777777" w:rsidR="00D451AA" w:rsidRDefault="00276D9B">
            <w:r>
              <w:t>B</w:t>
            </w:r>
          </w:p>
        </w:tc>
        <w:tc>
          <w:tcPr>
            <w:tcW w:w="1215" w:type="dxa"/>
            <w:gridSpan w:val="2"/>
          </w:tcPr>
          <w:p w14:paraId="2858C544" w14:textId="77777777" w:rsidR="00D451AA" w:rsidRDefault="00276D9B">
            <w:r>
              <w:t>21</w:t>
            </w:r>
          </w:p>
        </w:tc>
        <w:tc>
          <w:tcPr>
            <w:tcW w:w="5785" w:type="dxa"/>
          </w:tcPr>
          <w:p w14:paraId="70947A92" w14:textId="77777777" w:rsidR="00D451AA" w:rsidRDefault="00276D9B">
            <w:r>
              <w:t>Agriculture lands and forest should be separated here. Although the indicators are separated, these two areas are different and, therefore, should not be combined.</w:t>
            </w:r>
          </w:p>
        </w:tc>
      </w:tr>
      <w:tr w:rsidR="00D451AA" w14:paraId="087C2476" w14:textId="77777777">
        <w:trPr>
          <w:trHeight w:val="224"/>
        </w:trPr>
        <w:tc>
          <w:tcPr>
            <w:tcW w:w="817" w:type="dxa"/>
          </w:tcPr>
          <w:p w14:paraId="2C074C45" w14:textId="77777777" w:rsidR="00D451AA" w:rsidRDefault="00276D9B">
            <w:r>
              <w:t>2</w:t>
            </w:r>
          </w:p>
        </w:tc>
        <w:tc>
          <w:tcPr>
            <w:tcW w:w="815" w:type="dxa"/>
          </w:tcPr>
          <w:p w14:paraId="2F05C3D7" w14:textId="77777777" w:rsidR="00D451AA" w:rsidRDefault="00276D9B">
            <w:r>
              <w:t>10</w:t>
            </w:r>
          </w:p>
        </w:tc>
        <w:tc>
          <w:tcPr>
            <w:tcW w:w="974" w:type="dxa"/>
          </w:tcPr>
          <w:p w14:paraId="0B36E19B" w14:textId="77777777" w:rsidR="00D451AA" w:rsidRDefault="00276D9B">
            <w:r>
              <w:t>B</w:t>
            </w:r>
          </w:p>
        </w:tc>
        <w:tc>
          <w:tcPr>
            <w:tcW w:w="1215" w:type="dxa"/>
            <w:gridSpan w:val="2"/>
          </w:tcPr>
          <w:p w14:paraId="5379AA42" w14:textId="77777777" w:rsidR="00D451AA" w:rsidRDefault="00276D9B">
            <w:r>
              <w:t>35</w:t>
            </w:r>
          </w:p>
        </w:tc>
        <w:tc>
          <w:tcPr>
            <w:tcW w:w="5785" w:type="dxa"/>
          </w:tcPr>
          <w:p w14:paraId="7D859398" w14:textId="77777777" w:rsidR="00D451AA" w:rsidRDefault="00276D9B">
            <w:r>
              <w:t>‘Protected areas’ needs to be defined. There are different levels of protection, so the coverage of all protected areas does not accurately demonstrate ongoing trends.</w:t>
            </w:r>
          </w:p>
        </w:tc>
      </w:tr>
      <w:tr w:rsidR="00D451AA" w14:paraId="32CC0210" w14:textId="77777777">
        <w:trPr>
          <w:trHeight w:val="224"/>
        </w:trPr>
        <w:tc>
          <w:tcPr>
            <w:tcW w:w="817" w:type="dxa"/>
          </w:tcPr>
          <w:p w14:paraId="1D8F6842" w14:textId="77777777" w:rsidR="00D451AA" w:rsidRDefault="00276D9B">
            <w:r>
              <w:t>2</w:t>
            </w:r>
          </w:p>
        </w:tc>
        <w:tc>
          <w:tcPr>
            <w:tcW w:w="815" w:type="dxa"/>
          </w:tcPr>
          <w:p w14:paraId="219F77F5" w14:textId="77777777" w:rsidR="00D451AA" w:rsidRDefault="00276D9B">
            <w:r>
              <w:t>12</w:t>
            </w:r>
          </w:p>
        </w:tc>
        <w:tc>
          <w:tcPr>
            <w:tcW w:w="974" w:type="dxa"/>
          </w:tcPr>
          <w:p w14:paraId="7DC9AC85" w14:textId="77777777" w:rsidR="00D451AA" w:rsidRDefault="00276D9B">
            <w:r>
              <w:t>B</w:t>
            </w:r>
          </w:p>
        </w:tc>
        <w:tc>
          <w:tcPr>
            <w:tcW w:w="1215" w:type="dxa"/>
            <w:gridSpan w:val="2"/>
          </w:tcPr>
          <w:p w14:paraId="3CEC6533" w14:textId="77777777" w:rsidR="00D451AA" w:rsidRDefault="00276D9B">
            <w:r>
              <w:t>55</w:t>
            </w:r>
          </w:p>
        </w:tc>
        <w:tc>
          <w:tcPr>
            <w:tcW w:w="5785" w:type="dxa"/>
          </w:tcPr>
          <w:p w14:paraId="53F32B2B" w14:textId="77777777" w:rsidR="00D451AA" w:rsidRDefault="00276D9B">
            <w:r>
              <w:t>Along with ‘Trends in human-wildlife conflicts,’ the management of these conflicts must be considered. Some management programs advocate the removal or killing of animals (often predators) to minimize conflict, but this goes against protection of biodiversity. This should then measure trends in human-wildlife conflicts within a framework that protects and encourages biodiversity in culturally appropriate contexts.</w:t>
            </w:r>
          </w:p>
        </w:tc>
      </w:tr>
      <w:tr w:rsidR="00D451AA" w14:paraId="1A18FE2B" w14:textId="77777777">
        <w:trPr>
          <w:trHeight w:val="224"/>
        </w:trPr>
        <w:tc>
          <w:tcPr>
            <w:tcW w:w="817" w:type="dxa"/>
          </w:tcPr>
          <w:p w14:paraId="5777F9CD" w14:textId="77777777" w:rsidR="00D451AA" w:rsidRDefault="00276D9B">
            <w:r>
              <w:t>2</w:t>
            </w:r>
          </w:p>
        </w:tc>
        <w:tc>
          <w:tcPr>
            <w:tcW w:w="815" w:type="dxa"/>
          </w:tcPr>
          <w:p w14:paraId="30B70D15" w14:textId="77777777" w:rsidR="00D451AA" w:rsidRDefault="00276D9B">
            <w:r>
              <w:t>12-13</w:t>
            </w:r>
          </w:p>
        </w:tc>
        <w:tc>
          <w:tcPr>
            <w:tcW w:w="974" w:type="dxa"/>
          </w:tcPr>
          <w:p w14:paraId="797DAFC6" w14:textId="77777777" w:rsidR="00D451AA" w:rsidRDefault="00276D9B">
            <w:r>
              <w:t>B</w:t>
            </w:r>
          </w:p>
        </w:tc>
        <w:tc>
          <w:tcPr>
            <w:tcW w:w="1215" w:type="dxa"/>
            <w:gridSpan w:val="2"/>
          </w:tcPr>
          <w:p w14:paraId="65CD3444" w14:textId="77777777" w:rsidR="00D451AA" w:rsidRDefault="00276D9B">
            <w:r>
              <w:t>56</w:t>
            </w:r>
          </w:p>
        </w:tc>
        <w:tc>
          <w:tcPr>
            <w:tcW w:w="5785" w:type="dxa"/>
          </w:tcPr>
          <w:p w14:paraId="0C5AFFEE" w14:textId="77777777" w:rsidR="00D451AA" w:rsidRDefault="00276D9B">
            <w:r>
              <w:t xml:space="preserve">The target component, ‘Harvest is legal, sustainable and safe for human health and biodiversity,’ needs to define safe. Safe only for humans (if so, must consider zoonotic diseases), or safe methods that do not cause damage to ecosystems? Further, the existence of “legal” as a target component is strange. For example, this could be met simply by legalizing all trade in wildlife. Instead, legality of trade should be contingent on real and measurable factors and only seen as legitimate if it is determined by a conservation and ethical framework. </w:t>
            </w:r>
          </w:p>
        </w:tc>
      </w:tr>
      <w:tr w:rsidR="00D451AA" w14:paraId="7BBD19B5" w14:textId="77777777">
        <w:trPr>
          <w:trHeight w:val="224"/>
        </w:trPr>
        <w:tc>
          <w:tcPr>
            <w:tcW w:w="817" w:type="dxa"/>
          </w:tcPr>
          <w:p w14:paraId="4BDB6DA5" w14:textId="77777777" w:rsidR="00D451AA" w:rsidRDefault="00276D9B">
            <w:r>
              <w:t>2</w:t>
            </w:r>
          </w:p>
        </w:tc>
        <w:tc>
          <w:tcPr>
            <w:tcW w:w="815" w:type="dxa"/>
          </w:tcPr>
          <w:p w14:paraId="3C0A2B5B" w14:textId="77777777" w:rsidR="00D451AA" w:rsidRDefault="00276D9B">
            <w:r>
              <w:t>12-13</w:t>
            </w:r>
          </w:p>
        </w:tc>
        <w:tc>
          <w:tcPr>
            <w:tcW w:w="974" w:type="dxa"/>
          </w:tcPr>
          <w:p w14:paraId="6D2E28C8" w14:textId="77777777" w:rsidR="00D451AA" w:rsidRDefault="00276D9B">
            <w:r>
              <w:t>A</w:t>
            </w:r>
          </w:p>
        </w:tc>
        <w:tc>
          <w:tcPr>
            <w:tcW w:w="1215" w:type="dxa"/>
            <w:gridSpan w:val="2"/>
          </w:tcPr>
          <w:p w14:paraId="1EDF81FC" w14:textId="77777777" w:rsidR="00D451AA" w:rsidRDefault="00276D9B">
            <w:r>
              <w:t>56-65</w:t>
            </w:r>
          </w:p>
        </w:tc>
        <w:tc>
          <w:tcPr>
            <w:tcW w:w="5785" w:type="dxa"/>
          </w:tcPr>
          <w:p w14:paraId="7F8A67CD" w14:textId="77777777" w:rsidR="00D451AA" w:rsidRDefault="00276D9B">
            <w:r>
              <w:t xml:space="preserve">Legal harvest does not equate to sustainable harvest. </w:t>
            </w:r>
          </w:p>
        </w:tc>
      </w:tr>
      <w:tr w:rsidR="00D451AA" w14:paraId="78CE9CC7" w14:textId="77777777">
        <w:trPr>
          <w:trHeight w:val="224"/>
        </w:trPr>
        <w:tc>
          <w:tcPr>
            <w:tcW w:w="817" w:type="dxa"/>
          </w:tcPr>
          <w:p w14:paraId="209026DF" w14:textId="77777777" w:rsidR="00D451AA" w:rsidRDefault="00276D9B">
            <w:r>
              <w:t>2</w:t>
            </w:r>
          </w:p>
        </w:tc>
        <w:tc>
          <w:tcPr>
            <w:tcW w:w="815" w:type="dxa"/>
          </w:tcPr>
          <w:p w14:paraId="55300510" w14:textId="77777777" w:rsidR="00D451AA" w:rsidRDefault="00276D9B">
            <w:r>
              <w:t>12-13</w:t>
            </w:r>
          </w:p>
        </w:tc>
        <w:tc>
          <w:tcPr>
            <w:tcW w:w="974" w:type="dxa"/>
          </w:tcPr>
          <w:p w14:paraId="2E3F1EAA" w14:textId="77777777" w:rsidR="00D451AA" w:rsidRDefault="00276D9B">
            <w:r>
              <w:t>C</w:t>
            </w:r>
          </w:p>
        </w:tc>
        <w:tc>
          <w:tcPr>
            <w:tcW w:w="1215" w:type="dxa"/>
            <w:gridSpan w:val="2"/>
          </w:tcPr>
          <w:p w14:paraId="46883028" w14:textId="77777777" w:rsidR="00D451AA" w:rsidRDefault="00276D9B">
            <w:r>
              <w:t>56 &amp; 61</w:t>
            </w:r>
          </w:p>
        </w:tc>
        <w:tc>
          <w:tcPr>
            <w:tcW w:w="5785" w:type="dxa"/>
          </w:tcPr>
          <w:p w14:paraId="71AC448C" w14:textId="77777777" w:rsidR="00D451AA" w:rsidRDefault="00276D9B">
            <w:r>
              <w:t>‘Proportion of traded wildlife that was poached or illicitly trafficked’ is mentioned twice, but legality is not the only concern regarding the wildlife trade. The commercial wildlife trade must also be accounted for, and trends for this should be evaluated. The legal trade of wildlife includes trophy hunting, the pet and luxury goods trades and other practices that harm individual animals as well as wild populations.</w:t>
            </w:r>
          </w:p>
        </w:tc>
      </w:tr>
      <w:tr w:rsidR="00D451AA" w14:paraId="18D1F558" w14:textId="77777777">
        <w:trPr>
          <w:trHeight w:val="224"/>
        </w:trPr>
        <w:tc>
          <w:tcPr>
            <w:tcW w:w="817" w:type="dxa"/>
          </w:tcPr>
          <w:p w14:paraId="29616A1E" w14:textId="77777777" w:rsidR="00D451AA" w:rsidRDefault="00276D9B">
            <w:r>
              <w:t>2</w:t>
            </w:r>
          </w:p>
        </w:tc>
        <w:tc>
          <w:tcPr>
            <w:tcW w:w="815" w:type="dxa"/>
          </w:tcPr>
          <w:p w14:paraId="1930C310" w14:textId="77777777" w:rsidR="00D451AA" w:rsidRDefault="00276D9B">
            <w:r>
              <w:t>13</w:t>
            </w:r>
          </w:p>
        </w:tc>
        <w:tc>
          <w:tcPr>
            <w:tcW w:w="974" w:type="dxa"/>
          </w:tcPr>
          <w:p w14:paraId="7EB7FF32" w14:textId="77777777" w:rsidR="00D451AA" w:rsidRDefault="00276D9B">
            <w:r>
              <w:t>B</w:t>
            </w:r>
          </w:p>
        </w:tc>
        <w:tc>
          <w:tcPr>
            <w:tcW w:w="1215" w:type="dxa"/>
            <w:gridSpan w:val="2"/>
          </w:tcPr>
          <w:p w14:paraId="73C61ED1" w14:textId="77777777" w:rsidR="00D451AA" w:rsidRDefault="00276D9B">
            <w:r>
              <w:t>58 &amp; 65</w:t>
            </w:r>
          </w:p>
        </w:tc>
        <w:tc>
          <w:tcPr>
            <w:tcW w:w="5785" w:type="dxa"/>
          </w:tcPr>
          <w:p w14:paraId="1299294C" w14:textId="77777777" w:rsidR="00D451AA" w:rsidRDefault="00276D9B">
            <w:r>
              <w:t>‘Trends in proportion of biological resources used within the established limits’ is mentioned twice. Remaining in limits is difficult to do when data is not updated, and the act of staying within limits does not equate to a sustainable practice.</w:t>
            </w:r>
          </w:p>
        </w:tc>
      </w:tr>
      <w:tr w:rsidR="00D451AA" w14:paraId="6F48F87E" w14:textId="77777777">
        <w:trPr>
          <w:trHeight w:val="224"/>
        </w:trPr>
        <w:tc>
          <w:tcPr>
            <w:tcW w:w="817" w:type="dxa"/>
          </w:tcPr>
          <w:p w14:paraId="49BDF54E" w14:textId="77777777" w:rsidR="00D451AA" w:rsidRDefault="00276D9B">
            <w:r>
              <w:t>2</w:t>
            </w:r>
          </w:p>
        </w:tc>
        <w:tc>
          <w:tcPr>
            <w:tcW w:w="815" w:type="dxa"/>
          </w:tcPr>
          <w:p w14:paraId="17787DFE" w14:textId="77777777" w:rsidR="00D451AA" w:rsidRDefault="00276D9B">
            <w:r>
              <w:t>14-15</w:t>
            </w:r>
          </w:p>
        </w:tc>
        <w:tc>
          <w:tcPr>
            <w:tcW w:w="974" w:type="dxa"/>
          </w:tcPr>
          <w:p w14:paraId="048625C9" w14:textId="77777777" w:rsidR="00D451AA" w:rsidRDefault="00276D9B">
            <w:r>
              <w:t>A</w:t>
            </w:r>
          </w:p>
        </w:tc>
        <w:tc>
          <w:tcPr>
            <w:tcW w:w="1215" w:type="dxa"/>
            <w:gridSpan w:val="2"/>
          </w:tcPr>
          <w:p w14:paraId="29643F73" w14:textId="77777777" w:rsidR="00D451AA" w:rsidRDefault="00276D9B">
            <w:r>
              <w:t>67-80</w:t>
            </w:r>
          </w:p>
        </w:tc>
        <w:tc>
          <w:tcPr>
            <w:tcW w:w="5785" w:type="dxa"/>
          </w:tcPr>
          <w:p w14:paraId="05E2F7CC" w14:textId="77777777" w:rsidR="00D451AA" w:rsidRDefault="00276D9B">
            <w:r>
              <w:t xml:space="preserve">Any wildlife management practices, including invasive species, must account for animal sentience and individual well-being, as animal welfare science and the study of animal cognition and sentience are scientific fields which should not be treated in separate silos. An ethical framework is needed which balances harm, to humans, nature, </w:t>
            </w:r>
            <w:proofErr w:type="gramStart"/>
            <w:r>
              <w:t>biodiversity</w:t>
            </w:r>
            <w:proofErr w:type="gramEnd"/>
            <w:r>
              <w:t xml:space="preserve"> and animals.  </w:t>
            </w:r>
            <w:hyperlink r:id="rId11">
              <w:r>
                <w:rPr>
                  <w:color w:val="0000FF"/>
                  <w:u w:val="single"/>
                </w:rPr>
                <w:t xml:space="preserve">Compassionate </w:t>
              </w:r>
              <w:r>
                <w:rPr>
                  <w:color w:val="0000FF"/>
                  <w:u w:val="single"/>
                </w:rPr>
                <w:lastRenderedPageBreak/>
                <w:t>conservation</w:t>
              </w:r>
            </w:hyperlink>
            <w:r>
              <w:t xml:space="preserve"> is a framework many scientists have adopted to address this issue.</w:t>
            </w:r>
          </w:p>
        </w:tc>
      </w:tr>
      <w:tr w:rsidR="00D451AA" w14:paraId="2D6968BC" w14:textId="77777777">
        <w:trPr>
          <w:trHeight w:val="224"/>
        </w:trPr>
        <w:tc>
          <w:tcPr>
            <w:tcW w:w="817" w:type="dxa"/>
          </w:tcPr>
          <w:p w14:paraId="5D71DA21" w14:textId="77777777" w:rsidR="00D451AA" w:rsidRDefault="00276D9B">
            <w:r>
              <w:lastRenderedPageBreak/>
              <w:t>2</w:t>
            </w:r>
          </w:p>
        </w:tc>
        <w:tc>
          <w:tcPr>
            <w:tcW w:w="815" w:type="dxa"/>
          </w:tcPr>
          <w:p w14:paraId="73CA149A" w14:textId="77777777" w:rsidR="00D451AA" w:rsidRDefault="00276D9B">
            <w:r>
              <w:t>16</w:t>
            </w:r>
          </w:p>
        </w:tc>
        <w:tc>
          <w:tcPr>
            <w:tcW w:w="974" w:type="dxa"/>
          </w:tcPr>
          <w:p w14:paraId="2A855860" w14:textId="77777777" w:rsidR="00D451AA" w:rsidRDefault="00276D9B">
            <w:r>
              <w:t>A</w:t>
            </w:r>
          </w:p>
        </w:tc>
        <w:tc>
          <w:tcPr>
            <w:tcW w:w="1215" w:type="dxa"/>
            <w:gridSpan w:val="2"/>
          </w:tcPr>
          <w:p w14:paraId="589C1B3D" w14:textId="77777777" w:rsidR="00D451AA" w:rsidRDefault="00276D9B">
            <w:r>
              <w:t>89-90</w:t>
            </w:r>
          </w:p>
        </w:tc>
        <w:tc>
          <w:tcPr>
            <w:tcW w:w="5785" w:type="dxa"/>
          </w:tcPr>
          <w:p w14:paraId="77CDCE1F" w14:textId="77777777" w:rsidR="00D451AA" w:rsidRDefault="00276D9B">
            <w:r>
              <w:t>Plastic pollution is being evaluated in water bodies, but this also affects land, land quality, and terrestrial mammals. These need to have indicators, also.</w:t>
            </w:r>
          </w:p>
        </w:tc>
      </w:tr>
      <w:tr w:rsidR="00D451AA" w14:paraId="5E666329" w14:textId="77777777">
        <w:trPr>
          <w:trHeight w:val="224"/>
        </w:trPr>
        <w:tc>
          <w:tcPr>
            <w:tcW w:w="817" w:type="dxa"/>
          </w:tcPr>
          <w:p w14:paraId="3FE3B64F" w14:textId="77777777" w:rsidR="00D451AA" w:rsidRDefault="00276D9B">
            <w:r>
              <w:t>2</w:t>
            </w:r>
          </w:p>
        </w:tc>
        <w:tc>
          <w:tcPr>
            <w:tcW w:w="815" w:type="dxa"/>
          </w:tcPr>
          <w:p w14:paraId="1DD5CF84" w14:textId="77777777" w:rsidR="00D451AA" w:rsidRDefault="00276D9B">
            <w:r>
              <w:t>17</w:t>
            </w:r>
          </w:p>
        </w:tc>
        <w:tc>
          <w:tcPr>
            <w:tcW w:w="974" w:type="dxa"/>
          </w:tcPr>
          <w:p w14:paraId="2E86B420" w14:textId="77777777" w:rsidR="00D451AA" w:rsidRDefault="00276D9B">
            <w:r>
              <w:t>C</w:t>
            </w:r>
          </w:p>
        </w:tc>
        <w:tc>
          <w:tcPr>
            <w:tcW w:w="1215" w:type="dxa"/>
            <w:gridSpan w:val="2"/>
          </w:tcPr>
          <w:p w14:paraId="00B8F9CF" w14:textId="77777777" w:rsidR="00D451AA" w:rsidRDefault="00276D9B">
            <w:r>
              <w:t>104</w:t>
            </w:r>
          </w:p>
        </w:tc>
        <w:tc>
          <w:tcPr>
            <w:tcW w:w="5785" w:type="dxa"/>
          </w:tcPr>
          <w:p w14:paraId="535426EE" w14:textId="77777777" w:rsidR="00D451AA" w:rsidRDefault="00276D9B">
            <w:r>
              <w:t>There needs to be a distinction between small fisheries and industrial fisheries. Small fisheries part of local communities should be evaluated differently than fisheries with fleets. Industrial fisheries need to be managed and regulated more carefully since they can deplete fish populations quicker and more efficiently.</w:t>
            </w:r>
          </w:p>
        </w:tc>
      </w:tr>
      <w:tr w:rsidR="00D451AA" w14:paraId="170B8135" w14:textId="77777777">
        <w:trPr>
          <w:trHeight w:val="224"/>
        </w:trPr>
        <w:tc>
          <w:tcPr>
            <w:tcW w:w="817" w:type="dxa"/>
          </w:tcPr>
          <w:p w14:paraId="18F6F403" w14:textId="77777777" w:rsidR="00D451AA" w:rsidRDefault="00276D9B">
            <w:r>
              <w:t>2</w:t>
            </w:r>
          </w:p>
        </w:tc>
        <w:tc>
          <w:tcPr>
            <w:tcW w:w="815" w:type="dxa"/>
          </w:tcPr>
          <w:p w14:paraId="54FBE1F1" w14:textId="77777777" w:rsidR="00D451AA" w:rsidRDefault="00276D9B">
            <w:r>
              <w:t>17-18</w:t>
            </w:r>
          </w:p>
        </w:tc>
        <w:tc>
          <w:tcPr>
            <w:tcW w:w="974" w:type="dxa"/>
          </w:tcPr>
          <w:p w14:paraId="5E17C5FF" w14:textId="77777777" w:rsidR="00D451AA" w:rsidRDefault="00276D9B">
            <w:r>
              <w:t>C</w:t>
            </w:r>
          </w:p>
        </w:tc>
        <w:tc>
          <w:tcPr>
            <w:tcW w:w="1215" w:type="dxa"/>
            <w:gridSpan w:val="2"/>
          </w:tcPr>
          <w:p w14:paraId="5113B39C" w14:textId="77777777" w:rsidR="00D451AA" w:rsidRDefault="00276D9B">
            <w:r>
              <w:t>105-109</w:t>
            </w:r>
          </w:p>
        </w:tc>
        <w:tc>
          <w:tcPr>
            <w:tcW w:w="5785" w:type="dxa"/>
          </w:tcPr>
          <w:p w14:paraId="7BDE37B1" w14:textId="77777777" w:rsidR="00D451AA" w:rsidRDefault="00276D9B">
            <w:r>
              <w:t>There is no mention of the methods of fishing that are damaging to fish populations such as bottom trawling, dynamite fishing, longlining, etc. These are harmful for oceans and marine species and need to be prevented.</w:t>
            </w:r>
          </w:p>
        </w:tc>
      </w:tr>
      <w:tr w:rsidR="00D451AA" w14:paraId="3543C023" w14:textId="77777777">
        <w:trPr>
          <w:trHeight w:val="224"/>
        </w:trPr>
        <w:tc>
          <w:tcPr>
            <w:tcW w:w="817" w:type="dxa"/>
          </w:tcPr>
          <w:p w14:paraId="2F688421" w14:textId="77777777" w:rsidR="00D451AA" w:rsidRDefault="00276D9B">
            <w:r>
              <w:t>2</w:t>
            </w:r>
          </w:p>
        </w:tc>
        <w:tc>
          <w:tcPr>
            <w:tcW w:w="815" w:type="dxa"/>
          </w:tcPr>
          <w:p w14:paraId="57A1B077" w14:textId="77777777" w:rsidR="00D451AA" w:rsidRDefault="00276D9B">
            <w:r>
              <w:t>19</w:t>
            </w:r>
          </w:p>
        </w:tc>
        <w:tc>
          <w:tcPr>
            <w:tcW w:w="974" w:type="dxa"/>
          </w:tcPr>
          <w:p w14:paraId="70FBB432" w14:textId="77777777" w:rsidR="00D451AA" w:rsidRDefault="00276D9B">
            <w:r>
              <w:t>B</w:t>
            </w:r>
          </w:p>
        </w:tc>
        <w:tc>
          <w:tcPr>
            <w:tcW w:w="1215" w:type="dxa"/>
            <w:gridSpan w:val="2"/>
          </w:tcPr>
          <w:p w14:paraId="033CE2BF" w14:textId="77777777" w:rsidR="00D451AA" w:rsidRDefault="00276D9B">
            <w:r>
              <w:t>114</w:t>
            </w:r>
          </w:p>
        </w:tc>
        <w:tc>
          <w:tcPr>
            <w:tcW w:w="5785" w:type="dxa"/>
          </w:tcPr>
          <w:p w14:paraId="51D3612C" w14:textId="77777777" w:rsidR="00D451AA" w:rsidRDefault="00276D9B">
            <w:r>
              <w:t xml:space="preserve">Only focusing on ‘Trends in terrestrial wild species of fauna used for food and medicine’ negates the intrinsic value of animals and species. Even the sustainable management of these poses risks to biodiversity and does not account for the many other functions wild species have as part of the ecosystem. </w:t>
            </w:r>
          </w:p>
        </w:tc>
      </w:tr>
      <w:tr w:rsidR="00D451AA" w14:paraId="75E6273D" w14:textId="77777777">
        <w:trPr>
          <w:trHeight w:val="224"/>
        </w:trPr>
        <w:tc>
          <w:tcPr>
            <w:tcW w:w="817" w:type="dxa"/>
          </w:tcPr>
          <w:p w14:paraId="032EBF75" w14:textId="77777777" w:rsidR="00D451AA" w:rsidRDefault="00276D9B">
            <w:r>
              <w:t>2</w:t>
            </w:r>
          </w:p>
        </w:tc>
        <w:tc>
          <w:tcPr>
            <w:tcW w:w="815" w:type="dxa"/>
          </w:tcPr>
          <w:p w14:paraId="33739C95" w14:textId="77777777" w:rsidR="00D451AA" w:rsidRDefault="00276D9B">
            <w:r>
              <w:t>20</w:t>
            </w:r>
          </w:p>
        </w:tc>
        <w:tc>
          <w:tcPr>
            <w:tcW w:w="974" w:type="dxa"/>
          </w:tcPr>
          <w:p w14:paraId="754AD8FE" w14:textId="77777777" w:rsidR="00D451AA" w:rsidRDefault="00276D9B">
            <w:r>
              <w:t>C</w:t>
            </w:r>
          </w:p>
        </w:tc>
        <w:tc>
          <w:tcPr>
            <w:tcW w:w="1215" w:type="dxa"/>
            <w:gridSpan w:val="2"/>
          </w:tcPr>
          <w:p w14:paraId="53738973" w14:textId="77777777" w:rsidR="00D451AA" w:rsidRDefault="00276D9B">
            <w:r>
              <w:t>118-119</w:t>
            </w:r>
          </w:p>
        </w:tc>
        <w:tc>
          <w:tcPr>
            <w:tcW w:w="5785" w:type="dxa"/>
          </w:tcPr>
          <w:p w14:paraId="126CE050" w14:textId="77777777" w:rsidR="00D451AA" w:rsidRDefault="00276D9B">
            <w:r>
              <w:t xml:space="preserve">‘Proportion of agricultural area under productive and sustainable agriculture’ and ‘Areas of agricultural land under conservation agriculture’ should consider regenerative agriculture and </w:t>
            </w:r>
            <w:proofErr w:type="spellStart"/>
            <w:r>
              <w:t>agro</w:t>
            </w:r>
            <w:proofErr w:type="spellEnd"/>
            <w:r>
              <w:t>-ecological solutions.</w:t>
            </w:r>
          </w:p>
        </w:tc>
      </w:tr>
      <w:tr w:rsidR="00D451AA" w14:paraId="609D0C0A" w14:textId="77777777">
        <w:trPr>
          <w:trHeight w:val="224"/>
        </w:trPr>
        <w:tc>
          <w:tcPr>
            <w:tcW w:w="817" w:type="dxa"/>
          </w:tcPr>
          <w:p w14:paraId="197C489F" w14:textId="77777777" w:rsidR="00D451AA" w:rsidRDefault="00276D9B">
            <w:r>
              <w:t>2</w:t>
            </w:r>
          </w:p>
        </w:tc>
        <w:tc>
          <w:tcPr>
            <w:tcW w:w="815" w:type="dxa"/>
          </w:tcPr>
          <w:p w14:paraId="4FFAC02C" w14:textId="77777777" w:rsidR="00D451AA" w:rsidRDefault="00276D9B">
            <w:r>
              <w:t>22</w:t>
            </w:r>
          </w:p>
        </w:tc>
        <w:tc>
          <w:tcPr>
            <w:tcW w:w="974" w:type="dxa"/>
          </w:tcPr>
          <w:p w14:paraId="61AB2B9A" w14:textId="77777777" w:rsidR="00D451AA" w:rsidRDefault="00276D9B">
            <w:r>
              <w:t>B</w:t>
            </w:r>
          </w:p>
        </w:tc>
        <w:tc>
          <w:tcPr>
            <w:tcW w:w="1215" w:type="dxa"/>
            <w:gridSpan w:val="2"/>
          </w:tcPr>
          <w:p w14:paraId="7EB4A80E" w14:textId="77777777" w:rsidR="00D451AA" w:rsidRDefault="00276D9B">
            <w:r>
              <w:t>133-139</w:t>
            </w:r>
          </w:p>
        </w:tc>
        <w:tc>
          <w:tcPr>
            <w:tcW w:w="5785" w:type="dxa"/>
          </w:tcPr>
          <w:p w14:paraId="73A01D9D" w14:textId="77777777" w:rsidR="00D451AA" w:rsidRDefault="00276D9B">
            <w:r>
              <w:t>Human benefits cannot be the only thing emphasized when discussing biodiversity. Risks, as well, such as zoonotic diseases need to be considered. Also, the benefits of fully functioning ecosystems.</w:t>
            </w:r>
          </w:p>
        </w:tc>
      </w:tr>
      <w:tr w:rsidR="00D451AA" w14:paraId="1FE86876" w14:textId="77777777">
        <w:trPr>
          <w:trHeight w:val="224"/>
        </w:trPr>
        <w:tc>
          <w:tcPr>
            <w:tcW w:w="817" w:type="dxa"/>
          </w:tcPr>
          <w:p w14:paraId="03E3CD27" w14:textId="77777777" w:rsidR="00D451AA" w:rsidRDefault="00276D9B">
            <w:r>
              <w:t>2</w:t>
            </w:r>
          </w:p>
        </w:tc>
        <w:tc>
          <w:tcPr>
            <w:tcW w:w="815" w:type="dxa"/>
          </w:tcPr>
          <w:p w14:paraId="55420BC3" w14:textId="77777777" w:rsidR="00D451AA" w:rsidRDefault="00276D9B">
            <w:r>
              <w:t>24-25</w:t>
            </w:r>
          </w:p>
        </w:tc>
        <w:tc>
          <w:tcPr>
            <w:tcW w:w="974" w:type="dxa"/>
          </w:tcPr>
          <w:p w14:paraId="61CA1353" w14:textId="77777777" w:rsidR="00D451AA" w:rsidRDefault="00276D9B">
            <w:r>
              <w:t>C</w:t>
            </w:r>
          </w:p>
        </w:tc>
        <w:tc>
          <w:tcPr>
            <w:tcW w:w="1215" w:type="dxa"/>
            <w:gridSpan w:val="2"/>
          </w:tcPr>
          <w:p w14:paraId="20544F0A" w14:textId="77777777" w:rsidR="00D451AA" w:rsidRDefault="00276D9B">
            <w:r>
              <w:t>150</w:t>
            </w:r>
          </w:p>
        </w:tc>
        <w:tc>
          <w:tcPr>
            <w:tcW w:w="5785" w:type="dxa"/>
          </w:tcPr>
          <w:p w14:paraId="5D68FE16" w14:textId="77777777" w:rsidR="00D451AA" w:rsidRDefault="00276D9B">
            <w:r>
              <w:t xml:space="preserve">Add indigenous knowledge: ‘traditional and indigenous knowledge’ </w:t>
            </w:r>
          </w:p>
        </w:tc>
      </w:tr>
      <w:tr w:rsidR="00D451AA" w14:paraId="4025D919" w14:textId="77777777">
        <w:trPr>
          <w:trHeight w:val="224"/>
        </w:trPr>
        <w:tc>
          <w:tcPr>
            <w:tcW w:w="817" w:type="dxa"/>
          </w:tcPr>
          <w:p w14:paraId="31FC41DF" w14:textId="77777777" w:rsidR="00D451AA" w:rsidRDefault="00276D9B">
            <w:r>
              <w:t>2</w:t>
            </w:r>
          </w:p>
        </w:tc>
        <w:tc>
          <w:tcPr>
            <w:tcW w:w="815" w:type="dxa"/>
          </w:tcPr>
          <w:p w14:paraId="3577DB09" w14:textId="77777777" w:rsidR="00D451AA" w:rsidRDefault="00276D9B">
            <w:r>
              <w:t>29</w:t>
            </w:r>
          </w:p>
        </w:tc>
        <w:tc>
          <w:tcPr>
            <w:tcW w:w="974" w:type="dxa"/>
          </w:tcPr>
          <w:p w14:paraId="521AA5A3" w14:textId="77777777" w:rsidR="00D451AA" w:rsidRDefault="00276D9B">
            <w:r>
              <w:t>B</w:t>
            </w:r>
          </w:p>
        </w:tc>
        <w:tc>
          <w:tcPr>
            <w:tcW w:w="1215" w:type="dxa"/>
            <w:gridSpan w:val="2"/>
          </w:tcPr>
          <w:p w14:paraId="63512EFC" w14:textId="77777777" w:rsidR="00D451AA" w:rsidRDefault="00276D9B">
            <w:r>
              <w:t>175</w:t>
            </w:r>
          </w:p>
        </w:tc>
        <w:tc>
          <w:tcPr>
            <w:tcW w:w="5785" w:type="dxa"/>
          </w:tcPr>
          <w:p w14:paraId="3C847268" w14:textId="77777777" w:rsidR="00D451AA" w:rsidRDefault="00276D9B">
            <w:r>
              <w:t xml:space="preserve">Circular economy needs emphasis and needs indicators. </w:t>
            </w:r>
          </w:p>
        </w:tc>
      </w:tr>
      <w:tr w:rsidR="00D451AA" w14:paraId="166037C5" w14:textId="77777777">
        <w:trPr>
          <w:trHeight w:val="224"/>
        </w:trPr>
        <w:tc>
          <w:tcPr>
            <w:tcW w:w="817" w:type="dxa"/>
          </w:tcPr>
          <w:p w14:paraId="07065B58" w14:textId="77777777" w:rsidR="00D451AA" w:rsidRDefault="00276D9B">
            <w:r>
              <w:t>2</w:t>
            </w:r>
          </w:p>
        </w:tc>
        <w:tc>
          <w:tcPr>
            <w:tcW w:w="815" w:type="dxa"/>
          </w:tcPr>
          <w:p w14:paraId="19EAE87B" w14:textId="77777777" w:rsidR="00D451AA" w:rsidRDefault="00276D9B">
            <w:r>
              <w:t>29</w:t>
            </w:r>
          </w:p>
        </w:tc>
        <w:tc>
          <w:tcPr>
            <w:tcW w:w="974" w:type="dxa"/>
          </w:tcPr>
          <w:p w14:paraId="63E58249" w14:textId="77777777" w:rsidR="00D451AA" w:rsidRDefault="00276D9B">
            <w:r>
              <w:t>B</w:t>
            </w:r>
          </w:p>
        </w:tc>
        <w:tc>
          <w:tcPr>
            <w:tcW w:w="1215" w:type="dxa"/>
            <w:gridSpan w:val="2"/>
          </w:tcPr>
          <w:p w14:paraId="76C40EEC" w14:textId="77777777" w:rsidR="00D451AA" w:rsidRDefault="00276D9B">
            <w:r>
              <w:t>176</w:t>
            </w:r>
          </w:p>
        </w:tc>
        <w:tc>
          <w:tcPr>
            <w:tcW w:w="5785" w:type="dxa"/>
          </w:tcPr>
          <w:p w14:paraId="5A7D5CDC" w14:textId="77777777" w:rsidR="00D451AA" w:rsidRDefault="00276D9B">
            <w:r>
              <w:t>‘Trends in waste management’ should have an indicator for domestic animal waste.</w:t>
            </w:r>
          </w:p>
        </w:tc>
      </w:tr>
      <w:tr w:rsidR="00D451AA" w14:paraId="113D53E1" w14:textId="77777777">
        <w:trPr>
          <w:trHeight w:val="224"/>
        </w:trPr>
        <w:tc>
          <w:tcPr>
            <w:tcW w:w="817" w:type="dxa"/>
          </w:tcPr>
          <w:p w14:paraId="04483DDD" w14:textId="77777777" w:rsidR="00D451AA" w:rsidRDefault="00276D9B">
            <w:r>
              <w:t>2</w:t>
            </w:r>
          </w:p>
        </w:tc>
        <w:tc>
          <w:tcPr>
            <w:tcW w:w="815" w:type="dxa"/>
          </w:tcPr>
          <w:p w14:paraId="6279EAB9" w14:textId="77777777" w:rsidR="00D451AA" w:rsidRDefault="00276D9B">
            <w:r>
              <w:t>31 &amp; 37</w:t>
            </w:r>
          </w:p>
        </w:tc>
        <w:tc>
          <w:tcPr>
            <w:tcW w:w="974" w:type="dxa"/>
          </w:tcPr>
          <w:p w14:paraId="7A2EB82F" w14:textId="77777777" w:rsidR="00D451AA" w:rsidRDefault="00276D9B">
            <w:r>
              <w:t>C</w:t>
            </w:r>
          </w:p>
        </w:tc>
        <w:tc>
          <w:tcPr>
            <w:tcW w:w="1215" w:type="dxa"/>
            <w:gridSpan w:val="2"/>
          </w:tcPr>
          <w:p w14:paraId="6D5CE260" w14:textId="77777777" w:rsidR="00D451AA" w:rsidRDefault="00276D9B">
            <w:r>
              <w:t>192 &amp; 233</w:t>
            </w:r>
          </w:p>
        </w:tc>
        <w:tc>
          <w:tcPr>
            <w:tcW w:w="5785" w:type="dxa"/>
          </w:tcPr>
          <w:p w14:paraId="1F656E18" w14:textId="77777777" w:rsidR="00D451AA" w:rsidRDefault="00276D9B">
            <w:r>
              <w:t xml:space="preserve">Zoo and aquarium visitors are not representative of public knowledge of biodiversity and knowledge outside of these institutions should be noted. </w:t>
            </w:r>
          </w:p>
        </w:tc>
      </w:tr>
      <w:tr w:rsidR="00D451AA" w14:paraId="56FE93C8" w14:textId="77777777">
        <w:trPr>
          <w:trHeight w:val="224"/>
        </w:trPr>
        <w:tc>
          <w:tcPr>
            <w:tcW w:w="817" w:type="dxa"/>
          </w:tcPr>
          <w:p w14:paraId="78C7AB50" w14:textId="77777777" w:rsidR="00D451AA" w:rsidRDefault="00276D9B">
            <w:r>
              <w:t>2</w:t>
            </w:r>
          </w:p>
        </w:tc>
        <w:tc>
          <w:tcPr>
            <w:tcW w:w="815" w:type="dxa"/>
          </w:tcPr>
          <w:p w14:paraId="1F040E55" w14:textId="77777777" w:rsidR="00D451AA" w:rsidRDefault="00276D9B">
            <w:r>
              <w:t>36</w:t>
            </w:r>
          </w:p>
        </w:tc>
        <w:tc>
          <w:tcPr>
            <w:tcW w:w="974" w:type="dxa"/>
          </w:tcPr>
          <w:p w14:paraId="79A68680" w14:textId="77777777" w:rsidR="00D451AA" w:rsidRDefault="00276D9B">
            <w:r>
              <w:t>A</w:t>
            </w:r>
          </w:p>
        </w:tc>
        <w:tc>
          <w:tcPr>
            <w:tcW w:w="1215" w:type="dxa"/>
            <w:gridSpan w:val="2"/>
          </w:tcPr>
          <w:p w14:paraId="0482E27A" w14:textId="77777777" w:rsidR="00D451AA" w:rsidRDefault="00276D9B">
            <w:r>
              <w:t>222</w:t>
            </w:r>
          </w:p>
        </w:tc>
        <w:tc>
          <w:tcPr>
            <w:tcW w:w="5785" w:type="dxa"/>
          </w:tcPr>
          <w:p w14:paraId="2C370D1B" w14:textId="77777777" w:rsidR="00D451AA" w:rsidRDefault="00276D9B">
            <w:r>
              <w:t>Capacity building should have different indicators for different communities i.e. indigenous, women and girls, etc.</w:t>
            </w:r>
          </w:p>
        </w:tc>
      </w:tr>
      <w:tr w:rsidR="00D451AA" w14:paraId="09149010" w14:textId="77777777">
        <w:trPr>
          <w:trHeight w:val="224"/>
        </w:trPr>
        <w:tc>
          <w:tcPr>
            <w:tcW w:w="817" w:type="dxa"/>
          </w:tcPr>
          <w:p w14:paraId="7F784ABA" w14:textId="77777777" w:rsidR="00D451AA" w:rsidRDefault="00276D9B">
            <w:r>
              <w:t>2</w:t>
            </w:r>
          </w:p>
        </w:tc>
        <w:tc>
          <w:tcPr>
            <w:tcW w:w="815" w:type="dxa"/>
          </w:tcPr>
          <w:p w14:paraId="44D7B110" w14:textId="77777777" w:rsidR="00D451AA" w:rsidRDefault="00276D9B">
            <w:r>
              <w:t>38</w:t>
            </w:r>
          </w:p>
        </w:tc>
        <w:tc>
          <w:tcPr>
            <w:tcW w:w="974" w:type="dxa"/>
          </w:tcPr>
          <w:p w14:paraId="21B09772" w14:textId="77777777" w:rsidR="00D451AA" w:rsidRDefault="00276D9B">
            <w:r>
              <w:t>A</w:t>
            </w:r>
          </w:p>
        </w:tc>
        <w:tc>
          <w:tcPr>
            <w:tcW w:w="1215" w:type="dxa"/>
            <w:gridSpan w:val="2"/>
          </w:tcPr>
          <w:p w14:paraId="0EAEA1B8" w14:textId="77777777" w:rsidR="00D451AA" w:rsidRDefault="00276D9B">
            <w:r>
              <w:t>236</w:t>
            </w:r>
          </w:p>
        </w:tc>
        <w:tc>
          <w:tcPr>
            <w:tcW w:w="5785" w:type="dxa"/>
          </w:tcPr>
          <w:p w14:paraId="5C7ED740" w14:textId="77777777" w:rsidR="00D451AA" w:rsidRDefault="00276D9B">
            <w:r>
              <w:t xml:space="preserve">Traditional knowledge should only be shared based on standards of sustainability and accessibility. </w:t>
            </w:r>
          </w:p>
        </w:tc>
      </w:tr>
    </w:tbl>
    <w:p w14:paraId="74E7792C" w14:textId="77777777" w:rsidR="00D451AA" w:rsidRDefault="00D451AA">
      <w:pPr>
        <w:pBdr>
          <w:top w:val="nil"/>
          <w:left w:val="nil"/>
          <w:bottom w:val="nil"/>
          <w:right w:val="nil"/>
          <w:between w:val="nil"/>
        </w:pBdr>
        <w:jc w:val="center"/>
        <w:rPr>
          <w:color w:val="000000"/>
          <w:sz w:val="22"/>
          <w:szCs w:val="22"/>
          <w:u w:val="single"/>
        </w:rPr>
      </w:pPr>
    </w:p>
    <w:p w14:paraId="6F207223" w14:textId="77777777" w:rsidR="00D451AA" w:rsidRDefault="00276D9B">
      <w:pPr>
        <w:jc w:val="both"/>
      </w:pPr>
      <w:r>
        <w:rPr>
          <w:i/>
          <w:sz w:val="22"/>
          <w:szCs w:val="22"/>
        </w:rPr>
        <w:t xml:space="preserve">Comments should be sent by e-mail to </w:t>
      </w:r>
      <w:hyperlink r:id="rId12">
        <w:r>
          <w:rPr>
            <w:i/>
            <w:color w:val="0000FF"/>
            <w:sz w:val="22"/>
            <w:szCs w:val="22"/>
            <w:u w:val="single"/>
          </w:rPr>
          <w:t>secretariat@cbd.int</w:t>
        </w:r>
      </w:hyperlink>
      <w:r>
        <w:rPr>
          <w:i/>
          <w:sz w:val="22"/>
          <w:szCs w:val="22"/>
        </w:rPr>
        <w:t xml:space="preserve"> </w:t>
      </w:r>
      <w:r>
        <w:rPr>
          <w:b/>
          <w:i/>
          <w:sz w:val="22"/>
          <w:szCs w:val="22"/>
        </w:rPr>
        <w:t>no later than 15 August 2020</w:t>
      </w:r>
      <w:r>
        <w:rPr>
          <w:i/>
          <w:sz w:val="22"/>
          <w:szCs w:val="22"/>
        </w:rPr>
        <w:t>.</w:t>
      </w:r>
    </w:p>
    <w:sectPr w:rsidR="00D451AA">
      <w:headerReference w:type="first" r:id="rId13"/>
      <w:pgSz w:w="12240" w:h="15840"/>
      <w:pgMar w:top="1134" w:right="1418" w:bottom="1134" w:left="1418" w:header="340"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3BADD" w14:textId="77777777" w:rsidR="004B06C3" w:rsidRDefault="004B06C3">
      <w:r>
        <w:separator/>
      </w:r>
    </w:p>
  </w:endnote>
  <w:endnote w:type="continuationSeparator" w:id="0">
    <w:p w14:paraId="61878945" w14:textId="77777777" w:rsidR="004B06C3" w:rsidRDefault="004B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67A84" w14:textId="77777777" w:rsidR="004B06C3" w:rsidRDefault="004B06C3">
      <w:r>
        <w:separator/>
      </w:r>
    </w:p>
  </w:footnote>
  <w:footnote w:type="continuationSeparator" w:id="0">
    <w:p w14:paraId="59F6FD86" w14:textId="77777777" w:rsidR="004B06C3" w:rsidRDefault="004B06C3">
      <w:r>
        <w:continuationSeparator/>
      </w:r>
    </w:p>
  </w:footnote>
  <w:footnote w:id="1">
    <w:p w14:paraId="47B7486A" w14:textId="77777777" w:rsidR="00D451AA" w:rsidRDefault="00276D9B">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1">
        <w:r>
          <w:rPr>
            <w:rFonts w:ascii="Calibri" w:eastAsia="Calibri" w:hAnsi="Calibri" w:cs="Calibri"/>
            <w:color w:val="0000FF"/>
            <w:sz w:val="20"/>
            <w:szCs w:val="20"/>
            <w:u w:val="single"/>
          </w:rPr>
          <w:t>CBD/WG2020/REC/2/1</w:t>
        </w:r>
      </w:hyperlink>
    </w:p>
  </w:footnote>
  <w:footnote w:id="2">
    <w:p w14:paraId="5D61E6D1" w14:textId="77777777" w:rsidR="00D451AA" w:rsidRDefault="00276D9B">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2">
        <w:r>
          <w:rPr>
            <w:rFonts w:ascii="Calibri" w:eastAsia="Calibri" w:hAnsi="Calibri" w:cs="Calibri"/>
            <w:color w:val="0000FF"/>
            <w:sz w:val="20"/>
            <w:szCs w:val="20"/>
            <w:u w:val="single"/>
          </w:rPr>
          <w:t>https://www.cbd.int/conferences/post2020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E602" w14:textId="77777777" w:rsidR="00D451AA" w:rsidRDefault="00D451AA">
    <w:pPr>
      <w:pBdr>
        <w:top w:val="nil"/>
        <w:left w:val="nil"/>
        <w:bottom w:val="nil"/>
        <w:right w:val="nil"/>
        <w:between w:val="nil"/>
      </w:pBdr>
      <w:tabs>
        <w:tab w:val="right" w:pos="10260"/>
      </w:tabs>
      <w:spacing w:line="480" w:lineRule="auto"/>
      <w:ind w:left="-1260" w:right="-856"/>
      <w:jc w:val="center"/>
      <w:rPr>
        <w:rFonts w:ascii="Arial" w:eastAsia="Arial" w:hAnsi="Arial" w:cs="Arial"/>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02B05"/>
    <w:multiLevelType w:val="multilevel"/>
    <w:tmpl w:val="3AD20696"/>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9863FE"/>
    <w:multiLevelType w:val="multilevel"/>
    <w:tmpl w:val="B03A4D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BD446B3"/>
    <w:multiLevelType w:val="multilevel"/>
    <w:tmpl w:val="EE0271E0"/>
    <w:lvl w:ilvl="0">
      <w:start w:val="1"/>
      <w:numFmt w:val="decimal"/>
      <w:lvlText w:val="%1."/>
      <w:lvlJc w:val="left"/>
      <w:pPr>
        <w:ind w:left="648" w:hanging="288"/>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AA"/>
    <w:rsid w:val="00276D9B"/>
    <w:rsid w:val="004B06C3"/>
    <w:rsid w:val="00D451AA"/>
    <w:rsid w:val="00E973CF"/>
    <w:rsid w:val="00EB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9007"/>
  <w15:docId w15:val="{122B78E7-F57E-4EA5-B0B3-EE1F1703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cbd.int" TargetMode="External"/><Relationship Id="rId12" Type="http://schemas.openxmlformats.org/officeDocument/2006/relationships/hyperlink" Target="mailto:secretariat@cbd.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s.edu.au/research-and-teaching/our-research/centre-compassionate-conservation/about-us/what-compassionate-conserv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f.panda.org/?291130/World-Wetlands-Day-Mangrove-Ecotourism-Protects-Vulnerable-Vietnam-Delta" TargetMode="External"/><Relationship Id="rId4" Type="http://schemas.openxmlformats.org/officeDocument/2006/relationships/webSettings" Target="webSettings.xml"/><Relationship Id="rId9" Type="http://schemas.openxmlformats.org/officeDocument/2006/relationships/hyperlink" Target="https://www.onewelfareworld.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2254</Words>
  <Characters>12854</Characters>
  <Application>Microsoft Office Word</Application>
  <DocSecurity>0</DocSecurity>
  <Lines>107</Lines>
  <Paragraphs>30</Paragraphs>
  <ScaleCrop>false</ScaleCrop>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Tania Roa</cp:lastModifiedBy>
  <cp:revision>3</cp:revision>
  <dcterms:created xsi:type="dcterms:W3CDTF">2020-08-15T00:42:00Z</dcterms:created>
  <dcterms:modified xsi:type="dcterms:W3CDTF">2020-08-15T00:52:00Z</dcterms:modified>
</cp:coreProperties>
</file>