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0C59F" w14:textId="6426C884" w:rsidR="00236608" w:rsidRPr="00293F53" w:rsidRDefault="00257A68" w:rsidP="00790F3D">
      <w:pPr>
        <w:jc w:val="center"/>
        <w:rPr>
          <w:b/>
          <w:sz w:val="22"/>
          <w:szCs w:val="22"/>
        </w:rPr>
      </w:pPr>
      <w:r>
        <w:rPr>
          <w:b/>
          <w:sz w:val="22"/>
          <w:szCs w:val="22"/>
        </w:rPr>
        <w:t>World Animal Net Comments</w:t>
      </w:r>
      <w:r w:rsidR="00790F3D">
        <w:rPr>
          <w:b/>
          <w:sz w:val="22"/>
          <w:szCs w:val="22"/>
        </w:rPr>
        <w:t xml:space="preserve"> on </w:t>
      </w:r>
      <w:r w:rsidR="00790F3D" w:rsidRPr="00790F3D">
        <w:rPr>
          <w:b/>
          <w:sz w:val="22"/>
          <w:szCs w:val="22"/>
        </w:rPr>
        <w:t xml:space="preserve">linkages between the post-2020 global biodiversity framework and </w:t>
      </w:r>
      <w:r w:rsidR="00790F3D">
        <w:rPr>
          <w:b/>
          <w:sz w:val="22"/>
          <w:szCs w:val="22"/>
        </w:rPr>
        <w:t xml:space="preserve">the </w:t>
      </w:r>
      <w:r w:rsidR="00790F3D" w:rsidRPr="00790F3D">
        <w:rPr>
          <w:b/>
          <w:sz w:val="22"/>
          <w:szCs w:val="22"/>
        </w:rPr>
        <w:t>2030</w:t>
      </w:r>
      <w:r w:rsidR="00790F3D">
        <w:rPr>
          <w:b/>
          <w:sz w:val="22"/>
          <w:szCs w:val="22"/>
        </w:rPr>
        <w:t xml:space="preserve"> </w:t>
      </w:r>
      <w:r w:rsidR="00790F3D" w:rsidRPr="00790F3D">
        <w:rPr>
          <w:b/>
          <w:sz w:val="22"/>
          <w:szCs w:val="22"/>
        </w:rPr>
        <w:t>agenda for sustainable development</w:t>
      </w:r>
    </w:p>
    <w:p w14:paraId="794A5BD2" w14:textId="77777777" w:rsidR="00236608" w:rsidRDefault="00236608" w:rsidP="00236608">
      <w:pPr>
        <w:pStyle w:val="Default"/>
        <w:jc w:val="center"/>
        <w:rPr>
          <w:b/>
          <w:sz w:val="22"/>
          <w:szCs w:val="22"/>
          <w:u w:val="single"/>
        </w:rPr>
      </w:pPr>
    </w:p>
    <w:p w14:paraId="17859718" w14:textId="77777777" w:rsidR="00236608" w:rsidRPr="00532BBA" w:rsidRDefault="00236608" w:rsidP="00236608">
      <w:pPr>
        <w:pStyle w:val="Default"/>
        <w:jc w:val="center"/>
        <w:rPr>
          <w:b/>
          <w:sz w:val="22"/>
          <w:szCs w:val="22"/>
          <w:u w:val="singl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257"/>
        <w:gridCol w:w="2028"/>
        <w:gridCol w:w="6086"/>
      </w:tblGrid>
      <w:tr w:rsidR="00236608" w:rsidRPr="000C0B6C" w14:paraId="6598FBAB" w14:textId="77777777" w:rsidTr="009251C2">
        <w:trPr>
          <w:trHeight w:val="233"/>
        </w:trPr>
        <w:tc>
          <w:tcPr>
            <w:tcW w:w="10188" w:type="dxa"/>
            <w:gridSpan w:val="4"/>
            <w:shd w:val="clear" w:color="auto" w:fill="C0C0C0"/>
          </w:tcPr>
          <w:p w14:paraId="297416BC" w14:textId="77777777" w:rsidR="00236608" w:rsidRPr="000C0B6C" w:rsidRDefault="00236608" w:rsidP="009251C2">
            <w:pPr>
              <w:jc w:val="center"/>
              <w:rPr>
                <w:i/>
              </w:rPr>
            </w:pPr>
            <w:r w:rsidRPr="000C0B6C">
              <w:rPr>
                <w:i/>
              </w:rPr>
              <w:t>Contact information</w:t>
            </w:r>
          </w:p>
        </w:tc>
      </w:tr>
      <w:tr w:rsidR="00236608" w:rsidRPr="000C0B6C" w14:paraId="212CCDF4" w14:textId="77777777" w:rsidTr="00D45B52">
        <w:trPr>
          <w:trHeight w:val="270"/>
        </w:trPr>
        <w:tc>
          <w:tcPr>
            <w:tcW w:w="4102" w:type="dxa"/>
            <w:gridSpan w:val="3"/>
          </w:tcPr>
          <w:p w14:paraId="13CBB394"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Surname:</w:t>
            </w:r>
          </w:p>
        </w:tc>
        <w:tc>
          <w:tcPr>
            <w:tcW w:w="6086" w:type="dxa"/>
          </w:tcPr>
          <w:p w14:paraId="08B4F522" w14:textId="48EB4F9A" w:rsidR="00236608" w:rsidRPr="000C0B6C" w:rsidRDefault="00842CCA" w:rsidP="009251C2">
            <w:r>
              <w:t>Bridgers</w:t>
            </w:r>
          </w:p>
        </w:tc>
      </w:tr>
      <w:tr w:rsidR="00236608" w:rsidRPr="000C0B6C" w14:paraId="70478EC8" w14:textId="77777777" w:rsidTr="00D45B52">
        <w:trPr>
          <w:trHeight w:val="270"/>
        </w:trPr>
        <w:tc>
          <w:tcPr>
            <w:tcW w:w="4102" w:type="dxa"/>
            <w:gridSpan w:val="3"/>
          </w:tcPr>
          <w:p w14:paraId="4EE5D0BF"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Given Name:</w:t>
            </w:r>
          </w:p>
        </w:tc>
        <w:tc>
          <w:tcPr>
            <w:tcW w:w="6086" w:type="dxa"/>
          </w:tcPr>
          <w:p w14:paraId="618617AF" w14:textId="2C4EBA71" w:rsidR="00236608" w:rsidRPr="000C0B6C" w:rsidRDefault="00842CCA" w:rsidP="009251C2">
            <w:r>
              <w:t>Jessica</w:t>
            </w:r>
          </w:p>
        </w:tc>
      </w:tr>
      <w:tr w:rsidR="00236608" w:rsidRPr="000C0B6C" w14:paraId="60004B01" w14:textId="77777777" w:rsidTr="00D45B52">
        <w:trPr>
          <w:trHeight w:val="280"/>
        </w:trPr>
        <w:tc>
          <w:tcPr>
            <w:tcW w:w="4102" w:type="dxa"/>
            <w:gridSpan w:val="3"/>
          </w:tcPr>
          <w:p w14:paraId="043D7251"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Government </w:t>
            </w:r>
            <w:r w:rsidRPr="000C0B6C">
              <w:rPr>
                <w:rFonts w:ascii="Times New Roman" w:hAnsi="Times New Roman" w:cs="Times New Roman"/>
                <w:sz w:val="22"/>
                <w:szCs w:val="22"/>
              </w:rPr>
              <w:t>(if applicable)</w:t>
            </w:r>
            <w:r w:rsidRPr="000C0B6C">
              <w:rPr>
                <w:rFonts w:ascii="Times New Roman" w:hAnsi="Times New Roman" w:cs="Times New Roman"/>
                <w:b/>
                <w:sz w:val="22"/>
                <w:szCs w:val="22"/>
              </w:rPr>
              <w:t xml:space="preserve">: </w:t>
            </w:r>
          </w:p>
        </w:tc>
        <w:tc>
          <w:tcPr>
            <w:tcW w:w="6086" w:type="dxa"/>
          </w:tcPr>
          <w:p w14:paraId="44573104" w14:textId="77777777" w:rsidR="00236608" w:rsidRPr="000C0B6C" w:rsidRDefault="00236608" w:rsidP="009251C2"/>
        </w:tc>
      </w:tr>
      <w:tr w:rsidR="00236608" w:rsidRPr="000C0B6C" w14:paraId="41DAE210" w14:textId="77777777" w:rsidTr="00D45B52">
        <w:trPr>
          <w:trHeight w:val="270"/>
        </w:trPr>
        <w:tc>
          <w:tcPr>
            <w:tcW w:w="4102" w:type="dxa"/>
            <w:gridSpan w:val="3"/>
          </w:tcPr>
          <w:p w14:paraId="064A5C6E"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Organization:</w:t>
            </w:r>
          </w:p>
        </w:tc>
        <w:tc>
          <w:tcPr>
            <w:tcW w:w="6086" w:type="dxa"/>
          </w:tcPr>
          <w:p w14:paraId="6DC88D1F" w14:textId="07838B87" w:rsidR="00236608" w:rsidRPr="000C0B6C" w:rsidRDefault="007922B1" w:rsidP="009251C2">
            <w:r>
              <w:t>World Animal Net</w:t>
            </w:r>
          </w:p>
        </w:tc>
      </w:tr>
      <w:tr w:rsidR="00236608" w:rsidRPr="000C0B6C" w14:paraId="19EAFF8D" w14:textId="77777777" w:rsidTr="00D45B52">
        <w:trPr>
          <w:trHeight w:val="280"/>
        </w:trPr>
        <w:tc>
          <w:tcPr>
            <w:tcW w:w="4102" w:type="dxa"/>
            <w:gridSpan w:val="3"/>
          </w:tcPr>
          <w:p w14:paraId="051F46C6" w14:textId="77777777" w:rsidR="00236608" w:rsidRPr="000C0B6C" w:rsidRDefault="00236608" w:rsidP="009251C2">
            <w:pPr>
              <w:pStyle w:val="Form"/>
              <w:rPr>
                <w:rFonts w:ascii="Times New Roman" w:hAnsi="Times New Roman" w:cs="Times New Roman"/>
                <w:b/>
                <w:sz w:val="22"/>
              </w:rPr>
            </w:pPr>
            <w:r w:rsidRPr="000C0B6C">
              <w:rPr>
                <w:rFonts w:ascii="Times New Roman" w:hAnsi="Times New Roman" w:cs="Times New Roman"/>
                <w:b/>
                <w:sz w:val="22"/>
                <w:szCs w:val="22"/>
              </w:rPr>
              <w:t xml:space="preserve">Address:  </w:t>
            </w:r>
          </w:p>
        </w:tc>
        <w:tc>
          <w:tcPr>
            <w:tcW w:w="6086" w:type="dxa"/>
          </w:tcPr>
          <w:p w14:paraId="1BEACDEF" w14:textId="71AE348D" w:rsidR="00236608" w:rsidRPr="00CF69B9" w:rsidRDefault="00E907B8" w:rsidP="009251C2">
            <w:r w:rsidRPr="00CF69B9">
              <w:rPr>
                <w:shd w:val="clear" w:color="auto" w:fill="FFFFFF"/>
              </w:rPr>
              <w:t>25 Chestnut Square</w:t>
            </w:r>
            <w:r w:rsidR="00707E1A" w:rsidRPr="00CF69B9">
              <w:rPr>
                <w:shd w:val="clear" w:color="auto" w:fill="FFFFFF"/>
              </w:rPr>
              <w:t xml:space="preserve"> </w:t>
            </w:r>
          </w:p>
        </w:tc>
      </w:tr>
      <w:tr w:rsidR="00236608" w:rsidRPr="000C0B6C" w14:paraId="3310BC30" w14:textId="77777777" w:rsidTr="00D45B52">
        <w:trPr>
          <w:trHeight w:val="270"/>
        </w:trPr>
        <w:tc>
          <w:tcPr>
            <w:tcW w:w="4102" w:type="dxa"/>
            <w:gridSpan w:val="3"/>
          </w:tcPr>
          <w:p w14:paraId="675A80C3" w14:textId="77777777" w:rsidR="00236608" w:rsidRPr="00257A68" w:rsidRDefault="00236608" w:rsidP="009251C2">
            <w:pPr>
              <w:pStyle w:val="Form"/>
              <w:rPr>
                <w:rFonts w:ascii="Times New Roman" w:hAnsi="Times New Roman" w:cs="Times New Roman"/>
                <w:b/>
                <w:sz w:val="22"/>
              </w:rPr>
            </w:pPr>
            <w:r w:rsidRPr="00257A68">
              <w:rPr>
                <w:rFonts w:ascii="Times New Roman" w:hAnsi="Times New Roman" w:cs="Times New Roman"/>
                <w:b/>
                <w:sz w:val="22"/>
                <w:szCs w:val="22"/>
              </w:rPr>
              <w:t>City:</w:t>
            </w:r>
          </w:p>
        </w:tc>
        <w:tc>
          <w:tcPr>
            <w:tcW w:w="6086" w:type="dxa"/>
          </w:tcPr>
          <w:p w14:paraId="160AB00E" w14:textId="432C158D" w:rsidR="00236608" w:rsidRPr="00257A68" w:rsidRDefault="00707E1A" w:rsidP="009251C2">
            <w:r w:rsidRPr="00257A68">
              <w:t>Boston</w:t>
            </w:r>
          </w:p>
        </w:tc>
      </w:tr>
      <w:tr w:rsidR="00236608" w:rsidRPr="000C0B6C" w14:paraId="0303D967" w14:textId="77777777" w:rsidTr="00D45B52">
        <w:trPr>
          <w:trHeight w:val="280"/>
        </w:trPr>
        <w:tc>
          <w:tcPr>
            <w:tcW w:w="4102" w:type="dxa"/>
            <w:gridSpan w:val="3"/>
          </w:tcPr>
          <w:p w14:paraId="241052A2" w14:textId="77777777" w:rsidR="00236608" w:rsidRPr="00257A68" w:rsidRDefault="00236608" w:rsidP="009251C2">
            <w:pPr>
              <w:pStyle w:val="Form"/>
              <w:rPr>
                <w:rFonts w:ascii="Times New Roman" w:hAnsi="Times New Roman" w:cs="Times New Roman"/>
                <w:b/>
                <w:sz w:val="22"/>
              </w:rPr>
            </w:pPr>
            <w:r w:rsidRPr="00257A68">
              <w:rPr>
                <w:rFonts w:ascii="Times New Roman" w:hAnsi="Times New Roman" w:cs="Times New Roman"/>
                <w:b/>
                <w:sz w:val="22"/>
                <w:szCs w:val="22"/>
              </w:rPr>
              <w:t>Country:</w:t>
            </w:r>
          </w:p>
        </w:tc>
        <w:tc>
          <w:tcPr>
            <w:tcW w:w="6086" w:type="dxa"/>
          </w:tcPr>
          <w:p w14:paraId="213ED87C" w14:textId="514E6D43" w:rsidR="00236608" w:rsidRPr="00257A68" w:rsidRDefault="00707E1A" w:rsidP="009251C2">
            <w:r w:rsidRPr="00257A68">
              <w:t>U.S.A.</w:t>
            </w:r>
          </w:p>
        </w:tc>
      </w:tr>
      <w:tr w:rsidR="00236608" w:rsidRPr="000C0B6C" w14:paraId="7C74835B" w14:textId="77777777" w:rsidTr="00D45B52">
        <w:trPr>
          <w:trHeight w:val="233"/>
        </w:trPr>
        <w:tc>
          <w:tcPr>
            <w:tcW w:w="4102" w:type="dxa"/>
            <w:gridSpan w:val="3"/>
          </w:tcPr>
          <w:p w14:paraId="45DEDB26" w14:textId="77777777" w:rsidR="00236608" w:rsidRPr="00257A68" w:rsidRDefault="00236608" w:rsidP="009251C2">
            <w:pPr>
              <w:pStyle w:val="CommentSubject"/>
              <w:rPr>
                <w:sz w:val="22"/>
                <w:szCs w:val="22"/>
              </w:rPr>
            </w:pPr>
            <w:r w:rsidRPr="00257A68">
              <w:rPr>
                <w:sz w:val="22"/>
                <w:szCs w:val="22"/>
              </w:rPr>
              <w:t>E-mail:</w:t>
            </w:r>
          </w:p>
        </w:tc>
        <w:tc>
          <w:tcPr>
            <w:tcW w:w="6086" w:type="dxa"/>
          </w:tcPr>
          <w:p w14:paraId="118A29DB" w14:textId="551030A5" w:rsidR="00236608" w:rsidRPr="00257A68" w:rsidRDefault="00707E1A" w:rsidP="009251C2">
            <w:r w:rsidRPr="00257A68">
              <w:t>jessica@worldanimal.net</w:t>
            </w:r>
          </w:p>
        </w:tc>
      </w:tr>
      <w:tr w:rsidR="00236608" w:rsidRPr="000C0B6C" w14:paraId="623341FC" w14:textId="77777777" w:rsidTr="009251C2">
        <w:trPr>
          <w:trHeight w:val="224"/>
        </w:trPr>
        <w:tc>
          <w:tcPr>
            <w:tcW w:w="10188" w:type="dxa"/>
            <w:gridSpan w:val="4"/>
            <w:shd w:val="clear" w:color="auto" w:fill="C0C0C0"/>
          </w:tcPr>
          <w:p w14:paraId="1CE0413B" w14:textId="77777777" w:rsidR="00236608" w:rsidRPr="00257A68" w:rsidRDefault="00236608" w:rsidP="009251C2">
            <w:pPr>
              <w:jc w:val="center"/>
              <w:rPr>
                <w:b/>
                <w:i/>
              </w:rPr>
            </w:pPr>
            <w:r w:rsidRPr="00257A68">
              <w:rPr>
                <w:b/>
                <w:i/>
              </w:rPr>
              <w:t>Comments</w:t>
            </w:r>
          </w:p>
        </w:tc>
      </w:tr>
      <w:tr w:rsidR="00236608" w:rsidRPr="000C0B6C" w14:paraId="2D6B6755" w14:textId="77777777" w:rsidTr="00D45B52">
        <w:trPr>
          <w:trHeight w:val="224"/>
        </w:trPr>
        <w:tc>
          <w:tcPr>
            <w:tcW w:w="817" w:type="dxa"/>
          </w:tcPr>
          <w:p w14:paraId="63773A4F" w14:textId="77777777" w:rsidR="00236608" w:rsidRPr="000C0B6C" w:rsidRDefault="00236608" w:rsidP="009251C2">
            <w:pPr>
              <w:rPr>
                <w:b/>
              </w:rPr>
            </w:pPr>
            <w:r w:rsidRPr="000C0B6C">
              <w:rPr>
                <w:b/>
                <w:sz w:val="22"/>
                <w:szCs w:val="22"/>
              </w:rPr>
              <w:t xml:space="preserve">Page </w:t>
            </w:r>
          </w:p>
        </w:tc>
        <w:tc>
          <w:tcPr>
            <w:tcW w:w="1257" w:type="dxa"/>
          </w:tcPr>
          <w:p w14:paraId="7004D9C3" w14:textId="77777777" w:rsidR="00236608" w:rsidRPr="000C0B6C" w:rsidRDefault="00236608" w:rsidP="009251C2">
            <w:pPr>
              <w:rPr>
                <w:b/>
              </w:rPr>
            </w:pPr>
            <w:r>
              <w:rPr>
                <w:b/>
                <w:sz w:val="22"/>
                <w:szCs w:val="22"/>
              </w:rPr>
              <w:t>Paragraph</w:t>
            </w:r>
          </w:p>
        </w:tc>
        <w:tc>
          <w:tcPr>
            <w:tcW w:w="8114" w:type="dxa"/>
            <w:gridSpan w:val="2"/>
          </w:tcPr>
          <w:p w14:paraId="052311B8" w14:textId="77777777" w:rsidR="00236608" w:rsidRPr="00257A68" w:rsidRDefault="00236608" w:rsidP="009251C2">
            <w:pPr>
              <w:rPr>
                <w:b/>
              </w:rPr>
            </w:pPr>
            <w:r w:rsidRPr="00257A68">
              <w:rPr>
                <w:b/>
                <w:sz w:val="22"/>
                <w:szCs w:val="22"/>
              </w:rPr>
              <w:t>Comment</w:t>
            </w:r>
          </w:p>
        </w:tc>
      </w:tr>
      <w:tr w:rsidR="00236608" w:rsidRPr="000C0B6C" w14:paraId="0F2CD79B" w14:textId="77777777" w:rsidTr="00D45B52">
        <w:trPr>
          <w:trHeight w:val="233"/>
        </w:trPr>
        <w:tc>
          <w:tcPr>
            <w:tcW w:w="817" w:type="dxa"/>
          </w:tcPr>
          <w:p w14:paraId="0C67F728" w14:textId="56A7CE40" w:rsidR="00236608" w:rsidRPr="00212D67" w:rsidRDefault="00212D67" w:rsidP="009251C2">
            <w:r w:rsidRPr="00212D67">
              <w:t>0</w:t>
            </w:r>
          </w:p>
        </w:tc>
        <w:tc>
          <w:tcPr>
            <w:tcW w:w="1257" w:type="dxa"/>
          </w:tcPr>
          <w:p w14:paraId="0B8173C1" w14:textId="77777777" w:rsidR="00236608" w:rsidRPr="00212D67" w:rsidRDefault="00236608" w:rsidP="009251C2">
            <w:r w:rsidRPr="00212D67">
              <w:rPr>
                <w:sz w:val="22"/>
                <w:szCs w:val="22"/>
              </w:rPr>
              <w:t>0</w:t>
            </w:r>
          </w:p>
        </w:tc>
        <w:tc>
          <w:tcPr>
            <w:tcW w:w="8114" w:type="dxa"/>
            <w:gridSpan w:val="2"/>
          </w:tcPr>
          <w:p w14:paraId="00426BC3" w14:textId="4BB6FE7C" w:rsidR="00236608" w:rsidRPr="00257A68" w:rsidRDefault="005707C1" w:rsidP="009251C2">
            <w:r w:rsidRPr="00257A68">
              <w:t xml:space="preserve">Sustainable use and management should be </w:t>
            </w:r>
            <w:r w:rsidR="00A25D3F" w:rsidRPr="00257A68">
              <w:t>applied to</w:t>
            </w:r>
            <w:r w:rsidRPr="00257A68">
              <w:t xml:space="preserve"> areas where</w:t>
            </w:r>
            <w:r w:rsidR="00BC5DC3" w:rsidRPr="00257A68">
              <w:t xml:space="preserve"> </w:t>
            </w:r>
            <w:r w:rsidR="00A25D3F" w:rsidRPr="00257A68">
              <w:t>use is</w:t>
            </w:r>
            <w:r w:rsidR="00BC5DC3" w:rsidRPr="00257A68">
              <w:t xml:space="preserve"> needed for human </w:t>
            </w:r>
            <w:r w:rsidR="000E23C4" w:rsidRPr="00257A68">
              <w:t>essentials such as food, water, and shelter. Otherwise, protection and restoration of biodiversity should be prioritized</w:t>
            </w:r>
            <w:r w:rsidR="0002176A" w:rsidRPr="00257A68">
              <w:t xml:space="preserve"> rather than </w:t>
            </w:r>
            <w:r w:rsidR="00F548CE" w:rsidRPr="00257A68">
              <w:t xml:space="preserve">inessential </w:t>
            </w:r>
            <w:r w:rsidR="0002176A" w:rsidRPr="00257A68">
              <w:t>use</w:t>
            </w:r>
            <w:r w:rsidR="00A25D3F" w:rsidRPr="00257A68">
              <w:t>s of biodiversity (i.e. pets, luxury items, etc.)</w:t>
            </w:r>
            <w:r w:rsidR="0002176A" w:rsidRPr="00257A68">
              <w:t>.</w:t>
            </w:r>
            <w:r w:rsidR="000E23C4" w:rsidRPr="00257A68">
              <w:t xml:space="preserve"> </w:t>
            </w:r>
          </w:p>
        </w:tc>
      </w:tr>
      <w:tr w:rsidR="00236608" w:rsidRPr="000C0B6C" w14:paraId="0C9C63D9" w14:textId="77777777" w:rsidTr="00D45B52">
        <w:trPr>
          <w:trHeight w:val="224"/>
        </w:trPr>
        <w:tc>
          <w:tcPr>
            <w:tcW w:w="817" w:type="dxa"/>
          </w:tcPr>
          <w:p w14:paraId="46581EE4" w14:textId="21B4BDB3" w:rsidR="00236608" w:rsidRPr="00E33C0E" w:rsidRDefault="00E33C0E" w:rsidP="009251C2">
            <w:r w:rsidRPr="00E33C0E">
              <w:rPr>
                <w:sz w:val="22"/>
                <w:szCs w:val="22"/>
              </w:rPr>
              <w:t>0</w:t>
            </w:r>
          </w:p>
        </w:tc>
        <w:tc>
          <w:tcPr>
            <w:tcW w:w="1257" w:type="dxa"/>
          </w:tcPr>
          <w:p w14:paraId="3DA5E0E9" w14:textId="7F9BD04A" w:rsidR="00236608" w:rsidRPr="00E33C0E" w:rsidRDefault="00E33C0E" w:rsidP="009251C2">
            <w:r w:rsidRPr="00E33C0E">
              <w:rPr>
                <w:sz w:val="22"/>
                <w:szCs w:val="22"/>
              </w:rPr>
              <w:t>0</w:t>
            </w:r>
          </w:p>
        </w:tc>
        <w:tc>
          <w:tcPr>
            <w:tcW w:w="8114" w:type="dxa"/>
            <w:gridSpan w:val="2"/>
          </w:tcPr>
          <w:p w14:paraId="1FB20CA9" w14:textId="6EA84241" w:rsidR="00236608" w:rsidRPr="00257A68" w:rsidRDefault="00EA44F2" w:rsidP="009251C2">
            <w:r w:rsidRPr="00257A68">
              <w:t xml:space="preserve">There is no mention of animal welfare, only management of </w:t>
            </w:r>
            <w:r w:rsidR="00842CCA" w:rsidRPr="00257A68">
              <w:t>wild populations and domestic species (when regarding genetic diversity). Animal welfare must be considered in animal management</w:t>
            </w:r>
            <w:r w:rsidR="00A25D3F" w:rsidRPr="00257A68">
              <w:t xml:space="preserve"> and was highlighted as an issue of emerging concern in the 2019 Global Sustainable Development Report</w:t>
            </w:r>
            <w:r w:rsidR="00842CCA" w:rsidRPr="00257A68">
              <w:t>.</w:t>
            </w:r>
          </w:p>
        </w:tc>
      </w:tr>
      <w:tr w:rsidR="00236608" w:rsidRPr="000C0B6C" w14:paraId="6153AF8D" w14:textId="77777777" w:rsidTr="00D45B52">
        <w:trPr>
          <w:trHeight w:val="233"/>
        </w:trPr>
        <w:tc>
          <w:tcPr>
            <w:tcW w:w="817" w:type="dxa"/>
          </w:tcPr>
          <w:p w14:paraId="66AF3500" w14:textId="18AFD5AF" w:rsidR="00236608" w:rsidRPr="000C0B6C" w:rsidRDefault="007940B3" w:rsidP="009251C2">
            <w:r>
              <w:t>1</w:t>
            </w:r>
          </w:p>
        </w:tc>
        <w:tc>
          <w:tcPr>
            <w:tcW w:w="1257" w:type="dxa"/>
          </w:tcPr>
          <w:p w14:paraId="6A91318A" w14:textId="5F145ED9" w:rsidR="00236608" w:rsidRPr="000C0B6C" w:rsidRDefault="007940B3" w:rsidP="009251C2">
            <w:r>
              <w:t>2</w:t>
            </w:r>
          </w:p>
        </w:tc>
        <w:tc>
          <w:tcPr>
            <w:tcW w:w="8114" w:type="dxa"/>
            <w:gridSpan w:val="2"/>
          </w:tcPr>
          <w:p w14:paraId="5F267497" w14:textId="2E15CF93" w:rsidR="00236608" w:rsidRPr="00257A68" w:rsidRDefault="00BA7F7E" w:rsidP="009251C2">
            <w:r w:rsidRPr="00257A68">
              <w:t xml:space="preserve">Rewrite </w:t>
            </w:r>
            <w:r w:rsidR="00C2376A" w:rsidRPr="00257A68">
              <w:t xml:space="preserve">“The Post-2020 Global Biodiversity Framework while </w:t>
            </w:r>
            <w:proofErr w:type="spellStart"/>
            <w:r w:rsidR="00C2376A" w:rsidRPr="00257A68">
              <w:t>focussing</w:t>
            </w:r>
            <w:proofErr w:type="spellEnd"/>
            <w:r w:rsidR="00C2376A" w:rsidRPr="00257A68">
              <w:t xml:space="preserve"> on improving the state of biodiversity and reverse trends in biodiversity loss to achieve 2050 biodiversity vision of living in harmony with nature also is designed to support delivery of goods and services to people to ensure human wellbeing and to support development agenda and its Sustainable Development Goals</w:t>
            </w:r>
            <w:r w:rsidRPr="00257A68">
              <w:t xml:space="preserve">,” </w:t>
            </w:r>
            <w:r w:rsidR="004B1D34" w:rsidRPr="00257A68">
              <w:t xml:space="preserve">so that improving biodiversity and reversing biodiversity loss </w:t>
            </w:r>
            <w:r w:rsidR="00A84F10" w:rsidRPr="00257A68">
              <w:t xml:space="preserve">is connected to </w:t>
            </w:r>
            <w:r w:rsidR="00A264D6" w:rsidRPr="00257A68">
              <w:t xml:space="preserve">human wellbeing, rather than separating the two concepts. </w:t>
            </w:r>
          </w:p>
        </w:tc>
      </w:tr>
      <w:tr w:rsidR="00236608" w:rsidRPr="000C0B6C" w14:paraId="30930566" w14:textId="77777777" w:rsidTr="00D45B52">
        <w:trPr>
          <w:trHeight w:val="224"/>
        </w:trPr>
        <w:tc>
          <w:tcPr>
            <w:tcW w:w="817" w:type="dxa"/>
          </w:tcPr>
          <w:p w14:paraId="7E88CD75" w14:textId="246D45A5" w:rsidR="00236608" w:rsidRPr="000C0B6C" w:rsidRDefault="00962E80" w:rsidP="009251C2">
            <w:r>
              <w:t>2</w:t>
            </w:r>
          </w:p>
        </w:tc>
        <w:tc>
          <w:tcPr>
            <w:tcW w:w="1257" w:type="dxa"/>
          </w:tcPr>
          <w:p w14:paraId="6D5DFCBA" w14:textId="77777777" w:rsidR="00236608" w:rsidRDefault="00962E80" w:rsidP="009251C2">
            <w:r>
              <w:t>Goal A</w:t>
            </w:r>
          </w:p>
          <w:p w14:paraId="613F0F0B" w14:textId="6889A21D" w:rsidR="00D43352" w:rsidRPr="000C0B6C" w:rsidRDefault="00D43352" w:rsidP="009251C2">
            <w:r>
              <w:t>Comments</w:t>
            </w:r>
          </w:p>
        </w:tc>
        <w:tc>
          <w:tcPr>
            <w:tcW w:w="8114" w:type="dxa"/>
            <w:gridSpan w:val="2"/>
          </w:tcPr>
          <w:p w14:paraId="4B30F77B" w14:textId="77BBA289" w:rsidR="00236608" w:rsidRPr="00257A68" w:rsidRDefault="00953E1C" w:rsidP="009251C2">
            <w:r w:rsidRPr="00257A68">
              <w:t>Conserving ecosystems does not always equal sustainable management. Protection of ecosystems should be prioritized</w:t>
            </w:r>
            <w:r w:rsidR="00EE51C5" w:rsidRPr="00257A68">
              <w:t xml:space="preserve"> to support healthy ecosystems.</w:t>
            </w:r>
          </w:p>
        </w:tc>
      </w:tr>
      <w:tr w:rsidR="00534BCC" w:rsidRPr="00534BCC" w14:paraId="32B07F61" w14:textId="77777777" w:rsidTr="00D45B52">
        <w:trPr>
          <w:trHeight w:val="224"/>
        </w:trPr>
        <w:tc>
          <w:tcPr>
            <w:tcW w:w="817" w:type="dxa"/>
          </w:tcPr>
          <w:p w14:paraId="1CDBB795" w14:textId="381379CA" w:rsidR="00534BCC" w:rsidRPr="00257A68" w:rsidRDefault="00534BCC" w:rsidP="009251C2">
            <w:r w:rsidRPr="00257A68">
              <w:t>2</w:t>
            </w:r>
          </w:p>
        </w:tc>
        <w:tc>
          <w:tcPr>
            <w:tcW w:w="1257" w:type="dxa"/>
          </w:tcPr>
          <w:p w14:paraId="341E91D1" w14:textId="7E076CE2" w:rsidR="00534BCC" w:rsidRPr="00257A68" w:rsidRDefault="00534BCC" w:rsidP="009251C2">
            <w:r w:rsidRPr="00257A68">
              <w:t>Goal A Comments</w:t>
            </w:r>
          </w:p>
        </w:tc>
        <w:tc>
          <w:tcPr>
            <w:tcW w:w="8114" w:type="dxa"/>
            <w:gridSpan w:val="2"/>
          </w:tcPr>
          <w:p w14:paraId="13CCCBBB" w14:textId="44B4DE29" w:rsidR="00534BCC" w:rsidRPr="00257A68" w:rsidRDefault="00534BCC" w:rsidP="009251C2">
            <w:r w:rsidRPr="00257A68">
              <w:t>Goal A is also related to SDG</w:t>
            </w:r>
            <w:r w:rsidR="003D4D34" w:rsidRPr="00257A68">
              <w:t>s</w:t>
            </w:r>
            <w:r w:rsidRPr="00257A68">
              <w:t xml:space="preserve"> </w:t>
            </w:r>
            <w:r w:rsidR="003D4D34" w:rsidRPr="00257A68">
              <w:t>2, 3 and</w:t>
            </w:r>
            <w:r w:rsidRPr="00257A68">
              <w:t xml:space="preserve">12. </w:t>
            </w:r>
            <w:r w:rsidR="003D4D34" w:rsidRPr="00257A68">
              <w:t xml:space="preserve">Healthy ecosystems contribute to food security, and their degradation leads to the spread of diseases, as has been demonstrated by the COVID-19 pandemic. </w:t>
            </w:r>
            <w:r w:rsidRPr="00257A68">
              <w:t>Current unsustainable consumption patterns (i.e. for the production of feed crops or grazing livestock, directly impact connectivity and integrity of ecosystems.</w:t>
            </w:r>
          </w:p>
        </w:tc>
      </w:tr>
      <w:tr w:rsidR="00236608" w:rsidRPr="000C0B6C" w14:paraId="419DB47A" w14:textId="77777777" w:rsidTr="00D45B52">
        <w:trPr>
          <w:trHeight w:val="224"/>
        </w:trPr>
        <w:tc>
          <w:tcPr>
            <w:tcW w:w="817" w:type="dxa"/>
          </w:tcPr>
          <w:p w14:paraId="583A2152" w14:textId="4E4AD2DC" w:rsidR="00236608" w:rsidRPr="00257A68" w:rsidRDefault="00023C30" w:rsidP="009251C2">
            <w:r w:rsidRPr="00257A68">
              <w:t>2</w:t>
            </w:r>
          </w:p>
        </w:tc>
        <w:tc>
          <w:tcPr>
            <w:tcW w:w="1257" w:type="dxa"/>
          </w:tcPr>
          <w:p w14:paraId="0FAF4B2D" w14:textId="77777777" w:rsidR="00236608" w:rsidRPr="00257A68" w:rsidRDefault="00023C30" w:rsidP="009251C2">
            <w:r w:rsidRPr="00257A68">
              <w:t>Goal B</w:t>
            </w:r>
          </w:p>
          <w:p w14:paraId="491D28B8" w14:textId="37CAA45D" w:rsidR="00D43352" w:rsidRPr="00257A68" w:rsidRDefault="00D43352" w:rsidP="009251C2">
            <w:r w:rsidRPr="00257A68">
              <w:t>Comments</w:t>
            </w:r>
          </w:p>
        </w:tc>
        <w:tc>
          <w:tcPr>
            <w:tcW w:w="8114" w:type="dxa"/>
            <w:gridSpan w:val="2"/>
          </w:tcPr>
          <w:p w14:paraId="19077E5B" w14:textId="77777777" w:rsidR="000974F8" w:rsidRPr="00257A68" w:rsidRDefault="000974F8" w:rsidP="009251C2">
            <w:r w:rsidRPr="00257A68">
              <w:t>“</w:t>
            </w:r>
            <w:r w:rsidR="00023C30" w:rsidRPr="00257A68">
              <w:t>GBF Goal B supports the SDGs as it emphasizes the value nature has for people, and requests these contributions be maintained, and enhanced.</w:t>
            </w:r>
            <w:r w:rsidRPr="00257A68">
              <w:t>”</w:t>
            </w:r>
          </w:p>
          <w:p w14:paraId="0FC2C9E6" w14:textId="77777777" w:rsidR="000974F8" w:rsidRPr="00257A68" w:rsidRDefault="000974F8" w:rsidP="009251C2"/>
          <w:p w14:paraId="7EB00430" w14:textId="48AF4CB1" w:rsidR="00236608" w:rsidRPr="00257A68" w:rsidRDefault="00902199" w:rsidP="009251C2">
            <w:r w:rsidRPr="00257A68">
              <w:t>Nature has intrinsic value, apart from its benefits to humans. This needs to be mentioned.</w:t>
            </w:r>
            <w:r w:rsidR="00023C30" w:rsidRPr="00257A68">
              <w:t xml:space="preserve"> </w:t>
            </w:r>
          </w:p>
        </w:tc>
      </w:tr>
      <w:tr w:rsidR="00236608" w:rsidRPr="000C0B6C" w14:paraId="5DBDB291" w14:textId="77777777" w:rsidTr="00D45B52">
        <w:trPr>
          <w:trHeight w:val="224"/>
        </w:trPr>
        <w:tc>
          <w:tcPr>
            <w:tcW w:w="817" w:type="dxa"/>
          </w:tcPr>
          <w:p w14:paraId="29E068DB" w14:textId="2F99C188" w:rsidR="00236608" w:rsidRPr="000C0B6C" w:rsidRDefault="000974F8" w:rsidP="009251C2">
            <w:r>
              <w:t>2</w:t>
            </w:r>
          </w:p>
        </w:tc>
        <w:tc>
          <w:tcPr>
            <w:tcW w:w="1257" w:type="dxa"/>
          </w:tcPr>
          <w:p w14:paraId="321B5DDA" w14:textId="77777777" w:rsidR="00236608" w:rsidRDefault="00BB5D8D" w:rsidP="009251C2">
            <w:r>
              <w:t>Goal B</w:t>
            </w:r>
          </w:p>
          <w:p w14:paraId="212354D4" w14:textId="21792286" w:rsidR="00D43352" w:rsidRPr="000C0B6C" w:rsidRDefault="00D43352" w:rsidP="009251C2">
            <w:r>
              <w:t>Comments</w:t>
            </w:r>
          </w:p>
        </w:tc>
        <w:tc>
          <w:tcPr>
            <w:tcW w:w="8114" w:type="dxa"/>
            <w:gridSpan w:val="2"/>
          </w:tcPr>
          <w:p w14:paraId="637A167D" w14:textId="753A83C4" w:rsidR="00236608" w:rsidRPr="00257A68" w:rsidRDefault="003E4688" w:rsidP="009251C2">
            <w:r w:rsidRPr="00257A68">
              <w:t xml:space="preserve">Go one step further than ‘halting biodiversity loss’ and </w:t>
            </w:r>
            <w:r w:rsidR="00352432" w:rsidRPr="00257A68">
              <w:t>promote methods</w:t>
            </w:r>
            <w:r w:rsidRPr="00257A68">
              <w:t xml:space="preserve"> to restore biodiversity.</w:t>
            </w:r>
          </w:p>
        </w:tc>
      </w:tr>
      <w:tr w:rsidR="00257A68" w:rsidRPr="000C0B6C" w14:paraId="7A865B83" w14:textId="77777777" w:rsidTr="00D45B52">
        <w:trPr>
          <w:trHeight w:val="224"/>
        </w:trPr>
        <w:tc>
          <w:tcPr>
            <w:tcW w:w="817" w:type="dxa"/>
          </w:tcPr>
          <w:p w14:paraId="48F7EE30" w14:textId="56D127C9" w:rsidR="00257A68" w:rsidRPr="00257A68" w:rsidRDefault="00257A68" w:rsidP="009251C2">
            <w:r>
              <w:lastRenderedPageBreak/>
              <w:t>5</w:t>
            </w:r>
          </w:p>
        </w:tc>
        <w:tc>
          <w:tcPr>
            <w:tcW w:w="1257" w:type="dxa"/>
          </w:tcPr>
          <w:p w14:paraId="6A798625" w14:textId="0909902C" w:rsidR="00257A68" w:rsidRPr="00257A68" w:rsidRDefault="00257A68" w:rsidP="009251C2">
            <w:r w:rsidRPr="00E15055">
              <w:t>Target 3 Analysis</w:t>
            </w:r>
          </w:p>
        </w:tc>
        <w:tc>
          <w:tcPr>
            <w:tcW w:w="8114" w:type="dxa"/>
            <w:gridSpan w:val="2"/>
          </w:tcPr>
          <w:p w14:paraId="531C2A0F" w14:textId="681198A5" w:rsidR="00257A68" w:rsidRPr="00257A68" w:rsidRDefault="00257A68" w:rsidP="009251C2">
            <w:r w:rsidRPr="00257A68">
              <w:t>If Target 3 of the GBF is meant for management of all wild species, the legal wildlife trade must also be mentioned, focusing on more than poaching and trafficking.</w:t>
            </w:r>
          </w:p>
        </w:tc>
      </w:tr>
      <w:tr w:rsidR="00257A68" w:rsidRPr="000C0B6C" w14:paraId="73FD340A" w14:textId="77777777" w:rsidTr="00D45B52">
        <w:trPr>
          <w:trHeight w:val="224"/>
        </w:trPr>
        <w:tc>
          <w:tcPr>
            <w:tcW w:w="817" w:type="dxa"/>
          </w:tcPr>
          <w:p w14:paraId="37288C1C" w14:textId="2C45E8CC" w:rsidR="00257A68" w:rsidRPr="000C0B6C" w:rsidRDefault="00257A68" w:rsidP="009251C2">
            <w:r>
              <w:t>5</w:t>
            </w:r>
          </w:p>
        </w:tc>
        <w:tc>
          <w:tcPr>
            <w:tcW w:w="1257" w:type="dxa"/>
          </w:tcPr>
          <w:p w14:paraId="2993E983" w14:textId="5F7ACBAF" w:rsidR="00257A68" w:rsidRPr="00E15055" w:rsidRDefault="00257A68" w:rsidP="009251C2">
            <w:r>
              <w:t>Target 4 Analysis</w:t>
            </w:r>
          </w:p>
        </w:tc>
        <w:tc>
          <w:tcPr>
            <w:tcW w:w="8114" w:type="dxa"/>
            <w:gridSpan w:val="2"/>
          </w:tcPr>
          <w:p w14:paraId="5E28E779" w14:textId="77777777" w:rsidR="00257A68" w:rsidRPr="00257A68" w:rsidRDefault="00257A68" w:rsidP="009251C2">
            <w:r w:rsidRPr="00257A68">
              <w:t xml:space="preserve">“The GBF could further build on SDG 15.c by including the issue of support for local communities who participate in poaching, allowing them to transition to sustainable livelihoods.” </w:t>
            </w:r>
          </w:p>
          <w:p w14:paraId="6244FBD9" w14:textId="77777777" w:rsidR="00257A68" w:rsidRPr="00257A68" w:rsidRDefault="00257A68" w:rsidP="009251C2"/>
          <w:p w14:paraId="2A720A2D" w14:textId="0B7EAD72" w:rsidR="00257A68" w:rsidRPr="00257A68" w:rsidRDefault="00257A68" w:rsidP="009251C2">
            <w:r w:rsidRPr="00257A68">
              <w:t>This should add empowerment and equal access to capacity building resources for local communities, not just support, to ensure long-term maintenance.</w:t>
            </w:r>
          </w:p>
        </w:tc>
      </w:tr>
      <w:tr w:rsidR="00257A68" w:rsidRPr="000C0B6C" w14:paraId="435624C6" w14:textId="77777777" w:rsidTr="00D45B52">
        <w:trPr>
          <w:trHeight w:val="224"/>
        </w:trPr>
        <w:tc>
          <w:tcPr>
            <w:tcW w:w="817" w:type="dxa"/>
          </w:tcPr>
          <w:p w14:paraId="112D65BF" w14:textId="7EBD268F" w:rsidR="00257A68" w:rsidRPr="00257A68" w:rsidRDefault="00257A68" w:rsidP="009251C2">
            <w:r w:rsidRPr="00257A68">
              <w:t xml:space="preserve">5 </w:t>
            </w:r>
          </w:p>
        </w:tc>
        <w:tc>
          <w:tcPr>
            <w:tcW w:w="1257" w:type="dxa"/>
          </w:tcPr>
          <w:p w14:paraId="15A50A76" w14:textId="138AE094" w:rsidR="00257A68" w:rsidRPr="00257A68" w:rsidRDefault="00257A68" w:rsidP="009251C2">
            <w:r w:rsidRPr="00257A68">
              <w:t>Target 4.4 indicators</w:t>
            </w:r>
          </w:p>
        </w:tc>
        <w:tc>
          <w:tcPr>
            <w:tcW w:w="8114" w:type="dxa"/>
            <w:gridSpan w:val="2"/>
          </w:tcPr>
          <w:p w14:paraId="778EFB93" w14:textId="2304DF89" w:rsidR="00257A68" w:rsidRPr="00257A68" w:rsidRDefault="00257A68" w:rsidP="009251C2">
            <w:r w:rsidRPr="00257A68">
              <w:t>Indicators 4.4.1 and 14.6.1 should be italicized.</w:t>
            </w:r>
          </w:p>
        </w:tc>
      </w:tr>
      <w:tr w:rsidR="00257A68" w:rsidRPr="000C0B6C" w14:paraId="0F5BD545" w14:textId="77777777" w:rsidTr="00D45B52">
        <w:trPr>
          <w:trHeight w:val="224"/>
        </w:trPr>
        <w:tc>
          <w:tcPr>
            <w:tcW w:w="817" w:type="dxa"/>
          </w:tcPr>
          <w:p w14:paraId="3AE65A19" w14:textId="5ED397E0" w:rsidR="00257A68" w:rsidRPr="00257A68" w:rsidRDefault="00257A68" w:rsidP="009251C2">
            <w:r w:rsidRPr="00257A68">
              <w:t>6</w:t>
            </w:r>
          </w:p>
        </w:tc>
        <w:tc>
          <w:tcPr>
            <w:tcW w:w="1257" w:type="dxa"/>
          </w:tcPr>
          <w:p w14:paraId="321B32DF" w14:textId="333114FD" w:rsidR="00257A68" w:rsidRPr="00257A68" w:rsidRDefault="00257A68" w:rsidP="009251C2">
            <w:r w:rsidRPr="00257A68">
              <w:t>Target 6 Analysis</w:t>
            </w:r>
          </w:p>
        </w:tc>
        <w:tc>
          <w:tcPr>
            <w:tcW w:w="8114" w:type="dxa"/>
            <w:gridSpan w:val="2"/>
          </w:tcPr>
          <w:p w14:paraId="587B5AEB" w14:textId="5DA87021" w:rsidR="00257A68" w:rsidRPr="00257A68" w:rsidRDefault="00257A68" w:rsidP="009251C2">
            <w:r w:rsidRPr="00257A68">
              <w:t xml:space="preserve">Pollution reduction should be accompanied with investment in regenerative solutions to transition to non-polluting practices. </w:t>
            </w:r>
          </w:p>
        </w:tc>
      </w:tr>
      <w:tr w:rsidR="00257A68" w:rsidRPr="000C0B6C" w14:paraId="1FCC3F88" w14:textId="77777777" w:rsidTr="00D45B52">
        <w:trPr>
          <w:trHeight w:val="224"/>
        </w:trPr>
        <w:tc>
          <w:tcPr>
            <w:tcW w:w="817" w:type="dxa"/>
          </w:tcPr>
          <w:p w14:paraId="7F4E8176" w14:textId="0ADD2CDC" w:rsidR="00257A68" w:rsidRPr="00257A68" w:rsidRDefault="00257A68" w:rsidP="009251C2">
            <w:r w:rsidRPr="00257A68">
              <w:t>6</w:t>
            </w:r>
          </w:p>
        </w:tc>
        <w:tc>
          <w:tcPr>
            <w:tcW w:w="1257" w:type="dxa"/>
          </w:tcPr>
          <w:p w14:paraId="01C993F1" w14:textId="694F6DAB" w:rsidR="00257A68" w:rsidRPr="00257A68" w:rsidRDefault="00257A68" w:rsidP="009251C2">
            <w:r w:rsidRPr="00257A68">
              <w:t>Target 6 Indicators</w:t>
            </w:r>
          </w:p>
        </w:tc>
        <w:tc>
          <w:tcPr>
            <w:tcW w:w="8114" w:type="dxa"/>
            <w:gridSpan w:val="2"/>
          </w:tcPr>
          <w:p w14:paraId="2D3D32A2" w14:textId="59C2764E" w:rsidR="00257A68" w:rsidRPr="00257A68" w:rsidRDefault="00257A68" w:rsidP="009251C2">
            <w:r w:rsidRPr="00257A68">
              <w:t>Indicators 6.3.2 should be italicized.</w:t>
            </w:r>
          </w:p>
        </w:tc>
      </w:tr>
      <w:tr w:rsidR="00257A68" w:rsidRPr="000C0B6C" w14:paraId="0190CD0E" w14:textId="77777777" w:rsidTr="00D45B52">
        <w:trPr>
          <w:trHeight w:val="224"/>
        </w:trPr>
        <w:tc>
          <w:tcPr>
            <w:tcW w:w="817" w:type="dxa"/>
          </w:tcPr>
          <w:p w14:paraId="52CDD198" w14:textId="2F7C7309" w:rsidR="00257A68" w:rsidRPr="00257A68" w:rsidRDefault="00257A68" w:rsidP="009251C2">
            <w:r w:rsidRPr="00257A68">
              <w:t>8</w:t>
            </w:r>
          </w:p>
        </w:tc>
        <w:tc>
          <w:tcPr>
            <w:tcW w:w="1257" w:type="dxa"/>
          </w:tcPr>
          <w:p w14:paraId="3CEEA8A9" w14:textId="7D300678" w:rsidR="00257A68" w:rsidRPr="00257A68" w:rsidRDefault="00257A68" w:rsidP="009251C2">
            <w:r w:rsidRPr="00257A68">
              <w:t>Target 8 Analysis</w:t>
            </w:r>
          </w:p>
        </w:tc>
        <w:tc>
          <w:tcPr>
            <w:tcW w:w="8114" w:type="dxa"/>
            <w:gridSpan w:val="2"/>
          </w:tcPr>
          <w:p w14:paraId="443F31FB" w14:textId="77777777" w:rsidR="00257A68" w:rsidRPr="00257A68" w:rsidRDefault="00257A68" w:rsidP="009251C2">
            <w:r w:rsidRPr="00257A68">
              <w:t xml:space="preserve">“Target 8’s focus on food security and livelihoods for the most vulnerable people can also serve to strengthen SDG target 14.B, which focuses on the need for access for small scale artisanal fishers to marine resources and markets.” </w:t>
            </w:r>
          </w:p>
          <w:p w14:paraId="476D50AF" w14:textId="77777777" w:rsidR="00257A68" w:rsidRPr="00257A68" w:rsidRDefault="00257A68" w:rsidP="009251C2"/>
          <w:p w14:paraId="2AC924AD" w14:textId="47BD35FF" w:rsidR="00257A68" w:rsidRPr="00257A68" w:rsidRDefault="00257A68" w:rsidP="009251C2">
            <w:r w:rsidRPr="00257A68">
              <w:t>Food security should include more than marine resources and markets. Access to nutritional crops including vegetables and legumes should be mentioned, as well as healthy terrestrial ecosystems which contribute to productive agricultural systems (i.e. through healthy and diverse pollinator populations).</w:t>
            </w:r>
          </w:p>
        </w:tc>
      </w:tr>
      <w:tr w:rsidR="00257A68" w:rsidRPr="000C0B6C" w14:paraId="22A28E2C" w14:textId="77777777" w:rsidTr="00D45B52">
        <w:trPr>
          <w:trHeight w:val="224"/>
        </w:trPr>
        <w:tc>
          <w:tcPr>
            <w:tcW w:w="817" w:type="dxa"/>
          </w:tcPr>
          <w:p w14:paraId="27B43458" w14:textId="1EC731FD" w:rsidR="00257A68" w:rsidRPr="000C0B6C" w:rsidRDefault="00257A68" w:rsidP="009251C2">
            <w:r>
              <w:t>12</w:t>
            </w:r>
          </w:p>
        </w:tc>
        <w:tc>
          <w:tcPr>
            <w:tcW w:w="1257" w:type="dxa"/>
          </w:tcPr>
          <w:p w14:paraId="4748D5FB" w14:textId="490E81BF" w:rsidR="00257A68" w:rsidRPr="000C0B6C" w:rsidRDefault="00257A68" w:rsidP="009251C2">
            <w:r>
              <w:t>Target 11 Analysis</w:t>
            </w:r>
          </w:p>
        </w:tc>
        <w:tc>
          <w:tcPr>
            <w:tcW w:w="8114" w:type="dxa"/>
            <w:gridSpan w:val="2"/>
          </w:tcPr>
          <w:p w14:paraId="5045D8FF" w14:textId="743DC3E6" w:rsidR="00257A68" w:rsidRPr="00257A68" w:rsidRDefault="00257A68" w:rsidP="009251C2">
            <w:r>
              <w:t>Apart from building green/blue spaces, restoration of previously existing green/blue spaces will accomplish the same goal (benefitting human health) while restoring ecosystems.</w:t>
            </w:r>
          </w:p>
        </w:tc>
      </w:tr>
      <w:tr w:rsidR="00257A68" w:rsidRPr="000C0B6C" w14:paraId="69101B4F" w14:textId="77777777" w:rsidTr="00D45B52">
        <w:trPr>
          <w:trHeight w:val="224"/>
        </w:trPr>
        <w:tc>
          <w:tcPr>
            <w:tcW w:w="817" w:type="dxa"/>
          </w:tcPr>
          <w:p w14:paraId="7FEEC057" w14:textId="61B817F3" w:rsidR="00257A68" w:rsidRPr="000C0B6C" w:rsidRDefault="00257A68" w:rsidP="009251C2">
            <w:r>
              <w:t>13</w:t>
            </w:r>
          </w:p>
        </w:tc>
        <w:tc>
          <w:tcPr>
            <w:tcW w:w="1257" w:type="dxa"/>
          </w:tcPr>
          <w:p w14:paraId="0555C2D8" w14:textId="1882B44E" w:rsidR="00257A68" w:rsidRPr="000C0B6C" w:rsidRDefault="00257A68" w:rsidP="009251C2">
            <w:r>
              <w:t>Target 12 Analysis</w:t>
            </w:r>
          </w:p>
        </w:tc>
        <w:tc>
          <w:tcPr>
            <w:tcW w:w="8114" w:type="dxa"/>
            <w:gridSpan w:val="2"/>
          </w:tcPr>
          <w:p w14:paraId="4620880C" w14:textId="1A79D108" w:rsidR="00257A68" w:rsidRPr="000C0B6C" w:rsidRDefault="00257A68" w:rsidP="009251C2">
            <w:r>
              <w:t>Not only universal access to drinking water, but universal access to healthy, quality drinking water.</w:t>
            </w:r>
          </w:p>
        </w:tc>
      </w:tr>
      <w:tr w:rsidR="00257A68" w:rsidRPr="000C0B6C" w14:paraId="5607BB89" w14:textId="77777777" w:rsidTr="00D45B52">
        <w:trPr>
          <w:trHeight w:val="224"/>
        </w:trPr>
        <w:tc>
          <w:tcPr>
            <w:tcW w:w="817" w:type="dxa"/>
          </w:tcPr>
          <w:p w14:paraId="46BE4156" w14:textId="28ED54E0" w:rsidR="00257A68" w:rsidRDefault="00257A68" w:rsidP="009251C2">
            <w:r>
              <w:t>15</w:t>
            </w:r>
          </w:p>
        </w:tc>
        <w:tc>
          <w:tcPr>
            <w:tcW w:w="1257" w:type="dxa"/>
          </w:tcPr>
          <w:p w14:paraId="0BDD6181" w14:textId="6376EAED" w:rsidR="00257A68" w:rsidRDefault="00257A68" w:rsidP="009251C2">
            <w:r>
              <w:t>Target 14 Analysis</w:t>
            </w:r>
          </w:p>
        </w:tc>
        <w:tc>
          <w:tcPr>
            <w:tcW w:w="8114" w:type="dxa"/>
            <w:gridSpan w:val="2"/>
          </w:tcPr>
          <w:p w14:paraId="46F23C7F" w14:textId="27A6D2B3" w:rsidR="00257A68" w:rsidRDefault="00257A68" w:rsidP="009251C2">
            <w:r>
              <w:t>Not only ‘reduce negative impacts on biodiversity through supply chains,’ but promote methods that restore biodiversity and ethical standards.</w:t>
            </w:r>
          </w:p>
        </w:tc>
      </w:tr>
      <w:tr w:rsidR="00257A68" w:rsidRPr="000C0B6C" w14:paraId="1ECADABD" w14:textId="77777777" w:rsidTr="00D45B52">
        <w:trPr>
          <w:trHeight w:val="224"/>
        </w:trPr>
        <w:tc>
          <w:tcPr>
            <w:tcW w:w="817" w:type="dxa"/>
          </w:tcPr>
          <w:p w14:paraId="066AF660" w14:textId="525014E9" w:rsidR="00257A68" w:rsidRDefault="00257A68" w:rsidP="009251C2">
            <w:r>
              <w:t>16</w:t>
            </w:r>
          </w:p>
        </w:tc>
        <w:tc>
          <w:tcPr>
            <w:tcW w:w="1257" w:type="dxa"/>
          </w:tcPr>
          <w:p w14:paraId="507A69EF" w14:textId="3E8B8AD7" w:rsidR="00257A68" w:rsidRDefault="00257A68" w:rsidP="009251C2">
            <w:r>
              <w:t>Target 15 Analysis</w:t>
            </w:r>
          </w:p>
        </w:tc>
        <w:tc>
          <w:tcPr>
            <w:tcW w:w="8114" w:type="dxa"/>
            <w:gridSpan w:val="2"/>
          </w:tcPr>
          <w:p w14:paraId="033EE459" w14:textId="402EAC1B" w:rsidR="00257A68" w:rsidRDefault="00257A68" w:rsidP="009251C2">
            <w:r>
              <w:t xml:space="preserve">Not only ‘reduce waste generation and promote recycling programs,’ but promote circular/doughnut economics that avoid waste, even that which is recyclable.  </w:t>
            </w:r>
          </w:p>
        </w:tc>
      </w:tr>
      <w:tr w:rsidR="00257A68" w:rsidRPr="000C0B6C" w14:paraId="16F3B481" w14:textId="77777777" w:rsidTr="00D45B52">
        <w:trPr>
          <w:trHeight w:val="224"/>
        </w:trPr>
        <w:tc>
          <w:tcPr>
            <w:tcW w:w="817" w:type="dxa"/>
          </w:tcPr>
          <w:p w14:paraId="0D34A79B" w14:textId="1F35B6FF" w:rsidR="00257A68" w:rsidRDefault="00257A68" w:rsidP="009251C2">
            <w:r>
              <w:t>19</w:t>
            </w:r>
          </w:p>
        </w:tc>
        <w:tc>
          <w:tcPr>
            <w:tcW w:w="1257" w:type="dxa"/>
          </w:tcPr>
          <w:p w14:paraId="380E957D" w14:textId="01906746" w:rsidR="00257A68" w:rsidRDefault="00257A68" w:rsidP="009251C2">
            <w:r>
              <w:t>Target 18 Analysis</w:t>
            </w:r>
          </w:p>
        </w:tc>
        <w:tc>
          <w:tcPr>
            <w:tcW w:w="8114" w:type="dxa"/>
            <w:gridSpan w:val="2"/>
          </w:tcPr>
          <w:p w14:paraId="2289AE62" w14:textId="15050F7D" w:rsidR="00257A68" w:rsidRDefault="00257A68" w:rsidP="009251C2">
            <w:r>
              <w:t xml:space="preserve">Add indigenous communities for capacity building and resource mobilization. </w:t>
            </w:r>
          </w:p>
        </w:tc>
      </w:tr>
      <w:tr w:rsidR="00257A68" w:rsidRPr="000C0B6C" w14:paraId="6C58BE1E" w14:textId="77777777" w:rsidTr="00D45B52">
        <w:trPr>
          <w:trHeight w:val="224"/>
        </w:trPr>
        <w:tc>
          <w:tcPr>
            <w:tcW w:w="817" w:type="dxa"/>
          </w:tcPr>
          <w:p w14:paraId="203E7D94" w14:textId="1098C4F1" w:rsidR="00257A68" w:rsidRDefault="00257A68" w:rsidP="009251C2">
            <w:r>
              <w:t>22</w:t>
            </w:r>
          </w:p>
        </w:tc>
        <w:tc>
          <w:tcPr>
            <w:tcW w:w="1257" w:type="dxa"/>
          </w:tcPr>
          <w:p w14:paraId="18644F57" w14:textId="49CB9451" w:rsidR="00257A68" w:rsidRDefault="00257A68" w:rsidP="009251C2">
            <w:r>
              <w:t>Target 20 Analysis</w:t>
            </w:r>
          </w:p>
        </w:tc>
        <w:tc>
          <w:tcPr>
            <w:tcW w:w="8114" w:type="dxa"/>
            <w:gridSpan w:val="2"/>
          </w:tcPr>
          <w:p w14:paraId="5B447566" w14:textId="4FC8F6E9" w:rsidR="00257A68" w:rsidRDefault="00257A68" w:rsidP="009251C2">
            <w:r>
              <w:t xml:space="preserve">Add marginalized communities for empowerment and inclusive, participatory representation. </w:t>
            </w:r>
          </w:p>
        </w:tc>
      </w:tr>
      <w:tr w:rsidR="00257A68" w:rsidRPr="000C0B6C" w14:paraId="570A1001" w14:textId="77777777" w:rsidTr="00D45B52">
        <w:trPr>
          <w:trHeight w:val="224"/>
        </w:trPr>
        <w:tc>
          <w:tcPr>
            <w:tcW w:w="817" w:type="dxa"/>
          </w:tcPr>
          <w:p w14:paraId="4D224331" w14:textId="22121D07" w:rsidR="00257A68" w:rsidRDefault="00257A68" w:rsidP="009251C2">
            <w:r>
              <w:t>24</w:t>
            </w:r>
          </w:p>
        </w:tc>
        <w:tc>
          <w:tcPr>
            <w:tcW w:w="1257" w:type="dxa"/>
          </w:tcPr>
          <w:p w14:paraId="3678935B" w14:textId="3E27FFBA" w:rsidR="00257A68" w:rsidRDefault="00257A68" w:rsidP="009251C2">
            <w:r>
              <w:t>12.4 &amp; 14.1 Notes</w:t>
            </w:r>
          </w:p>
        </w:tc>
        <w:tc>
          <w:tcPr>
            <w:tcW w:w="8114" w:type="dxa"/>
            <w:gridSpan w:val="2"/>
          </w:tcPr>
          <w:p w14:paraId="4AB9DAC2" w14:textId="1A80B463" w:rsidR="00257A68" w:rsidRDefault="00257A68" w:rsidP="009251C2">
            <w:r>
              <w:t>Address light and noise pollution, as well.</w:t>
            </w:r>
          </w:p>
        </w:tc>
      </w:tr>
      <w:tr w:rsidR="00257A68" w:rsidRPr="000C0B6C" w14:paraId="5F6F5960" w14:textId="77777777" w:rsidTr="00D45B52">
        <w:trPr>
          <w:trHeight w:val="224"/>
        </w:trPr>
        <w:tc>
          <w:tcPr>
            <w:tcW w:w="817" w:type="dxa"/>
          </w:tcPr>
          <w:p w14:paraId="613B0981" w14:textId="2D233A2B" w:rsidR="00257A68" w:rsidRDefault="00257A68" w:rsidP="009251C2">
            <w:r>
              <w:t>24</w:t>
            </w:r>
          </w:p>
        </w:tc>
        <w:tc>
          <w:tcPr>
            <w:tcW w:w="1257" w:type="dxa"/>
          </w:tcPr>
          <w:p w14:paraId="30E89738" w14:textId="05759849" w:rsidR="00257A68" w:rsidRDefault="00257A68" w:rsidP="009251C2">
            <w:r>
              <w:t>14.4 Notes</w:t>
            </w:r>
          </w:p>
        </w:tc>
        <w:tc>
          <w:tcPr>
            <w:tcW w:w="8114" w:type="dxa"/>
            <w:gridSpan w:val="2"/>
          </w:tcPr>
          <w:p w14:paraId="65FE14C3" w14:textId="78E087C9" w:rsidR="00257A68" w:rsidRDefault="00257A68" w:rsidP="009251C2">
            <w:r>
              <w:t>Not only to maintain levels to produce sustainable yields, but to ensure the long-term conservation of marine species.</w:t>
            </w:r>
          </w:p>
        </w:tc>
      </w:tr>
      <w:tr w:rsidR="00257A68" w:rsidRPr="000C0B6C" w14:paraId="39E63017" w14:textId="77777777" w:rsidTr="00D45B52">
        <w:trPr>
          <w:trHeight w:val="224"/>
        </w:trPr>
        <w:tc>
          <w:tcPr>
            <w:tcW w:w="817" w:type="dxa"/>
          </w:tcPr>
          <w:p w14:paraId="285D7936" w14:textId="45DE57FD" w:rsidR="00257A68" w:rsidRDefault="00257A68" w:rsidP="009251C2">
            <w:r>
              <w:t>25</w:t>
            </w:r>
          </w:p>
        </w:tc>
        <w:tc>
          <w:tcPr>
            <w:tcW w:w="1257" w:type="dxa"/>
          </w:tcPr>
          <w:p w14:paraId="24FFD467" w14:textId="6F31AABD" w:rsidR="00257A68" w:rsidRDefault="00257A68" w:rsidP="009251C2">
            <w:r>
              <w:t>14.5 Notes</w:t>
            </w:r>
          </w:p>
        </w:tc>
        <w:tc>
          <w:tcPr>
            <w:tcW w:w="8114" w:type="dxa"/>
            <w:gridSpan w:val="2"/>
          </w:tcPr>
          <w:p w14:paraId="05842759" w14:textId="6A2DB069" w:rsidR="00257A68" w:rsidRDefault="00257A68" w:rsidP="009251C2">
            <w:r>
              <w:t xml:space="preserve">Provide percentage above minimum to promote higher goals (ex. “The GBF should include conservation of coastal and marine areas, </w:t>
            </w:r>
            <w:r w:rsidRPr="004444A3">
              <w:rPr>
                <w:i/>
                <w:iCs/>
              </w:rPr>
              <w:t>with the goal of achieving 30%</w:t>
            </w:r>
            <w:r w:rsidRPr="004444A3">
              <w:t>).</w:t>
            </w:r>
          </w:p>
        </w:tc>
      </w:tr>
      <w:tr w:rsidR="00257A68" w:rsidRPr="000C0B6C" w14:paraId="00DA4A24" w14:textId="77777777" w:rsidTr="00D45B52">
        <w:trPr>
          <w:trHeight w:val="224"/>
        </w:trPr>
        <w:tc>
          <w:tcPr>
            <w:tcW w:w="817" w:type="dxa"/>
          </w:tcPr>
          <w:p w14:paraId="0BF9A4EA" w14:textId="1C707B7D" w:rsidR="00257A68" w:rsidRPr="000C0B6C" w:rsidRDefault="00257A68" w:rsidP="007940B3">
            <w:r>
              <w:t>25</w:t>
            </w:r>
          </w:p>
        </w:tc>
        <w:tc>
          <w:tcPr>
            <w:tcW w:w="1257" w:type="dxa"/>
          </w:tcPr>
          <w:p w14:paraId="03384ADA" w14:textId="447A9A39" w:rsidR="00257A68" w:rsidRPr="000C0B6C" w:rsidRDefault="00257A68" w:rsidP="007940B3">
            <w:r>
              <w:t>14.6 Notes</w:t>
            </w:r>
          </w:p>
        </w:tc>
        <w:tc>
          <w:tcPr>
            <w:tcW w:w="8114" w:type="dxa"/>
            <w:gridSpan w:val="2"/>
          </w:tcPr>
          <w:p w14:paraId="219C3642" w14:textId="4C2A10BD" w:rsidR="00257A68" w:rsidRPr="000C0B6C" w:rsidRDefault="00257A68" w:rsidP="007940B3">
            <w:r>
              <w:t xml:space="preserve">To encompass all incentives and subsides which are harmful for biodiversity is important, not just addressing the </w:t>
            </w:r>
            <w:r>
              <w:rPr>
                <w:i/>
                <w:iCs/>
              </w:rPr>
              <w:t>most</w:t>
            </w:r>
            <w:r>
              <w:t xml:space="preserve"> harmful subsidies. </w:t>
            </w:r>
          </w:p>
        </w:tc>
      </w:tr>
      <w:tr w:rsidR="00257A68" w:rsidRPr="000C0B6C" w14:paraId="401F645B" w14:textId="77777777" w:rsidTr="00D45B52">
        <w:trPr>
          <w:trHeight w:val="224"/>
        </w:trPr>
        <w:tc>
          <w:tcPr>
            <w:tcW w:w="817" w:type="dxa"/>
          </w:tcPr>
          <w:p w14:paraId="0344795B" w14:textId="6148429A" w:rsidR="00257A68" w:rsidRDefault="00257A68" w:rsidP="007940B3">
            <w:r>
              <w:lastRenderedPageBreak/>
              <w:t>27</w:t>
            </w:r>
          </w:p>
        </w:tc>
        <w:tc>
          <w:tcPr>
            <w:tcW w:w="1257" w:type="dxa"/>
          </w:tcPr>
          <w:p w14:paraId="74F03FFE" w14:textId="4515591B" w:rsidR="00257A68" w:rsidRDefault="00257A68" w:rsidP="007940B3">
            <w:r>
              <w:t>9</w:t>
            </w:r>
          </w:p>
        </w:tc>
        <w:tc>
          <w:tcPr>
            <w:tcW w:w="8114" w:type="dxa"/>
            <w:gridSpan w:val="2"/>
          </w:tcPr>
          <w:p w14:paraId="3FD3EC5C" w14:textId="58D30E94" w:rsidR="00257A68" w:rsidRDefault="00257A68" w:rsidP="007940B3">
            <w:r>
              <w:t>Add indigenous communities for raising capacity for effective climate change-related planning and management.</w:t>
            </w:r>
          </w:p>
        </w:tc>
      </w:tr>
      <w:tr w:rsidR="00257A68" w:rsidRPr="000C0B6C" w14:paraId="0D3F0894" w14:textId="77777777" w:rsidTr="00D45B52">
        <w:trPr>
          <w:trHeight w:val="224"/>
        </w:trPr>
        <w:tc>
          <w:tcPr>
            <w:tcW w:w="817" w:type="dxa"/>
          </w:tcPr>
          <w:p w14:paraId="021FCAB6" w14:textId="2F886038" w:rsidR="00257A68" w:rsidRPr="000C0B6C" w:rsidRDefault="00257A68" w:rsidP="00D45B52">
            <w:r>
              <w:t>29</w:t>
            </w:r>
          </w:p>
        </w:tc>
        <w:tc>
          <w:tcPr>
            <w:tcW w:w="1257" w:type="dxa"/>
          </w:tcPr>
          <w:p w14:paraId="18B05321" w14:textId="351EBA5B" w:rsidR="00257A68" w:rsidRPr="000C0B6C" w:rsidRDefault="00257A68" w:rsidP="00D45B52">
            <w:r>
              <w:t>15</w:t>
            </w:r>
          </w:p>
        </w:tc>
        <w:tc>
          <w:tcPr>
            <w:tcW w:w="8114" w:type="dxa"/>
            <w:gridSpan w:val="2"/>
          </w:tcPr>
          <w:p w14:paraId="3F71D682" w14:textId="0DB0D355" w:rsidR="00257A68" w:rsidRPr="000C0B6C" w:rsidRDefault="00257A68" w:rsidP="00D45B52">
            <w:r>
              <w:t>Should not only aim to reduce biodiversity impact in production practices and supply chains but promote practices that have a positive effect on biodiversity.</w:t>
            </w:r>
          </w:p>
        </w:tc>
      </w:tr>
      <w:tr w:rsidR="00257A68" w:rsidRPr="000C0B6C" w14:paraId="1BEC6B92" w14:textId="77777777" w:rsidTr="00D45B52">
        <w:trPr>
          <w:trHeight w:val="224"/>
        </w:trPr>
        <w:tc>
          <w:tcPr>
            <w:tcW w:w="817" w:type="dxa"/>
          </w:tcPr>
          <w:p w14:paraId="3428EEEB" w14:textId="51B3397C" w:rsidR="00257A68" w:rsidRPr="000C0B6C" w:rsidRDefault="00257A68" w:rsidP="00D45B52"/>
        </w:tc>
        <w:tc>
          <w:tcPr>
            <w:tcW w:w="1257" w:type="dxa"/>
          </w:tcPr>
          <w:p w14:paraId="216280D8" w14:textId="3BFF7188" w:rsidR="00257A68" w:rsidRPr="000C0B6C" w:rsidRDefault="00257A68" w:rsidP="00D45B52"/>
        </w:tc>
        <w:tc>
          <w:tcPr>
            <w:tcW w:w="8114" w:type="dxa"/>
            <w:gridSpan w:val="2"/>
          </w:tcPr>
          <w:p w14:paraId="5AF59F48" w14:textId="14452740" w:rsidR="00257A68" w:rsidRPr="000C0B6C" w:rsidRDefault="00257A68" w:rsidP="00D45B52"/>
        </w:tc>
      </w:tr>
    </w:tbl>
    <w:p w14:paraId="3F5E71EC" w14:textId="77777777" w:rsidR="00236608" w:rsidRPr="00532BBA" w:rsidRDefault="00236608" w:rsidP="00236608">
      <w:pPr>
        <w:pStyle w:val="Default"/>
        <w:jc w:val="center"/>
        <w:rPr>
          <w:b/>
          <w:sz w:val="22"/>
          <w:szCs w:val="22"/>
          <w:u w:val="single"/>
        </w:rPr>
      </w:pPr>
    </w:p>
    <w:p w14:paraId="254542ED" w14:textId="0BD79F4F" w:rsidR="00236608" w:rsidRPr="00624FAA" w:rsidRDefault="00236608" w:rsidP="00790F3D">
      <w:pPr>
        <w:tabs>
          <w:tab w:val="left" w:pos="5900"/>
        </w:tabs>
        <w:jc w:val="both"/>
        <w:rPr>
          <w:i/>
          <w:szCs w:val="22"/>
        </w:rPr>
      </w:pPr>
      <w:r w:rsidRPr="00624FAA">
        <w:rPr>
          <w:i/>
          <w:sz w:val="22"/>
          <w:szCs w:val="22"/>
        </w:rPr>
        <w:t xml:space="preserve">Comments should be sent by e-mail to </w:t>
      </w:r>
      <w:hyperlink r:id="rId7" w:history="1">
        <w:r w:rsidRPr="00624FAA">
          <w:rPr>
            <w:rStyle w:val="Hyperlink"/>
            <w:i/>
            <w:sz w:val="22"/>
            <w:szCs w:val="22"/>
          </w:rPr>
          <w:t>secretariat@cbd.int</w:t>
        </w:r>
      </w:hyperlink>
      <w:r w:rsidRPr="00153018">
        <w:rPr>
          <w:i/>
          <w:sz w:val="22"/>
          <w:szCs w:val="22"/>
        </w:rPr>
        <w:t xml:space="preserve"> </w:t>
      </w:r>
      <w:r w:rsidR="00790F3D">
        <w:rPr>
          <w:i/>
          <w:sz w:val="22"/>
          <w:szCs w:val="22"/>
        </w:rPr>
        <w:t xml:space="preserve">by </w:t>
      </w:r>
      <w:r w:rsidR="00EE0361">
        <w:rPr>
          <w:i/>
          <w:sz w:val="22"/>
          <w:szCs w:val="22"/>
        </w:rPr>
        <w:t>15 August</w:t>
      </w:r>
      <w:r w:rsidR="00790F3D">
        <w:rPr>
          <w:i/>
          <w:sz w:val="22"/>
          <w:szCs w:val="22"/>
        </w:rPr>
        <w:t xml:space="preserve"> 2020</w:t>
      </w:r>
    </w:p>
    <w:p w14:paraId="48DAF900" w14:textId="5924F03A" w:rsidR="00B51493" w:rsidRDefault="00B51493" w:rsidP="00D93CCA"/>
    <w:sectPr w:rsidR="00B514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CCA"/>
    <w:rsid w:val="00007912"/>
    <w:rsid w:val="00010B8B"/>
    <w:rsid w:val="0002176A"/>
    <w:rsid w:val="0002309A"/>
    <w:rsid w:val="00023C30"/>
    <w:rsid w:val="000479C5"/>
    <w:rsid w:val="00065198"/>
    <w:rsid w:val="000735A9"/>
    <w:rsid w:val="000974F8"/>
    <w:rsid w:val="000B6427"/>
    <w:rsid w:val="000E1BEF"/>
    <w:rsid w:val="000E23C4"/>
    <w:rsid w:val="001177E3"/>
    <w:rsid w:val="001A2ED6"/>
    <w:rsid w:val="001C6A2C"/>
    <w:rsid w:val="00207B11"/>
    <w:rsid w:val="00212D67"/>
    <w:rsid w:val="00220CDA"/>
    <w:rsid w:val="00236608"/>
    <w:rsid w:val="00243A7C"/>
    <w:rsid w:val="00243E39"/>
    <w:rsid w:val="00257A68"/>
    <w:rsid w:val="002636A0"/>
    <w:rsid w:val="002A34D7"/>
    <w:rsid w:val="00302452"/>
    <w:rsid w:val="00334544"/>
    <w:rsid w:val="00352432"/>
    <w:rsid w:val="00354B73"/>
    <w:rsid w:val="00384974"/>
    <w:rsid w:val="003B08FB"/>
    <w:rsid w:val="003D4D34"/>
    <w:rsid w:val="003E4688"/>
    <w:rsid w:val="00404F90"/>
    <w:rsid w:val="00410CAF"/>
    <w:rsid w:val="004233C1"/>
    <w:rsid w:val="00424FF1"/>
    <w:rsid w:val="004444A3"/>
    <w:rsid w:val="00492972"/>
    <w:rsid w:val="004B1D34"/>
    <w:rsid w:val="004C2F65"/>
    <w:rsid w:val="004F0891"/>
    <w:rsid w:val="00504926"/>
    <w:rsid w:val="0053118E"/>
    <w:rsid w:val="005324AB"/>
    <w:rsid w:val="00534BCC"/>
    <w:rsid w:val="00556D5A"/>
    <w:rsid w:val="005707C1"/>
    <w:rsid w:val="00583B97"/>
    <w:rsid w:val="006060BF"/>
    <w:rsid w:val="006125AA"/>
    <w:rsid w:val="00634BC9"/>
    <w:rsid w:val="006409A6"/>
    <w:rsid w:val="00657CF9"/>
    <w:rsid w:val="006773A1"/>
    <w:rsid w:val="006D6AB2"/>
    <w:rsid w:val="00707E1A"/>
    <w:rsid w:val="007464AD"/>
    <w:rsid w:val="00753B3A"/>
    <w:rsid w:val="007556B5"/>
    <w:rsid w:val="00756D47"/>
    <w:rsid w:val="00780D3B"/>
    <w:rsid w:val="0078572C"/>
    <w:rsid w:val="00790F3D"/>
    <w:rsid w:val="007922B1"/>
    <w:rsid w:val="007940B3"/>
    <w:rsid w:val="007C559C"/>
    <w:rsid w:val="00842CCA"/>
    <w:rsid w:val="008A2C19"/>
    <w:rsid w:val="008A7CFD"/>
    <w:rsid w:val="008E7015"/>
    <w:rsid w:val="00902199"/>
    <w:rsid w:val="00946716"/>
    <w:rsid w:val="00953E1C"/>
    <w:rsid w:val="00962E80"/>
    <w:rsid w:val="009B544E"/>
    <w:rsid w:val="00A03132"/>
    <w:rsid w:val="00A15676"/>
    <w:rsid w:val="00A168E3"/>
    <w:rsid w:val="00A20101"/>
    <w:rsid w:val="00A25D3F"/>
    <w:rsid w:val="00A264D6"/>
    <w:rsid w:val="00A32EA2"/>
    <w:rsid w:val="00A51FA4"/>
    <w:rsid w:val="00A7215B"/>
    <w:rsid w:val="00A81E6C"/>
    <w:rsid w:val="00A84F10"/>
    <w:rsid w:val="00A97ADF"/>
    <w:rsid w:val="00AB45CB"/>
    <w:rsid w:val="00AC5934"/>
    <w:rsid w:val="00AF4AD0"/>
    <w:rsid w:val="00B128E7"/>
    <w:rsid w:val="00B36413"/>
    <w:rsid w:val="00B51493"/>
    <w:rsid w:val="00B617ED"/>
    <w:rsid w:val="00BA0A4A"/>
    <w:rsid w:val="00BA7F7E"/>
    <w:rsid w:val="00BB5D8D"/>
    <w:rsid w:val="00BC5DC3"/>
    <w:rsid w:val="00BD481F"/>
    <w:rsid w:val="00BF3078"/>
    <w:rsid w:val="00C2376A"/>
    <w:rsid w:val="00C51DE7"/>
    <w:rsid w:val="00C82F7C"/>
    <w:rsid w:val="00CB5307"/>
    <w:rsid w:val="00CD79ED"/>
    <w:rsid w:val="00CF2933"/>
    <w:rsid w:val="00CF69B9"/>
    <w:rsid w:val="00D43352"/>
    <w:rsid w:val="00D45B52"/>
    <w:rsid w:val="00D9144E"/>
    <w:rsid w:val="00D93CCA"/>
    <w:rsid w:val="00D9525F"/>
    <w:rsid w:val="00DB20C0"/>
    <w:rsid w:val="00E15055"/>
    <w:rsid w:val="00E1577E"/>
    <w:rsid w:val="00E33C0E"/>
    <w:rsid w:val="00E41038"/>
    <w:rsid w:val="00E907B8"/>
    <w:rsid w:val="00EA44F2"/>
    <w:rsid w:val="00EB3C47"/>
    <w:rsid w:val="00ED3E7F"/>
    <w:rsid w:val="00ED524D"/>
    <w:rsid w:val="00EE0361"/>
    <w:rsid w:val="00EE17F5"/>
    <w:rsid w:val="00EE51C5"/>
    <w:rsid w:val="00F112AF"/>
    <w:rsid w:val="00F548CE"/>
    <w:rsid w:val="00FB6D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FB3F"/>
  <w15:chartTrackingRefBased/>
  <w15:docId w15:val="{8ABB2551-FD75-4774-AA7D-5EEB9210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60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6608"/>
    <w:rPr>
      <w:rFonts w:cs="Times New Roman"/>
      <w:color w:val="0000FF"/>
      <w:u w:val="single"/>
    </w:rPr>
  </w:style>
  <w:style w:type="paragraph" w:customStyle="1" w:styleId="Default">
    <w:name w:val="Default"/>
    <w:uiPriority w:val="99"/>
    <w:rsid w:val="002366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CommentText">
    <w:name w:val="annotation text"/>
    <w:basedOn w:val="Normal"/>
    <w:link w:val="CommentTextChar"/>
    <w:uiPriority w:val="99"/>
    <w:semiHidden/>
    <w:unhideWhenUsed/>
    <w:rsid w:val="00236608"/>
    <w:rPr>
      <w:sz w:val="20"/>
      <w:szCs w:val="20"/>
    </w:rPr>
  </w:style>
  <w:style w:type="character" w:customStyle="1" w:styleId="CommentTextChar">
    <w:name w:val="Comment Text Char"/>
    <w:basedOn w:val="DefaultParagraphFont"/>
    <w:link w:val="CommentText"/>
    <w:uiPriority w:val="99"/>
    <w:semiHidden/>
    <w:rsid w:val="002366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rsid w:val="00236608"/>
    <w:rPr>
      <w:b/>
      <w:bCs/>
    </w:rPr>
  </w:style>
  <w:style w:type="character" w:customStyle="1" w:styleId="CommentSubjectChar">
    <w:name w:val="Comment Subject Char"/>
    <w:basedOn w:val="CommentTextChar"/>
    <w:link w:val="CommentSubject"/>
    <w:uiPriority w:val="99"/>
    <w:rsid w:val="00236608"/>
    <w:rPr>
      <w:rFonts w:ascii="Times New Roman" w:eastAsia="Times New Roman" w:hAnsi="Times New Roman" w:cs="Times New Roman"/>
      <w:b/>
      <w:bCs/>
      <w:sz w:val="20"/>
      <w:szCs w:val="20"/>
      <w:lang w:val="en-US"/>
    </w:rPr>
  </w:style>
  <w:style w:type="paragraph" w:customStyle="1" w:styleId="Form">
    <w:name w:val="Form"/>
    <w:basedOn w:val="Normal"/>
    <w:uiPriority w:val="99"/>
    <w:rsid w:val="00236608"/>
    <w:pPr>
      <w:autoSpaceDE w:val="0"/>
      <w:autoSpaceDN w:val="0"/>
      <w:adjustRightInd w:val="0"/>
      <w:spacing w:before="60" w:after="60"/>
    </w:pPr>
    <w:rPr>
      <w:rFonts w:ascii="Arial" w:eastAsia="MS Mincho" w:hAnsi="Arial" w:cs="Arial"/>
      <w:sz w:val="16"/>
    </w:rPr>
  </w:style>
  <w:style w:type="character" w:styleId="CommentReference">
    <w:name w:val="annotation reference"/>
    <w:basedOn w:val="DefaultParagraphFont"/>
    <w:uiPriority w:val="99"/>
    <w:semiHidden/>
    <w:unhideWhenUsed/>
    <w:rsid w:val="00534BCC"/>
    <w:rPr>
      <w:sz w:val="16"/>
      <w:szCs w:val="16"/>
    </w:rPr>
  </w:style>
  <w:style w:type="paragraph" w:styleId="BalloonText">
    <w:name w:val="Balloon Text"/>
    <w:basedOn w:val="Normal"/>
    <w:link w:val="BalloonTextChar"/>
    <w:uiPriority w:val="99"/>
    <w:semiHidden/>
    <w:unhideWhenUsed/>
    <w:rsid w:val="00534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BC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ecretariat@cbd.i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8E5421389A9C45B9715F4635D04BA2" ma:contentTypeVersion="4" ma:contentTypeDescription="Create a new document." ma:contentTypeScope="" ma:versionID="c9f52f57bb19d3444f42fed33c61a0a8">
  <xsd:schema xmlns:xsd="http://www.w3.org/2001/XMLSchema" xmlns:xs="http://www.w3.org/2001/XMLSchema" xmlns:p="http://schemas.microsoft.com/office/2006/metadata/properties" xmlns:ns3="44a14099-cec4-4adc-a615-00f5e506ea84" targetNamespace="http://schemas.microsoft.com/office/2006/metadata/properties" ma:root="true" ma:fieldsID="de152265d4e971181488395f72506170" ns3:_="">
    <xsd:import namespace="44a14099-cec4-4adc-a615-00f5e506ea8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14099-cec4-4adc-a615-00f5e506e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AD2B3A-6508-431F-917D-92474158A9E1}">
  <ds:schemaRefs>
    <ds:schemaRef ds:uri="http://schemas.microsoft.com/sharepoint/v3/contenttype/forms"/>
  </ds:schemaRefs>
</ds:datastoreItem>
</file>

<file path=customXml/itemProps2.xml><?xml version="1.0" encoding="utf-8"?>
<ds:datastoreItem xmlns:ds="http://schemas.openxmlformats.org/officeDocument/2006/customXml" ds:itemID="{03FECA71-57C8-4A5D-B57E-8940CEBA60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2D3070-FA56-45D7-9A9F-A8720FB71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14099-cec4-4adc-a615-00f5e506e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841</Words>
  <Characters>4796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Noonan Mooney</dc:creator>
  <cp:keywords/>
  <dc:description/>
  <cp:lastModifiedBy>Jessica Bridgers</cp:lastModifiedBy>
  <cp:revision>2</cp:revision>
  <dcterms:created xsi:type="dcterms:W3CDTF">2020-08-14T22:43:00Z</dcterms:created>
  <dcterms:modified xsi:type="dcterms:W3CDTF">2020-08-14T22:43:00Z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0x0101003B8E5421389A9C45B9715F4635D04BA2</vt:lpwstr>
  </property>
</Properties>
</file>