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Collegamentoipertestuale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Collegamentoipertestuale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Collegamentoipertestuale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Paragrafoelenco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Collegamentoipertestuale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097791F8" w:rsidR="006D0214" w:rsidRPr="007861DC" w:rsidRDefault="006D0214" w:rsidP="006D0214">
      <w:pPr>
        <w:pStyle w:val="Paragrafoelenco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Collegamentoipertestuale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3E75F44C" w14:textId="4E29EDBC" w:rsidR="007861DC" w:rsidRDefault="007861DC" w:rsidP="007861DC">
      <w:pPr>
        <w:pStyle w:val="Paragrafoelenco"/>
        <w:jc w:val="both"/>
        <w:rPr>
          <w:iCs/>
        </w:rPr>
      </w:pPr>
    </w:p>
    <w:p w14:paraId="39114D3C" w14:textId="29F6EB3E" w:rsidR="007861DC" w:rsidRPr="008300A7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14:paraId="3992353E" w14:textId="77777777" w:rsidR="007861DC" w:rsidRPr="007861DC" w:rsidRDefault="007861DC" w:rsidP="007861DC">
      <w:pPr>
        <w:pStyle w:val="Paragrafoelenco"/>
        <w:jc w:val="both"/>
        <w:rPr>
          <w:iCs/>
        </w:rPr>
      </w:pPr>
    </w:p>
    <w:p w14:paraId="18A6B862" w14:textId="77777777" w:rsidR="007861DC" w:rsidRPr="006D0214" w:rsidRDefault="007861DC" w:rsidP="007861DC">
      <w:pPr>
        <w:pStyle w:val="Paragrafoelenco"/>
        <w:jc w:val="both"/>
        <w:rPr>
          <w:i/>
        </w:rPr>
      </w:pPr>
    </w:p>
    <w:p w14:paraId="22E65D04" w14:textId="77777777" w:rsidR="006D0214" w:rsidRDefault="006D0214" w:rsidP="006D0214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Grigliatabella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3013B607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27936B3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GA1. Increased extent of natural ecosystems (terrestrial, freshwater and marine ecosystems) 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F345535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area of forest ecosystems</w:t>
            </w:r>
          </w:p>
        </w:tc>
        <w:tc>
          <w:tcPr>
            <w:tcW w:w="1787" w:type="dxa"/>
            <w:shd w:val="clear" w:color="auto" w:fill="auto"/>
          </w:tcPr>
          <w:p w14:paraId="05B5A68D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Forest area as a percentage of total land area </w:t>
            </w:r>
          </w:p>
        </w:tc>
        <w:tc>
          <w:tcPr>
            <w:tcW w:w="1489" w:type="dxa"/>
            <w:shd w:val="clear" w:color="auto" w:fill="auto"/>
          </w:tcPr>
          <w:p w14:paraId="24C32FF6" w14:textId="77777777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  <w:p w14:paraId="6F13C7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4E5291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665352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3B44FE4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7699EF1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1990-2015</w:t>
            </w:r>
          </w:p>
        </w:tc>
        <w:tc>
          <w:tcPr>
            <w:tcW w:w="1340" w:type="dxa"/>
            <w:shd w:val="clear" w:color="auto" w:fill="auto"/>
          </w:tcPr>
          <w:p w14:paraId="1A035779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0D3F8138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584D070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1E136E8A" w14:textId="5EFD984D" w:rsidR="00FC6E3F" w:rsidRPr="00292092" w:rsidRDefault="00884A53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A84532F" w14:textId="77777777" w:rsidR="00FC6E3F" w:rsidRPr="00292092" w:rsidRDefault="00FC6E3F" w:rsidP="001D764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Y </w:t>
            </w:r>
          </w:p>
          <w:p w14:paraId="717834F9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15.1.1</w:t>
            </w:r>
          </w:p>
        </w:tc>
        <w:tc>
          <w:tcPr>
            <w:tcW w:w="1794" w:type="dxa"/>
            <w:shd w:val="clear" w:color="auto" w:fill="auto"/>
          </w:tcPr>
          <w:p w14:paraId="2B951AD0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123255D6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C6E3F" w:rsidRPr="004F7374" w14:paraId="70161528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F3B08B9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GA4. Increase the number and health of common species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6CAADC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species abundance</w:t>
            </w:r>
          </w:p>
        </w:tc>
        <w:tc>
          <w:tcPr>
            <w:tcW w:w="1787" w:type="dxa"/>
            <w:shd w:val="clear" w:color="auto" w:fill="auto"/>
          </w:tcPr>
          <w:p w14:paraId="78795579" w14:textId="4316CBA5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Living Planet Index (LPI)</w:t>
            </w:r>
          </w:p>
          <w:p w14:paraId="61D10D46" w14:textId="77777777" w:rsidR="00FC6E3F" w:rsidRPr="00292092" w:rsidRDefault="00FC6E3F" w:rsidP="001D764F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2BF71C42" w14:textId="77777777" w:rsidR="00FC6E3F" w:rsidRPr="00292092" w:rsidRDefault="00FC6E3F" w:rsidP="001D764F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ZSL/WWF</w:t>
            </w:r>
          </w:p>
          <w:p w14:paraId="4203E40C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A50728F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B479563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343AF512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4D881FD" w14:textId="62B1A32F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1970</w:t>
            </w:r>
            <w:r w:rsidR="00884A5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available every 2 years</w:t>
            </w:r>
          </w:p>
        </w:tc>
        <w:tc>
          <w:tcPr>
            <w:tcW w:w="1340" w:type="dxa"/>
            <w:shd w:val="clear" w:color="auto" w:fill="auto"/>
          </w:tcPr>
          <w:p w14:paraId="10FFA792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ACC4BA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A7F27A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B21E1C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2DE05A07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12EA8F3E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CMS, Ramsar, IPBES</w:t>
            </w:r>
          </w:p>
        </w:tc>
        <w:tc>
          <w:tcPr>
            <w:tcW w:w="1794" w:type="dxa"/>
          </w:tcPr>
          <w:p w14:paraId="4B86090D" w14:textId="77777777" w:rsidR="00FC6E3F" w:rsidRPr="00292092" w:rsidRDefault="00FC6E3F" w:rsidP="001D764F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1A368CC8" w14:textId="4989A52B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9C381D7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C58DCE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181ECAC2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055233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D64C677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E1E828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3382FAF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2E3BCB6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35CB752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95AF7C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FC6E3F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C9EF850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9A8F62C" w14:textId="77777777" w:rsidR="00FC6E3F" w:rsidRDefault="00FC6E3F" w:rsidP="001D764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F8B90B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DFCAA4" w14:textId="77777777" w:rsidR="00FC6E3F" w:rsidRDefault="00FC6E3F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D6DC1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44DDBC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49F5950C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6D63BDD4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676715E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8E7E6A9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88AE1F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Grigliatabella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0913CC9D" w:rsidR="00FD0318" w:rsidRPr="007D6F80" w:rsidRDefault="00955F05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T4.1. Harvest is legal, sustainable and safe for human health and 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7A0E8242" w:rsidR="00FD0318" w:rsidRPr="007D6F80" w:rsidRDefault="007D6F80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proportion of biological resources harvested legally</w:t>
            </w:r>
          </w:p>
        </w:tc>
        <w:tc>
          <w:tcPr>
            <w:tcW w:w="1787" w:type="dxa"/>
            <w:shd w:val="clear" w:color="auto" w:fill="auto"/>
          </w:tcPr>
          <w:p w14:paraId="52D0B6E8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Red List Index </w:t>
            </w:r>
          </w:p>
          <w:p w14:paraId="674BFC0F" w14:textId="606D0E76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5AF64AB" w14:textId="77777777" w:rsidR="00FD0318" w:rsidRPr="007D6F80" w:rsidRDefault="00FD031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IUCN &amp; </w:t>
            </w:r>
            <w:proofErr w:type="spellStart"/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BirdLife</w:t>
            </w:r>
            <w:proofErr w:type="spellEnd"/>
            <w:r w:rsidRPr="007D6F80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International</w:t>
            </w:r>
          </w:p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2906FB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2CA373B4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EFF1774" w14:textId="098E3F11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1993</w:t>
            </w:r>
            <w:r w:rsidR="4342986A"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updated annually</w:t>
            </w:r>
          </w:p>
        </w:tc>
        <w:tc>
          <w:tcPr>
            <w:tcW w:w="1340" w:type="dxa"/>
            <w:shd w:val="clear" w:color="auto" w:fill="auto"/>
          </w:tcPr>
          <w:p w14:paraId="3B337FC1" w14:textId="6A303F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0FF51ADF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38C6513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29B27A6" w14:textId="258AEAC8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70E21E02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2DA628D1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15.5.1</w:t>
            </w:r>
          </w:p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1E26DBF8" w:rsidR="00FD0318" w:rsidRPr="007D6F80" w:rsidRDefault="004B55FA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CMS, IPBES, Ramsar</w:t>
            </w: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46BD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242E11" w14:textId="3C18AF8E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T6.4. Reduction of pollution from other sources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0083737" w14:textId="76F2CC8B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levels of pollution from sediments</w:t>
            </w:r>
          </w:p>
        </w:tc>
        <w:tc>
          <w:tcPr>
            <w:tcW w:w="1787" w:type="dxa"/>
            <w:shd w:val="clear" w:color="auto" w:fill="auto"/>
          </w:tcPr>
          <w:p w14:paraId="51BB6611" w14:textId="1CC1ABAA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 of Coastal Eutrophication</w:t>
            </w:r>
          </w:p>
        </w:tc>
        <w:tc>
          <w:tcPr>
            <w:tcW w:w="1489" w:type="dxa"/>
            <w:shd w:val="clear" w:color="auto" w:fill="auto"/>
          </w:tcPr>
          <w:p w14:paraId="59688D0E" w14:textId="5F51978C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UNEP / IOC-UNESCO</w:t>
            </w:r>
          </w:p>
        </w:tc>
        <w:tc>
          <w:tcPr>
            <w:tcW w:w="1194" w:type="dxa"/>
            <w:shd w:val="clear" w:color="auto" w:fill="auto"/>
          </w:tcPr>
          <w:p w14:paraId="1AF83645" w14:textId="582FB1F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1" w:type="dxa"/>
            <w:shd w:val="clear" w:color="auto" w:fill="auto"/>
          </w:tcPr>
          <w:p w14:paraId="3F46A2EC" w14:textId="38CA73D2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042" w:type="dxa"/>
            <w:shd w:val="clear" w:color="auto" w:fill="auto"/>
          </w:tcPr>
          <w:p w14:paraId="13E517DF" w14:textId="393BED3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D17B36" w14:textId="49CA102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Every 5 years</w:t>
            </w:r>
          </w:p>
        </w:tc>
        <w:tc>
          <w:tcPr>
            <w:tcW w:w="1340" w:type="dxa"/>
            <w:shd w:val="clear" w:color="auto" w:fill="auto"/>
          </w:tcPr>
          <w:p w14:paraId="3D709F1C" w14:textId="20E5D3D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94BC81" w14:textId="05EE4550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1077B4" w14:textId="767BC981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CD223D" w14:textId="495411C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7D9E82D" w14:textId="77777777" w:rsidR="00B346BD" w:rsidRPr="00292092" w:rsidRDefault="00B346BD" w:rsidP="00B346BD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63A73CB9" w14:textId="2DAD01E8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29209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14.1.1a</w:t>
            </w:r>
          </w:p>
        </w:tc>
        <w:tc>
          <w:tcPr>
            <w:tcW w:w="1794" w:type="dxa"/>
            <w:shd w:val="clear" w:color="auto" w:fill="auto"/>
          </w:tcPr>
          <w:p w14:paraId="21D178C0" w14:textId="23ABD41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13DD6A35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5296807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0888565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5EA959F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0C0B6C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0C0B6C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r w:rsidRPr="007861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0C0B6C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0C0B6C" w:rsidRDefault="007861DC" w:rsidP="00A7169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0C0B6C" w:rsidRDefault="007861DC" w:rsidP="00A71694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="007861DC" w:rsidRPr="000C0B6C" w14:paraId="719493AC" w14:textId="77777777" w:rsidTr="00911866">
        <w:trPr>
          <w:trHeight w:val="139"/>
        </w:trPr>
        <w:tc>
          <w:tcPr>
            <w:tcW w:w="2643" w:type="dxa"/>
          </w:tcPr>
          <w:p w14:paraId="0B5A2C0E" w14:textId="77777777" w:rsidR="007861DC" w:rsidRPr="000C0B6C" w:rsidRDefault="007861DC" w:rsidP="00A71694">
            <w:r w:rsidRPr="000C0B6C">
              <w:t>0</w:t>
            </w:r>
          </w:p>
        </w:tc>
        <w:tc>
          <w:tcPr>
            <w:tcW w:w="17480" w:type="dxa"/>
          </w:tcPr>
          <w:p w14:paraId="1D58C544" w14:textId="62FCC70C" w:rsidR="007861DC" w:rsidRPr="000C0B6C" w:rsidRDefault="000037D7" w:rsidP="009A05AB">
            <w:r>
              <w:t xml:space="preserve">General comment: it is essential to try to </w:t>
            </w:r>
            <w:r w:rsidR="009A05AB">
              <w:t>focus</w:t>
            </w:r>
            <w:r>
              <w:t xml:space="preserve"> on core indicators to </w:t>
            </w:r>
            <w:proofErr w:type="gramStart"/>
            <w:r>
              <w:t>be chosen</w:t>
            </w:r>
            <w:proofErr w:type="gramEnd"/>
            <w:r>
              <w:t xml:space="preserve">. </w:t>
            </w:r>
            <w:r w:rsidR="009A05AB">
              <w:t>At this aim, i</w:t>
            </w:r>
            <w:bookmarkStart w:id="1" w:name="_GoBack"/>
            <w:bookmarkEnd w:id="1"/>
            <w:r>
              <w:t>t could be useful to select SDGs indicators.</w:t>
            </w:r>
          </w:p>
        </w:tc>
      </w:tr>
      <w:tr w:rsidR="007861DC" w:rsidRPr="000C0B6C" w14:paraId="04DFD7F9" w14:textId="77777777" w:rsidTr="00911866">
        <w:trPr>
          <w:trHeight w:val="134"/>
        </w:trPr>
        <w:tc>
          <w:tcPr>
            <w:tcW w:w="2643" w:type="dxa"/>
          </w:tcPr>
          <w:p w14:paraId="6BF222BF" w14:textId="46560B13" w:rsidR="007861DC" w:rsidRPr="000C0B6C" w:rsidRDefault="007861DC" w:rsidP="00A71694"/>
        </w:tc>
        <w:tc>
          <w:tcPr>
            <w:tcW w:w="17480" w:type="dxa"/>
          </w:tcPr>
          <w:p w14:paraId="432BDD91" w14:textId="614F9D65" w:rsidR="007861DC" w:rsidRPr="000C0B6C" w:rsidRDefault="007861DC" w:rsidP="00A71694"/>
        </w:tc>
      </w:tr>
      <w:tr w:rsidR="007861DC" w:rsidRPr="000C0B6C" w14:paraId="6C885495" w14:textId="77777777" w:rsidTr="00911866">
        <w:trPr>
          <w:trHeight w:val="134"/>
        </w:trPr>
        <w:tc>
          <w:tcPr>
            <w:tcW w:w="2643" w:type="dxa"/>
          </w:tcPr>
          <w:p w14:paraId="1C499DC4" w14:textId="77777777" w:rsidR="007861DC" w:rsidRPr="000C0B6C" w:rsidRDefault="007861DC" w:rsidP="00A71694"/>
        </w:tc>
        <w:tc>
          <w:tcPr>
            <w:tcW w:w="17480" w:type="dxa"/>
          </w:tcPr>
          <w:p w14:paraId="4F362DD0" w14:textId="5802D9D3" w:rsidR="007861DC" w:rsidRPr="000C0B6C" w:rsidRDefault="007861DC" w:rsidP="00A71694"/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sectPr w:rsidR="007861DC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44553" w14:textId="77777777" w:rsidR="00BD3826" w:rsidRDefault="00BD3826" w:rsidP="00371075">
      <w:pPr>
        <w:spacing w:after="0" w:line="240" w:lineRule="auto"/>
      </w:pPr>
      <w:r>
        <w:separator/>
      </w:r>
    </w:p>
  </w:endnote>
  <w:endnote w:type="continuationSeparator" w:id="0">
    <w:p w14:paraId="48ECEC00" w14:textId="77777777" w:rsidR="00BD3826" w:rsidRDefault="00BD3826" w:rsidP="00371075">
      <w:pPr>
        <w:spacing w:after="0" w:line="240" w:lineRule="auto"/>
      </w:pPr>
      <w:r>
        <w:continuationSeparator/>
      </w:r>
    </w:p>
  </w:endnote>
  <w:endnote w:type="continuationNotice" w:id="1">
    <w:p w14:paraId="17212CD9" w14:textId="77777777" w:rsidR="00BD3826" w:rsidRDefault="00BD3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C2110" w14:textId="77777777" w:rsidR="00BD3826" w:rsidRDefault="00BD3826" w:rsidP="00371075">
      <w:pPr>
        <w:spacing w:after="0" w:line="240" w:lineRule="auto"/>
      </w:pPr>
      <w:r>
        <w:separator/>
      </w:r>
    </w:p>
  </w:footnote>
  <w:footnote w:type="continuationSeparator" w:id="0">
    <w:p w14:paraId="2A32C581" w14:textId="77777777" w:rsidR="00BD3826" w:rsidRDefault="00BD3826" w:rsidP="00371075">
      <w:pPr>
        <w:spacing w:after="0" w:line="240" w:lineRule="auto"/>
      </w:pPr>
      <w:r>
        <w:continuationSeparator/>
      </w:r>
    </w:p>
  </w:footnote>
  <w:footnote w:type="continuationNotice" w:id="1">
    <w:p w14:paraId="54B81109" w14:textId="77777777" w:rsidR="00BD3826" w:rsidRDefault="00BD3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A6A9" w14:textId="4B83494F" w:rsidR="00371075" w:rsidRDefault="00371075">
    <w:pPr>
      <w:pStyle w:val="Intestazione"/>
    </w:pPr>
  </w:p>
  <w:p w14:paraId="3736A995" w14:textId="792AD04A" w:rsidR="00371075" w:rsidRDefault="003710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7D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43D5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5AB"/>
    <w:rsid w:val="009A0AE4"/>
    <w:rsid w:val="009A2F40"/>
    <w:rsid w:val="009A5512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4CD3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2F31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3826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2FE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4C9"/>
  </w:style>
  <w:style w:type="paragraph" w:styleId="Titolo2">
    <w:name w:val="heading 2"/>
    <w:basedOn w:val="Normale"/>
    <w:next w:val="Normale"/>
    <w:link w:val="Titolo2Carattere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704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04C9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704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C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C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Carpredefinitoparagrafo"/>
    <w:rsid w:val="00BF25DC"/>
  </w:style>
  <w:style w:type="character" w:customStyle="1" w:styleId="eop">
    <w:name w:val="eop"/>
    <w:basedOn w:val="Carpredefinitoparagrafo"/>
    <w:rsid w:val="00BF25DC"/>
  </w:style>
  <w:style w:type="paragraph" w:styleId="Intestazione">
    <w:name w:val="header"/>
    <w:basedOn w:val="Normale"/>
    <w:link w:val="IntestazioneCarattere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075"/>
  </w:style>
  <w:style w:type="paragraph" w:styleId="Pidipagina">
    <w:name w:val="footer"/>
    <w:basedOn w:val="Normale"/>
    <w:link w:val="PidipaginaCarattere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075"/>
  </w:style>
  <w:style w:type="character" w:styleId="Collegamentoipertestuale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7F266-14A0-4C3D-B7FF-EF884AC0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Utente Windows</cp:lastModifiedBy>
  <cp:revision>4</cp:revision>
  <dcterms:created xsi:type="dcterms:W3CDTF">2020-08-13T16:36:00Z</dcterms:created>
  <dcterms:modified xsi:type="dcterms:W3CDTF">2020-08-14T09:26:00Z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