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0C59F" w14:textId="38A7AA29"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51111543" w:rsidR="00236608" w:rsidRPr="000C0B6C" w:rsidRDefault="002B61CB" w:rsidP="009251C2">
            <w:r>
              <w:t>Yamano</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17697D17" w:rsidR="00236608" w:rsidRPr="000C0B6C" w:rsidRDefault="002B61CB" w:rsidP="009251C2">
            <w:r>
              <w:t>Hiroya</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2CD29543" w:rsidR="00236608" w:rsidRPr="000C0B6C" w:rsidRDefault="00C607D9" w:rsidP="009251C2">
            <w:r>
              <w:t xml:space="preserve">Biodiversity Division, </w:t>
            </w:r>
            <w:bookmarkStart w:id="0" w:name="_GoBack"/>
            <w:bookmarkEnd w:id="0"/>
            <w:r w:rsidR="002B61CB">
              <w:t>National Institute for Environmental Studies</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5C9E67CC" w:rsidR="00236608" w:rsidRPr="000C0B6C" w:rsidRDefault="002B61CB" w:rsidP="009251C2">
            <w:r>
              <w:t>16-2 Onogawa</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4400EF9A" w:rsidR="00236608" w:rsidRPr="000C0B6C" w:rsidRDefault="002B61CB" w:rsidP="009251C2">
            <w:r>
              <w:t>Tsukuba</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1D7B5935" w:rsidR="00236608" w:rsidRPr="000C0B6C" w:rsidRDefault="002B61CB" w:rsidP="009251C2">
            <w:r>
              <w:t>Japan</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a6"/>
              <w:rPr>
                <w:sz w:val="22"/>
                <w:szCs w:val="22"/>
              </w:rPr>
            </w:pPr>
            <w:r w:rsidRPr="000C0B6C">
              <w:rPr>
                <w:sz w:val="22"/>
                <w:szCs w:val="22"/>
              </w:rPr>
              <w:t>E-mail:</w:t>
            </w:r>
          </w:p>
        </w:tc>
        <w:tc>
          <w:tcPr>
            <w:tcW w:w="6102" w:type="dxa"/>
          </w:tcPr>
          <w:p w14:paraId="118A29DB" w14:textId="201A183A" w:rsidR="00236608" w:rsidRPr="000C0B6C" w:rsidRDefault="002B61CB" w:rsidP="009251C2">
            <w:r>
              <w:t>hyamano@nies.go.jp</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D7653B" w:rsidRPr="000C0B6C" w14:paraId="0749A6BF" w14:textId="77777777" w:rsidTr="002C0D5B">
        <w:trPr>
          <w:trHeight w:val="224"/>
        </w:trPr>
        <w:tc>
          <w:tcPr>
            <w:tcW w:w="10188" w:type="dxa"/>
            <w:gridSpan w:val="4"/>
          </w:tcPr>
          <w:p w14:paraId="7429EBD8" w14:textId="0728EC77" w:rsidR="00D7653B" w:rsidRPr="000C0B6C" w:rsidRDefault="00D7653B" w:rsidP="009251C2">
            <w:pPr>
              <w:rPr>
                <w:b/>
                <w:sz w:val="22"/>
                <w:szCs w:val="22"/>
              </w:rPr>
            </w:pPr>
            <w:r w:rsidRPr="00DA2764">
              <w:t xml:space="preserve">Visioning “the 2050 Vision for Biodiversity”: The 2050 Vision should vary among communities, societies, or cultural backgrounds. The individual visioning and opening the process would be necessarily to raise the awareness and achieve the goals and the vision which the CBD raised up. These processes would also enable the community to set the scenario and the more detailed goals in a local scale. </w:t>
            </w:r>
          </w:p>
        </w:tc>
      </w:tr>
      <w:tr w:rsidR="00D7653B" w:rsidRPr="000C0B6C" w14:paraId="7ABFA388" w14:textId="77777777" w:rsidTr="002C0D5B">
        <w:trPr>
          <w:trHeight w:val="224"/>
        </w:trPr>
        <w:tc>
          <w:tcPr>
            <w:tcW w:w="10188" w:type="dxa"/>
            <w:gridSpan w:val="4"/>
          </w:tcPr>
          <w:p w14:paraId="560E3978" w14:textId="48043F3C" w:rsidR="00D7653B" w:rsidRPr="000C0B6C" w:rsidRDefault="00D7653B" w:rsidP="009251C2">
            <w:pPr>
              <w:rPr>
                <w:b/>
                <w:sz w:val="22"/>
                <w:szCs w:val="22"/>
              </w:rPr>
            </w:pPr>
            <w:r w:rsidRPr="00DA2764">
              <w:t xml:space="preserve">Encouragement of bottom-up approaches: As a bottom-up approach is effective for solving the local biodiversity issues, the methodology to achieve the goals should encourage bottom-up approaches and the local community’s engagement. </w:t>
            </w:r>
          </w:p>
        </w:tc>
      </w:tr>
      <w:tr w:rsidR="008C7855" w:rsidRPr="000C0B6C" w14:paraId="245B7828" w14:textId="77777777" w:rsidTr="002C0D5B">
        <w:trPr>
          <w:trHeight w:val="224"/>
        </w:trPr>
        <w:tc>
          <w:tcPr>
            <w:tcW w:w="10188" w:type="dxa"/>
            <w:gridSpan w:val="4"/>
          </w:tcPr>
          <w:p w14:paraId="2C64714E" w14:textId="1E7A0DFB" w:rsidR="008C7855" w:rsidRPr="00D7653B" w:rsidRDefault="00D7653B" w:rsidP="009251C2">
            <w:r w:rsidRPr="00D7653B">
              <w:t>I can’t find any descriptions about water quality and recharge of “groundwater”. Just mentioning “freshwater” does not make people recognize the importance of “groundwater”. Supply and quality of groundwater can directly influence ecosystem services (e.g., drinking water, flood control, crop production). Despite this importance, groundwaters are contaminated (particularly by nitrate) all over the world. I would recommend adding a brief and clear definition of “freshwater” like “freshwaters (not only surface water but also ground water)”.</w:t>
            </w: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802BF" w:rsidRPr="000C0B6C" w14:paraId="1BE62C61" w14:textId="77777777" w:rsidTr="009251C2">
        <w:trPr>
          <w:trHeight w:val="224"/>
        </w:trPr>
        <w:tc>
          <w:tcPr>
            <w:tcW w:w="818" w:type="dxa"/>
          </w:tcPr>
          <w:p w14:paraId="7B2D7607" w14:textId="67834E89" w:rsidR="002802BF" w:rsidRPr="000C0B6C" w:rsidRDefault="002802BF" w:rsidP="009251C2">
            <w:pPr>
              <w:rPr>
                <w:b/>
                <w:sz w:val="22"/>
                <w:szCs w:val="22"/>
              </w:rPr>
            </w:pPr>
            <w:r w:rsidRPr="002802BF">
              <w:rPr>
                <w:rFonts w:eastAsiaTheme="minorEastAsia"/>
                <w:lang w:eastAsia="ja-JP"/>
              </w:rPr>
              <w:t>3</w:t>
            </w:r>
          </w:p>
        </w:tc>
        <w:tc>
          <w:tcPr>
            <w:tcW w:w="1231" w:type="dxa"/>
          </w:tcPr>
          <w:p w14:paraId="1A15EB92" w14:textId="3368C82B" w:rsidR="002802BF" w:rsidRDefault="002802BF" w:rsidP="009251C2">
            <w:pPr>
              <w:rPr>
                <w:b/>
                <w:sz w:val="22"/>
                <w:szCs w:val="22"/>
              </w:rPr>
            </w:pPr>
            <w:r w:rsidRPr="002802BF">
              <w:rPr>
                <w:rFonts w:eastAsiaTheme="minorEastAsia"/>
                <w:lang w:eastAsia="ja-JP"/>
              </w:rPr>
              <w:t>9</w:t>
            </w:r>
          </w:p>
        </w:tc>
        <w:tc>
          <w:tcPr>
            <w:tcW w:w="8139" w:type="dxa"/>
            <w:gridSpan w:val="2"/>
          </w:tcPr>
          <w:p w14:paraId="55FB11C9" w14:textId="55D3F0C3" w:rsidR="002802BF" w:rsidRPr="000C0B6C" w:rsidRDefault="002802BF" w:rsidP="009251C2">
            <w:pPr>
              <w:rPr>
                <w:b/>
                <w:sz w:val="22"/>
                <w:szCs w:val="22"/>
              </w:rPr>
            </w:pPr>
            <w:r w:rsidRPr="002802BF">
              <w:rPr>
                <w:rFonts w:eastAsiaTheme="minorEastAsia"/>
                <w:lang w:eastAsia="ja-JP"/>
              </w:rPr>
              <w:t xml:space="preserve">The process toward transformative change should be reflected the societal background. The targets and goals can be established in a local scale as well. </w:t>
            </w:r>
          </w:p>
        </w:tc>
      </w:tr>
      <w:tr w:rsidR="002802BF" w:rsidRPr="000C0B6C" w14:paraId="0C9C63D9" w14:textId="77777777" w:rsidTr="009251C2">
        <w:trPr>
          <w:trHeight w:val="224"/>
        </w:trPr>
        <w:tc>
          <w:tcPr>
            <w:tcW w:w="818" w:type="dxa"/>
          </w:tcPr>
          <w:p w14:paraId="46581EE4" w14:textId="26CF58C6" w:rsidR="002802BF" w:rsidRPr="002802BF" w:rsidRDefault="002802BF" w:rsidP="009251C2">
            <w:pPr>
              <w:rPr>
                <w:rFonts w:eastAsiaTheme="minorEastAsia"/>
                <w:lang w:eastAsia="ja-JP"/>
              </w:rPr>
            </w:pPr>
            <w:r w:rsidRPr="002802BF">
              <w:rPr>
                <w:rFonts w:eastAsiaTheme="minorEastAsia"/>
                <w:lang w:eastAsia="ja-JP"/>
              </w:rPr>
              <w:t>5</w:t>
            </w:r>
          </w:p>
        </w:tc>
        <w:tc>
          <w:tcPr>
            <w:tcW w:w="1231" w:type="dxa"/>
          </w:tcPr>
          <w:p w14:paraId="3DA5E0E9" w14:textId="7F826D6F" w:rsidR="002802BF" w:rsidRPr="002802BF" w:rsidRDefault="002802BF" w:rsidP="009251C2">
            <w:r w:rsidRPr="002802BF">
              <w:t>21</w:t>
            </w:r>
          </w:p>
        </w:tc>
        <w:tc>
          <w:tcPr>
            <w:tcW w:w="8139" w:type="dxa"/>
            <w:gridSpan w:val="2"/>
          </w:tcPr>
          <w:p w14:paraId="1FB20CA9" w14:textId="6DB790BE" w:rsidR="002802BF" w:rsidRPr="002802BF" w:rsidRDefault="002802BF" w:rsidP="009251C2">
            <w:pPr>
              <w:rPr>
                <w:rFonts w:eastAsiaTheme="minorEastAsia"/>
                <w:lang w:eastAsia="ja-JP"/>
              </w:rPr>
            </w:pPr>
            <w:r w:rsidRPr="002802BF">
              <w:rPr>
                <w:rFonts w:eastAsiaTheme="minorEastAsia"/>
                <w:lang w:eastAsia="ja-JP"/>
              </w:rPr>
              <w:t>This is an important point as the vision living with nature encompasses managed (or semi-natural) ecosystems as one of essential components of planetary nature as well as “natural” ecosystems. This may be better to be explicitly stated in Goal A.</w:t>
            </w:r>
          </w:p>
        </w:tc>
      </w:tr>
      <w:tr w:rsidR="002802BF" w:rsidRPr="000C0B6C" w14:paraId="6153AF8D" w14:textId="77777777" w:rsidTr="009251C2">
        <w:trPr>
          <w:trHeight w:val="233"/>
        </w:trPr>
        <w:tc>
          <w:tcPr>
            <w:tcW w:w="818" w:type="dxa"/>
          </w:tcPr>
          <w:p w14:paraId="66AF3500" w14:textId="2F7F6C88" w:rsidR="002802BF" w:rsidRPr="002802BF" w:rsidRDefault="002802BF" w:rsidP="000F6ADD">
            <w:r w:rsidRPr="002802BF">
              <w:rPr>
                <w:rFonts w:eastAsia="ＭＳ 明朝"/>
                <w:lang w:eastAsia="ja-JP"/>
              </w:rPr>
              <w:lastRenderedPageBreak/>
              <w:t>6</w:t>
            </w:r>
          </w:p>
        </w:tc>
        <w:tc>
          <w:tcPr>
            <w:tcW w:w="1231" w:type="dxa"/>
          </w:tcPr>
          <w:p w14:paraId="6A91318A" w14:textId="46735FF1" w:rsidR="002802BF" w:rsidRPr="002802BF" w:rsidRDefault="002802BF" w:rsidP="000F6ADD">
            <w:r w:rsidRPr="002802BF">
              <w:t>25</w:t>
            </w:r>
          </w:p>
        </w:tc>
        <w:tc>
          <w:tcPr>
            <w:tcW w:w="8139" w:type="dxa"/>
            <w:gridSpan w:val="2"/>
          </w:tcPr>
          <w:p w14:paraId="5F267497" w14:textId="533485C7" w:rsidR="002802BF" w:rsidRPr="002802BF" w:rsidRDefault="002802BF" w:rsidP="000F6ADD">
            <w:r w:rsidRPr="002802BF">
              <w:rPr>
                <w:rFonts w:eastAsiaTheme="minorEastAsia"/>
                <w:lang w:eastAsia="ja-JP"/>
              </w:rPr>
              <w:t>Extinction rate and extinction risk: both are essentially the same as extinction risk is expected extinction rate. Or are there any intentions to relate them to different specific indicators? Need to be clarified.</w:t>
            </w:r>
          </w:p>
        </w:tc>
      </w:tr>
      <w:tr w:rsidR="002802BF" w:rsidRPr="000C0B6C" w14:paraId="6D0FC60A" w14:textId="77777777" w:rsidTr="009251C2">
        <w:trPr>
          <w:trHeight w:val="224"/>
        </w:trPr>
        <w:tc>
          <w:tcPr>
            <w:tcW w:w="818" w:type="dxa"/>
          </w:tcPr>
          <w:p w14:paraId="6282A73C" w14:textId="0EB03FA1" w:rsidR="002802BF" w:rsidRPr="002802BF" w:rsidRDefault="002802BF" w:rsidP="000F6ADD">
            <w:pPr>
              <w:rPr>
                <w:rFonts w:eastAsiaTheme="minorEastAsia"/>
                <w:lang w:eastAsia="ja-JP"/>
              </w:rPr>
            </w:pPr>
            <w:r w:rsidRPr="002802BF">
              <w:rPr>
                <w:rFonts w:eastAsiaTheme="minorEastAsia"/>
                <w:lang w:eastAsia="ja-JP"/>
              </w:rPr>
              <w:t>7</w:t>
            </w:r>
          </w:p>
        </w:tc>
        <w:tc>
          <w:tcPr>
            <w:tcW w:w="1231" w:type="dxa"/>
          </w:tcPr>
          <w:p w14:paraId="4956A208" w14:textId="1A85BFE2" w:rsidR="002802BF" w:rsidRPr="002802BF" w:rsidRDefault="002802BF" w:rsidP="000F6ADD">
            <w:pPr>
              <w:rPr>
                <w:rFonts w:eastAsiaTheme="minorEastAsia"/>
                <w:lang w:eastAsia="ja-JP"/>
              </w:rPr>
            </w:pPr>
            <w:r w:rsidRPr="002802BF">
              <w:rPr>
                <w:rFonts w:eastAsiaTheme="minorEastAsia"/>
                <w:lang w:eastAsia="ja-JP"/>
              </w:rPr>
              <w:t>29</w:t>
            </w:r>
          </w:p>
        </w:tc>
        <w:tc>
          <w:tcPr>
            <w:tcW w:w="8139" w:type="dxa"/>
            <w:gridSpan w:val="2"/>
          </w:tcPr>
          <w:p w14:paraId="1B92E2B4" w14:textId="181F0404" w:rsidR="002802BF" w:rsidRPr="002802BF" w:rsidRDefault="002802BF" w:rsidP="000F6ADD">
            <w:pPr>
              <w:rPr>
                <w:rFonts w:eastAsiaTheme="minorEastAsia"/>
              </w:rPr>
            </w:pPr>
            <w:r w:rsidRPr="002802BF">
              <w:rPr>
                <w:rFonts w:eastAsiaTheme="minorEastAsia"/>
                <w:lang w:eastAsia="ja-JP"/>
              </w:rPr>
              <w:t xml:space="preserve">Genetic diversity of wild species has not been investigated enough so far. </w:t>
            </w:r>
            <w:r w:rsidRPr="002802BF">
              <w:t xml:space="preserve">The importance of assessing the genetic diversity should </w:t>
            </w:r>
            <w:r w:rsidRPr="002802BF">
              <w:rPr>
                <w:rFonts w:eastAsiaTheme="minorEastAsia"/>
                <w:lang w:eastAsia="ja-JP"/>
              </w:rPr>
              <w:t xml:space="preserve">be more focused and specified; it is </w:t>
            </w:r>
            <w:r w:rsidRPr="002802BF">
              <w:t xml:space="preserve">essential for population persistence and “evolutionary potential”, which is also getting more important in the context of climate change adaptation. </w:t>
            </w:r>
          </w:p>
        </w:tc>
      </w:tr>
      <w:tr w:rsidR="002802BF" w:rsidRPr="000C0B6C" w14:paraId="30930566" w14:textId="77777777" w:rsidTr="009251C2">
        <w:trPr>
          <w:trHeight w:val="224"/>
        </w:trPr>
        <w:tc>
          <w:tcPr>
            <w:tcW w:w="818" w:type="dxa"/>
          </w:tcPr>
          <w:p w14:paraId="7E88CD75" w14:textId="3BC90E8E" w:rsidR="002802BF" w:rsidRPr="002802BF" w:rsidRDefault="002802BF" w:rsidP="000F6ADD">
            <w:r w:rsidRPr="002802BF">
              <w:rPr>
                <w:rFonts w:eastAsiaTheme="minorEastAsia"/>
                <w:lang w:eastAsia="ja-JP"/>
              </w:rPr>
              <w:t>7</w:t>
            </w:r>
          </w:p>
        </w:tc>
        <w:tc>
          <w:tcPr>
            <w:tcW w:w="1231" w:type="dxa"/>
          </w:tcPr>
          <w:p w14:paraId="613F0F0B" w14:textId="57F1B569" w:rsidR="002802BF" w:rsidRPr="002802BF" w:rsidRDefault="002802BF" w:rsidP="000F6ADD">
            <w:r w:rsidRPr="002802BF">
              <w:rPr>
                <w:rFonts w:eastAsiaTheme="minorEastAsia"/>
                <w:lang w:eastAsia="ja-JP"/>
              </w:rPr>
              <w:t>30</w:t>
            </w:r>
          </w:p>
        </w:tc>
        <w:tc>
          <w:tcPr>
            <w:tcW w:w="8139" w:type="dxa"/>
            <w:gridSpan w:val="2"/>
          </w:tcPr>
          <w:p w14:paraId="4B30F77B" w14:textId="3C741AB8" w:rsidR="002802BF" w:rsidRPr="002802BF" w:rsidRDefault="002802BF" w:rsidP="000F6ADD">
            <w:r w:rsidRPr="002802BF">
              <w:rPr>
                <w:rFonts w:eastAsiaTheme="minorEastAsia"/>
              </w:rPr>
              <w:t>“The genetic diversity of wild species provides the variation essential to maintain ecosystem stability”: the statement looks correct intuitively, but is it really true? Need to check scientific evidence.</w:t>
            </w:r>
          </w:p>
        </w:tc>
      </w:tr>
      <w:tr w:rsidR="002802BF" w:rsidRPr="000C0B6C" w14:paraId="419DB47A" w14:textId="77777777" w:rsidTr="009251C2">
        <w:trPr>
          <w:trHeight w:val="224"/>
        </w:trPr>
        <w:tc>
          <w:tcPr>
            <w:tcW w:w="818" w:type="dxa"/>
          </w:tcPr>
          <w:p w14:paraId="583A2152" w14:textId="0E7AA2C4" w:rsidR="002802BF" w:rsidRPr="002802BF" w:rsidRDefault="002802BF" w:rsidP="000F6ADD">
            <w:r w:rsidRPr="002802BF">
              <w:rPr>
                <w:rFonts w:eastAsia="ＭＳ 明朝"/>
                <w:lang w:eastAsia="ja-JP"/>
              </w:rPr>
              <w:t>7</w:t>
            </w:r>
          </w:p>
        </w:tc>
        <w:tc>
          <w:tcPr>
            <w:tcW w:w="1231" w:type="dxa"/>
          </w:tcPr>
          <w:p w14:paraId="491D28B8" w14:textId="7DBF63B9" w:rsidR="002802BF" w:rsidRPr="002802BF" w:rsidRDefault="002802BF" w:rsidP="000F6ADD">
            <w:r w:rsidRPr="002802BF">
              <w:t>32</w:t>
            </w:r>
          </w:p>
        </w:tc>
        <w:tc>
          <w:tcPr>
            <w:tcW w:w="8139" w:type="dxa"/>
            <w:gridSpan w:val="2"/>
          </w:tcPr>
          <w:p w14:paraId="6ABEE69C" w14:textId="77777777" w:rsidR="002802BF" w:rsidRDefault="002802BF" w:rsidP="00BC1AFD">
            <w:r w:rsidRPr="002802BF">
              <w:t>In this regard, new methods for assessing (intraspecific) genetic diversity via environmental DNA metabarcoding are emerging (e.g., Tsuji et al. 2020); they could provide new opportunities for monitoring genetic diversity of aquatic species.</w:t>
            </w:r>
          </w:p>
          <w:p w14:paraId="38A1E882" w14:textId="77777777" w:rsidR="002802BF" w:rsidRPr="002802BF" w:rsidRDefault="002802BF" w:rsidP="00BC1AFD"/>
          <w:p w14:paraId="7EB00430" w14:textId="3661840A" w:rsidR="002802BF" w:rsidRPr="002802BF" w:rsidRDefault="002802BF" w:rsidP="000F6ADD">
            <w:r w:rsidRPr="002802BF">
              <w:t>Tsuji et al. (2020) Environmental DNA analysis shows high potential as a tool for estimating intraspecific genetic diversity in a wild fish population. Molecular Ecology Resources 20(5): 1248-1258. https://doi.org/10.1111/1755-0998.13165</w:t>
            </w:r>
          </w:p>
        </w:tc>
      </w:tr>
      <w:tr w:rsidR="002802BF" w:rsidRPr="000C0B6C" w14:paraId="4C82A27A" w14:textId="77777777" w:rsidTr="009251C2">
        <w:trPr>
          <w:trHeight w:val="224"/>
        </w:trPr>
        <w:tc>
          <w:tcPr>
            <w:tcW w:w="818" w:type="dxa"/>
          </w:tcPr>
          <w:p w14:paraId="2DAFFC60" w14:textId="3E3F44BE" w:rsidR="002802BF" w:rsidRPr="002802BF" w:rsidRDefault="002802BF" w:rsidP="000F6ADD">
            <w:pPr>
              <w:rPr>
                <w:rFonts w:eastAsiaTheme="minorEastAsia"/>
                <w:lang w:eastAsia="ja-JP"/>
              </w:rPr>
            </w:pPr>
            <w:r>
              <w:t>7</w:t>
            </w:r>
          </w:p>
        </w:tc>
        <w:tc>
          <w:tcPr>
            <w:tcW w:w="1231" w:type="dxa"/>
          </w:tcPr>
          <w:p w14:paraId="5371C557" w14:textId="68FE6354" w:rsidR="002802BF" w:rsidRPr="002802BF" w:rsidRDefault="002802BF" w:rsidP="000F6ADD">
            <w:pPr>
              <w:rPr>
                <w:rFonts w:eastAsiaTheme="minorEastAsia"/>
                <w:lang w:eastAsia="ja-JP"/>
              </w:rPr>
            </w:pPr>
            <w:r w:rsidRPr="002802BF">
              <w:rPr>
                <w:rFonts w:eastAsiaTheme="minorEastAsia"/>
                <w:lang w:eastAsia="ja-JP"/>
              </w:rPr>
              <w:t>33</w:t>
            </w:r>
          </w:p>
        </w:tc>
        <w:tc>
          <w:tcPr>
            <w:tcW w:w="8139" w:type="dxa"/>
            <w:gridSpan w:val="2"/>
          </w:tcPr>
          <w:p w14:paraId="4EAC8BF9" w14:textId="5BBB7B51" w:rsidR="002802BF" w:rsidRPr="002802BF" w:rsidRDefault="002802BF" w:rsidP="000F6ADD">
            <w:pPr>
              <w:rPr>
                <w:rFonts w:eastAsiaTheme="minorEastAsia"/>
              </w:rPr>
            </w:pPr>
            <w:r w:rsidRPr="002802BF">
              <w:rPr>
                <w:rFonts w:eastAsiaTheme="minorEastAsia"/>
                <w:lang w:eastAsia="ja-JP"/>
              </w:rPr>
              <w:t xml:space="preserve">Not only domesticated species, but endangered species should be conserved in off site. A goal or an element can include the ex-situ conservation of endangered species with specifying the target number of species. </w:t>
            </w:r>
          </w:p>
        </w:tc>
      </w:tr>
      <w:tr w:rsidR="002802BF" w:rsidRPr="000C0B6C" w14:paraId="5DBDB291" w14:textId="77777777" w:rsidTr="009251C2">
        <w:trPr>
          <w:trHeight w:val="224"/>
        </w:trPr>
        <w:tc>
          <w:tcPr>
            <w:tcW w:w="818" w:type="dxa"/>
          </w:tcPr>
          <w:p w14:paraId="29E068DB" w14:textId="5EAA2AA4" w:rsidR="002802BF" w:rsidRPr="002802BF" w:rsidRDefault="002802BF" w:rsidP="000F6ADD">
            <w:r w:rsidRPr="002802BF">
              <w:t>17</w:t>
            </w:r>
          </w:p>
        </w:tc>
        <w:tc>
          <w:tcPr>
            <w:tcW w:w="1231" w:type="dxa"/>
          </w:tcPr>
          <w:p w14:paraId="212354D4" w14:textId="554EB631" w:rsidR="002802BF" w:rsidRPr="002802BF" w:rsidRDefault="002802BF" w:rsidP="000F6ADD">
            <w:r w:rsidRPr="002802BF">
              <w:rPr>
                <w:rFonts w:eastAsiaTheme="minorEastAsia"/>
                <w:lang w:eastAsia="ja-JP"/>
              </w:rPr>
              <w:t>71</w:t>
            </w:r>
          </w:p>
        </w:tc>
        <w:tc>
          <w:tcPr>
            <w:tcW w:w="8139" w:type="dxa"/>
            <w:gridSpan w:val="2"/>
          </w:tcPr>
          <w:p w14:paraId="51FD5779" w14:textId="77777777" w:rsidR="002802BF" w:rsidRPr="002802BF" w:rsidRDefault="002802BF" w:rsidP="00BC1AFD">
            <w:r w:rsidRPr="002802BF">
              <w:t xml:space="preserve">I agree that reducing excess nutrients are required. It is increasingly accepted that nutrient legacies (both nitrogen and phosphorus), resulting from decades of fertilizer application and intensive livestock production, can increase their current nutrient loadings and lead to time lags in nutrient runoff (Van Meter et al. 2018; Goyette et al. 2018). In other words, nutrient legacies can continue to impair water quality even after agricultural inputs have ceased. Extreme flood events may increase the runoff from the legacies. This is a global issue. I think it would be great to add a couple of words about these legacies in terms of the watershed management to reduce pollution. </w:t>
            </w:r>
          </w:p>
          <w:p w14:paraId="7F11A3FB" w14:textId="77777777" w:rsidR="002802BF" w:rsidRPr="002802BF" w:rsidRDefault="002802BF" w:rsidP="00BC1AFD"/>
          <w:p w14:paraId="62CCCB05" w14:textId="77777777" w:rsidR="002802BF" w:rsidRPr="002802BF" w:rsidRDefault="002802BF" w:rsidP="00BC1AFD">
            <w:r w:rsidRPr="002802BF">
              <w:t xml:space="preserve">Van Meter, K. J., Van Cappellen, P., &amp; Basu, N. B. (2018). Legacy nitrogen may prevent achievement of water quality goals in the Gulf of Mexico. </w:t>
            </w:r>
            <w:r w:rsidRPr="002802BF">
              <w:rPr>
                <w:i/>
                <w:iCs/>
              </w:rPr>
              <w:t>Science</w:t>
            </w:r>
            <w:r w:rsidRPr="002802BF">
              <w:t>, 360(6387), 427-430.</w:t>
            </w:r>
          </w:p>
          <w:p w14:paraId="65955BF3" w14:textId="77777777" w:rsidR="002802BF" w:rsidRPr="002802BF" w:rsidRDefault="002802BF" w:rsidP="00BC1AFD"/>
          <w:p w14:paraId="637A167D" w14:textId="2DF57104" w:rsidR="002802BF" w:rsidRPr="002802BF" w:rsidRDefault="002802BF" w:rsidP="000F6ADD">
            <w:r w:rsidRPr="002802BF">
              <w:t xml:space="preserve">Goyette, J. O., Bennett, E. M., &amp; Maranger, R. (2018). Low buffering capacity and slow recovery of anthropogenic phosphorus pollution in watersheds. </w:t>
            </w:r>
            <w:r w:rsidRPr="002802BF">
              <w:rPr>
                <w:i/>
                <w:iCs/>
              </w:rPr>
              <w:t>Nature Geoscience</w:t>
            </w:r>
            <w:r w:rsidRPr="002802BF">
              <w:t xml:space="preserve">, </w:t>
            </w:r>
            <w:r w:rsidRPr="002802BF">
              <w:rPr>
                <w:i/>
                <w:iCs/>
              </w:rPr>
              <w:t>11</w:t>
            </w:r>
            <w:r w:rsidRPr="002802BF">
              <w:t>(12), 921-925.</w:t>
            </w:r>
          </w:p>
        </w:tc>
      </w:tr>
      <w:tr w:rsidR="00B53F0F" w:rsidRPr="000C0B6C" w14:paraId="3DFAA6B9" w14:textId="77777777" w:rsidTr="009251C2">
        <w:trPr>
          <w:trHeight w:val="224"/>
        </w:trPr>
        <w:tc>
          <w:tcPr>
            <w:tcW w:w="818" w:type="dxa"/>
          </w:tcPr>
          <w:p w14:paraId="38AB76DE" w14:textId="53DAEA56" w:rsidR="00B53F0F" w:rsidRPr="002802BF" w:rsidRDefault="00B53F0F" w:rsidP="000F6ADD">
            <w:r>
              <w:t>19</w:t>
            </w:r>
          </w:p>
        </w:tc>
        <w:tc>
          <w:tcPr>
            <w:tcW w:w="1231" w:type="dxa"/>
          </w:tcPr>
          <w:p w14:paraId="24FBE1F7" w14:textId="105CCAFF" w:rsidR="00B53F0F" w:rsidRPr="002802BF" w:rsidRDefault="00B53F0F" w:rsidP="000F6ADD">
            <w:pPr>
              <w:rPr>
                <w:rFonts w:eastAsiaTheme="minorEastAsia"/>
                <w:lang w:eastAsia="ja-JP"/>
              </w:rPr>
            </w:pPr>
            <w:r>
              <w:rPr>
                <w:rFonts w:eastAsiaTheme="minorEastAsia"/>
                <w:lang w:eastAsia="ja-JP"/>
              </w:rPr>
              <w:t>75</w:t>
            </w:r>
          </w:p>
        </w:tc>
        <w:tc>
          <w:tcPr>
            <w:tcW w:w="8139" w:type="dxa"/>
            <w:gridSpan w:val="2"/>
          </w:tcPr>
          <w:p w14:paraId="6E1886DC" w14:textId="1BD13B9F" w:rsidR="00B53F0F" w:rsidRPr="002802BF" w:rsidRDefault="00F94FF2" w:rsidP="0045122A">
            <w:r>
              <w:t xml:space="preserve">The issue of renewable energy should stand independently as, for example, #76, because it has an emerging importance and </w:t>
            </w:r>
            <w:r w:rsidR="0045122A">
              <w:t>could occur</w:t>
            </w:r>
            <w:r w:rsidR="00D44504">
              <w:t xml:space="preserve"> beyond the</w:t>
            </w:r>
            <w:r>
              <w:t xml:space="preserve"> involvement of </w:t>
            </w:r>
            <w:r w:rsidRPr="00F94FF2">
              <w:t>indigeno</w:t>
            </w:r>
            <w:r w:rsidR="00D44504">
              <w:t>us peoples and local communities</w:t>
            </w:r>
            <w:r>
              <w:t>.</w:t>
            </w:r>
          </w:p>
        </w:tc>
      </w:tr>
      <w:tr w:rsidR="003C1042" w:rsidRPr="000C0B6C" w14:paraId="38DB7C35" w14:textId="77777777" w:rsidTr="009251C2">
        <w:trPr>
          <w:trHeight w:val="224"/>
        </w:trPr>
        <w:tc>
          <w:tcPr>
            <w:tcW w:w="818" w:type="dxa"/>
          </w:tcPr>
          <w:p w14:paraId="569C9E3B" w14:textId="512A905D" w:rsidR="003C1042" w:rsidRPr="002802BF" w:rsidRDefault="003C1042" w:rsidP="000F6ADD">
            <w:r w:rsidRPr="002802BF">
              <w:rPr>
                <w:rFonts w:eastAsiaTheme="minorEastAsia"/>
                <w:lang w:eastAsia="ja-JP"/>
              </w:rPr>
              <w:t>23</w:t>
            </w:r>
          </w:p>
        </w:tc>
        <w:tc>
          <w:tcPr>
            <w:tcW w:w="1231" w:type="dxa"/>
          </w:tcPr>
          <w:p w14:paraId="516F0F7B" w14:textId="68F10E28" w:rsidR="003C1042" w:rsidRPr="002802BF" w:rsidRDefault="003C1042" w:rsidP="000F6ADD">
            <w:pPr>
              <w:rPr>
                <w:rFonts w:eastAsiaTheme="minorEastAsia"/>
                <w:lang w:eastAsia="ja-JP"/>
              </w:rPr>
            </w:pPr>
            <w:r w:rsidRPr="002802BF">
              <w:rPr>
                <w:rFonts w:eastAsiaTheme="minorEastAsia"/>
                <w:lang w:eastAsia="ja-JP"/>
              </w:rPr>
              <w:t>Target13</w:t>
            </w:r>
          </w:p>
        </w:tc>
        <w:tc>
          <w:tcPr>
            <w:tcW w:w="8139" w:type="dxa"/>
            <w:gridSpan w:val="2"/>
          </w:tcPr>
          <w:p w14:paraId="02B91496" w14:textId="77777777" w:rsidR="003C1042" w:rsidRPr="002802BF" w:rsidRDefault="003C1042" w:rsidP="00BC1AFD">
            <w:pPr>
              <w:rPr>
                <w:rFonts w:eastAsiaTheme="minorEastAsia"/>
                <w:lang w:eastAsia="ja-JP"/>
              </w:rPr>
            </w:pPr>
            <w:r w:rsidRPr="002802BF">
              <w:rPr>
                <w:rFonts w:eastAsiaTheme="minorEastAsia"/>
                <w:lang w:eastAsia="ja-JP"/>
              </w:rPr>
              <w:t>One mainstreaming approach could be to explore, collect, and share current examples of good practice (i.e., “seeds” of biodiversity conservation and sustainable management) (Bennett et al. 2016).</w:t>
            </w:r>
          </w:p>
          <w:p w14:paraId="1157823B" w14:textId="77777777" w:rsidR="003C1042" w:rsidRPr="002802BF" w:rsidRDefault="003C1042" w:rsidP="00BC1AFD">
            <w:pPr>
              <w:rPr>
                <w:rFonts w:eastAsiaTheme="minorEastAsia"/>
                <w:lang w:eastAsia="ja-JP"/>
              </w:rPr>
            </w:pPr>
          </w:p>
          <w:p w14:paraId="2CB1B78E" w14:textId="652BCCB4" w:rsidR="003C1042" w:rsidRPr="002802BF" w:rsidRDefault="003C1042" w:rsidP="00BC1AFD">
            <w:r w:rsidRPr="002802BF">
              <w:rPr>
                <w:rFonts w:eastAsiaTheme="minorEastAsia"/>
                <w:lang w:eastAsia="ja-JP"/>
              </w:rPr>
              <w:t xml:space="preserve">Bennett et al. (2016) Bright spots: seeds of a good Anthropocene." Frontiers in </w:t>
            </w:r>
            <w:r w:rsidRPr="002802BF">
              <w:rPr>
                <w:rFonts w:eastAsiaTheme="minorEastAsia"/>
                <w:lang w:eastAsia="ja-JP"/>
              </w:rPr>
              <w:lastRenderedPageBreak/>
              <w:t>Ecology and the Environment 14: 441-448.</w:t>
            </w:r>
          </w:p>
        </w:tc>
      </w:tr>
      <w:tr w:rsidR="003C1042" w:rsidRPr="000C0B6C" w14:paraId="337BCB10" w14:textId="77777777" w:rsidTr="009251C2">
        <w:trPr>
          <w:trHeight w:val="224"/>
        </w:trPr>
        <w:tc>
          <w:tcPr>
            <w:tcW w:w="818" w:type="dxa"/>
          </w:tcPr>
          <w:p w14:paraId="5B729577" w14:textId="02F0FFCF" w:rsidR="003C1042" w:rsidRDefault="003C1042" w:rsidP="000F6ADD">
            <w:r w:rsidRPr="002802BF">
              <w:rPr>
                <w:rFonts w:eastAsiaTheme="minorEastAsia"/>
                <w:lang w:eastAsia="ja-JP"/>
              </w:rPr>
              <w:lastRenderedPageBreak/>
              <w:t>23</w:t>
            </w:r>
          </w:p>
        </w:tc>
        <w:tc>
          <w:tcPr>
            <w:tcW w:w="1231" w:type="dxa"/>
          </w:tcPr>
          <w:p w14:paraId="55DCE07A" w14:textId="717DE86B" w:rsidR="003C1042" w:rsidRPr="002802BF" w:rsidRDefault="003C1042" w:rsidP="000F6ADD">
            <w:pPr>
              <w:rPr>
                <w:rFonts w:eastAsiaTheme="minorEastAsia"/>
                <w:lang w:eastAsia="ja-JP"/>
              </w:rPr>
            </w:pPr>
            <w:r w:rsidRPr="002802BF">
              <w:rPr>
                <w:rFonts w:eastAsiaTheme="minorEastAsia"/>
                <w:lang w:eastAsia="ja-JP"/>
              </w:rPr>
              <w:t>93</w:t>
            </w:r>
          </w:p>
        </w:tc>
        <w:tc>
          <w:tcPr>
            <w:tcW w:w="8139" w:type="dxa"/>
            <w:gridSpan w:val="2"/>
          </w:tcPr>
          <w:p w14:paraId="159C97E4" w14:textId="6BB35C0B" w:rsidR="003C1042" w:rsidRPr="002802BF" w:rsidRDefault="003C1042" w:rsidP="000F6ADD">
            <w:pPr>
              <w:rPr>
                <w:rFonts w:eastAsiaTheme="minorEastAsia"/>
                <w:lang w:eastAsia="ja-JP"/>
              </w:rPr>
            </w:pPr>
            <w:r w:rsidRPr="002802BF">
              <w:rPr>
                <w:rFonts w:eastAsiaTheme="minorEastAsia"/>
                <w:lang w:eastAsia="ja-JP"/>
              </w:rPr>
              <w:t xml:space="preserve">NBSAPs would include the scope of establishing and managing national-level biodiversity observation networks to function as a hub of the existing domestic and international monitoring networks and data accumulation. </w:t>
            </w:r>
          </w:p>
        </w:tc>
      </w:tr>
      <w:tr w:rsidR="003C1042" w:rsidRPr="000C0B6C" w14:paraId="7A865B83" w14:textId="77777777" w:rsidTr="009251C2">
        <w:trPr>
          <w:trHeight w:val="224"/>
        </w:trPr>
        <w:tc>
          <w:tcPr>
            <w:tcW w:w="818" w:type="dxa"/>
          </w:tcPr>
          <w:p w14:paraId="48F7EE30" w14:textId="17AA69E8" w:rsidR="003C1042" w:rsidRPr="002802BF" w:rsidRDefault="003C1042" w:rsidP="000F6ADD"/>
        </w:tc>
        <w:tc>
          <w:tcPr>
            <w:tcW w:w="1231" w:type="dxa"/>
          </w:tcPr>
          <w:p w14:paraId="6A798625" w14:textId="6A77F978" w:rsidR="003C1042" w:rsidRPr="002802BF" w:rsidRDefault="003C1042" w:rsidP="000F6ADD"/>
        </w:tc>
        <w:tc>
          <w:tcPr>
            <w:tcW w:w="8139" w:type="dxa"/>
            <w:gridSpan w:val="2"/>
          </w:tcPr>
          <w:p w14:paraId="531C2A0F" w14:textId="24FF1FE9" w:rsidR="003C1042" w:rsidRPr="002802BF" w:rsidRDefault="003C1042" w:rsidP="000F6ADD"/>
        </w:tc>
      </w:tr>
      <w:tr w:rsidR="003C1042" w:rsidRPr="000C0B6C" w14:paraId="73FD340A" w14:textId="77777777" w:rsidTr="009251C2">
        <w:trPr>
          <w:trHeight w:val="224"/>
        </w:trPr>
        <w:tc>
          <w:tcPr>
            <w:tcW w:w="818" w:type="dxa"/>
          </w:tcPr>
          <w:p w14:paraId="37288C1C" w14:textId="23658EE6" w:rsidR="003C1042" w:rsidRPr="002802BF" w:rsidRDefault="003C1042" w:rsidP="000F6ADD"/>
        </w:tc>
        <w:tc>
          <w:tcPr>
            <w:tcW w:w="1231" w:type="dxa"/>
          </w:tcPr>
          <w:p w14:paraId="2993E983" w14:textId="0A27D052" w:rsidR="003C1042" w:rsidRPr="002802BF" w:rsidRDefault="003C1042" w:rsidP="000F6ADD"/>
        </w:tc>
        <w:tc>
          <w:tcPr>
            <w:tcW w:w="8139" w:type="dxa"/>
            <w:gridSpan w:val="2"/>
          </w:tcPr>
          <w:p w14:paraId="2A720A2D" w14:textId="346F8732" w:rsidR="003C1042" w:rsidRPr="002802BF" w:rsidRDefault="003C1042" w:rsidP="000F6ADD"/>
        </w:tc>
      </w:tr>
      <w:tr w:rsidR="003C1042" w:rsidRPr="000C0B6C" w14:paraId="435624C6" w14:textId="77777777" w:rsidTr="009251C2">
        <w:trPr>
          <w:trHeight w:val="224"/>
        </w:trPr>
        <w:tc>
          <w:tcPr>
            <w:tcW w:w="818" w:type="dxa"/>
          </w:tcPr>
          <w:p w14:paraId="112D65BF" w14:textId="676F0256" w:rsidR="003C1042" w:rsidRPr="002802BF" w:rsidRDefault="003C1042" w:rsidP="000F6ADD"/>
        </w:tc>
        <w:tc>
          <w:tcPr>
            <w:tcW w:w="1231" w:type="dxa"/>
          </w:tcPr>
          <w:p w14:paraId="15A50A76" w14:textId="28B98505" w:rsidR="003C1042" w:rsidRPr="002802BF" w:rsidRDefault="003C1042" w:rsidP="000F6ADD"/>
        </w:tc>
        <w:tc>
          <w:tcPr>
            <w:tcW w:w="8139" w:type="dxa"/>
            <w:gridSpan w:val="2"/>
          </w:tcPr>
          <w:p w14:paraId="778EFB93" w14:textId="7030DA3E" w:rsidR="003C1042" w:rsidRPr="002802BF" w:rsidRDefault="003C1042" w:rsidP="000F6ADD"/>
        </w:tc>
      </w:tr>
      <w:tr w:rsidR="003C1042" w:rsidRPr="000C0B6C" w14:paraId="1FCC3F88" w14:textId="77777777" w:rsidTr="009251C2">
        <w:trPr>
          <w:trHeight w:val="224"/>
        </w:trPr>
        <w:tc>
          <w:tcPr>
            <w:tcW w:w="818" w:type="dxa"/>
          </w:tcPr>
          <w:p w14:paraId="7F4E8176" w14:textId="50CB7622" w:rsidR="003C1042" w:rsidRPr="002802BF" w:rsidRDefault="003C1042" w:rsidP="000F6ADD"/>
        </w:tc>
        <w:tc>
          <w:tcPr>
            <w:tcW w:w="1231" w:type="dxa"/>
          </w:tcPr>
          <w:p w14:paraId="01C993F1" w14:textId="7CB542AA" w:rsidR="003C1042" w:rsidRPr="002802BF" w:rsidRDefault="003C1042" w:rsidP="000F6ADD"/>
        </w:tc>
        <w:tc>
          <w:tcPr>
            <w:tcW w:w="8139" w:type="dxa"/>
            <w:gridSpan w:val="2"/>
          </w:tcPr>
          <w:p w14:paraId="2D3D32A2" w14:textId="2B9B37B7" w:rsidR="003C1042" w:rsidRPr="002802BF" w:rsidRDefault="003C1042" w:rsidP="000F6ADD"/>
        </w:tc>
      </w:tr>
      <w:tr w:rsidR="003C1042" w:rsidRPr="000C0B6C" w14:paraId="00DA4A24" w14:textId="77777777" w:rsidTr="009251C2">
        <w:trPr>
          <w:trHeight w:val="224"/>
        </w:trPr>
        <w:tc>
          <w:tcPr>
            <w:tcW w:w="818" w:type="dxa"/>
          </w:tcPr>
          <w:p w14:paraId="0BF9A4EA" w14:textId="77777777" w:rsidR="003C1042" w:rsidRPr="002802BF" w:rsidRDefault="003C1042" w:rsidP="000F6ADD"/>
        </w:tc>
        <w:tc>
          <w:tcPr>
            <w:tcW w:w="1231" w:type="dxa"/>
          </w:tcPr>
          <w:p w14:paraId="03384ADA" w14:textId="77777777" w:rsidR="003C1042" w:rsidRPr="002802BF" w:rsidRDefault="003C1042" w:rsidP="000F6ADD"/>
        </w:tc>
        <w:tc>
          <w:tcPr>
            <w:tcW w:w="8139" w:type="dxa"/>
            <w:gridSpan w:val="2"/>
          </w:tcPr>
          <w:p w14:paraId="219C3642" w14:textId="77777777" w:rsidR="003C1042" w:rsidRPr="002802BF" w:rsidRDefault="003C1042" w:rsidP="000F6ADD"/>
        </w:tc>
      </w:tr>
      <w:tr w:rsidR="003C1042" w:rsidRPr="000C0B6C" w14:paraId="0D3F0894" w14:textId="77777777" w:rsidTr="009251C2">
        <w:trPr>
          <w:trHeight w:val="224"/>
        </w:trPr>
        <w:tc>
          <w:tcPr>
            <w:tcW w:w="818" w:type="dxa"/>
          </w:tcPr>
          <w:p w14:paraId="021FCAB6" w14:textId="77777777" w:rsidR="003C1042" w:rsidRPr="000C0B6C" w:rsidRDefault="003C1042" w:rsidP="000F6ADD"/>
        </w:tc>
        <w:tc>
          <w:tcPr>
            <w:tcW w:w="1231" w:type="dxa"/>
          </w:tcPr>
          <w:p w14:paraId="18B05321" w14:textId="77777777" w:rsidR="003C1042" w:rsidRPr="000C0B6C" w:rsidRDefault="003C1042" w:rsidP="000F6ADD"/>
        </w:tc>
        <w:tc>
          <w:tcPr>
            <w:tcW w:w="8139" w:type="dxa"/>
            <w:gridSpan w:val="2"/>
          </w:tcPr>
          <w:p w14:paraId="3F71D682" w14:textId="35A265DA" w:rsidR="003C1042" w:rsidRPr="000C0B6C" w:rsidRDefault="003C1042" w:rsidP="000F6ADD">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7" w:history="1">
        <w:r w:rsidRPr="00624FAA">
          <w:rPr>
            <w:rStyle w:val="a3"/>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202</w:t>
      </w:r>
      <w:r w:rsidR="00976DCD">
        <w:rPr>
          <w:i/>
          <w:sz w:val="22"/>
          <w:szCs w:val="22"/>
        </w:rPr>
        <w:t>1</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游明朝">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CCA"/>
    <w:rsid w:val="000B1240"/>
    <w:rsid w:val="000F6ADD"/>
    <w:rsid w:val="001C2BDB"/>
    <w:rsid w:val="00236608"/>
    <w:rsid w:val="002802BF"/>
    <w:rsid w:val="002B61CB"/>
    <w:rsid w:val="00334544"/>
    <w:rsid w:val="003B08FB"/>
    <w:rsid w:val="003C1042"/>
    <w:rsid w:val="004056FD"/>
    <w:rsid w:val="0040778D"/>
    <w:rsid w:val="0045122A"/>
    <w:rsid w:val="00504926"/>
    <w:rsid w:val="0053118E"/>
    <w:rsid w:val="005324AB"/>
    <w:rsid w:val="005A64C4"/>
    <w:rsid w:val="006060BF"/>
    <w:rsid w:val="006125AA"/>
    <w:rsid w:val="006D6F86"/>
    <w:rsid w:val="007761AE"/>
    <w:rsid w:val="00790F3D"/>
    <w:rsid w:val="007B362C"/>
    <w:rsid w:val="008C7855"/>
    <w:rsid w:val="008E7015"/>
    <w:rsid w:val="00976DCD"/>
    <w:rsid w:val="009B27EF"/>
    <w:rsid w:val="009E70F1"/>
    <w:rsid w:val="00A51FA4"/>
    <w:rsid w:val="00AF4AD0"/>
    <w:rsid w:val="00B51493"/>
    <w:rsid w:val="00B53F0F"/>
    <w:rsid w:val="00BA6585"/>
    <w:rsid w:val="00BD481F"/>
    <w:rsid w:val="00C607D9"/>
    <w:rsid w:val="00D44504"/>
    <w:rsid w:val="00D7653B"/>
    <w:rsid w:val="00D93CCA"/>
    <w:rsid w:val="00DB20C0"/>
    <w:rsid w:val="00E73C36"/>
    <w:rsid w:val="00F94FF2"/>
  </w:rsids>
  <m:mathPr>
    <m:mathFont m:val="Cambria Math"/>
    <m:brkBin m:val="before"/>
    <m:brkBinSub m:val="--"/>
    <m:smallFrac m:val="0"/>
    <m:dispDef/>
    <m:lMargin m:val="0"/>
    <m:rMargin m:val="0"/>
    <m:defJc m:val="centerGroup"/>
    <m:wrapIndent m:val="1440"/>
    <m:intLim m:val="subSup"/>
    <m:naryLim m:val="undOvr"/>
  </m:mathPr>
  <w:themeFontLang w:val="en-CA"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34FB3F"/>
  <w15:docId w15:val="{C16039E2-7E9B-4955-834E-F1037218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4">
    <w:name w:val="annotation text"/>
    <w:basedOn w:val="a"/>
    <w:link w:val="a5"/>
    <w:uiPriority w:val="99"/>
    <w:semiHidden/>
    <w:unhideWhenUsed/>
    <w:rsid w:val="00236608"/>
    <w:rPr>
      <w:sz w:val="20"/>
      <w:szCs w:val="20"/>
    </w:rPr>
  </w:style>
  <w:style w:type="character" w:customStyle="1" w:styleId="a5">
    <w:name w:val="コメント文字列 (文字)"/>
    <w:basedOn w:val="a0"/>
    <w:link w:val="a4"/>
    <w:uiPriority w:val="99"/>
    <w:semiHidden/>
    <w:rsid w:val="00236608"/>
    <w:rPr>
      <w:rFonts w:ascii="Times New Roman" w:eastAsia="Times New Roman" w:hAnsi="Times New Roman" w:cs="Times New Roman"/>
      <w:sz w:val="20"/>
      <w:szCs w:val="20"/>
      <w:lang w:val="en-US"/>
    </w:rPr>
  </w:style>
  <w:style w:type="paragraph" w:styleId="a6">
    <w:name w:val="annotation subject"/>
    <w:basedOn w:val="a4"/>
    <w:next w:val="a4"/>
    <w:link w:val="a7"/>
    <w:uiPriority w:val="99"/>
    <w:rsid w:val="00236608"/>
    <w:rPr>
      <w:b/>
      <w:bCs/>
    </w:rPr>
  </w:style>
  <w:style w:type="character" w:customStyle="1" w:styleId="a7">
    <w:name w:val="コメント内容 (文字)"/>
    <w:basedOn w:val="a5"/>
    <w:link w:val="a6"/>
    <w:uiPriority w:val="99"/>
    <w:rsid w:val="00236608"/>
    <w:rPr>
      <w:rFonts w:ascii="Times New Roman" w:eastAsia="Times New Roman" w:hAnsi="Times New Roman" w:cs="Times New Roman"/>
      <w:b/>
      <w:bCs/>
      <w:sz w:val="20"/>
      <w:szCs w:val="20"/>
      <w:lang w:val="en-US"/>
    </w:rPr>
  </w:style>
  <w:style w:type="paragraph" w:customStyle="1" w:styleId="Form">
    <w:name w:val="Form"/>
    <w:basedOn w:val="a"/>
    <w:uiPriority w:val="99"/>
    <w:rsid w:val="00236608"/>
    <w:pPr>
      <w:autoSpaceDE w:val="0"/>
      <w:autoSpaceDN w:val="0"/>
      <w:adjustRightInd w:val="0"/>
      <w:spacing w:before="60" w:after="60"/>
    </w:pPr>
    <w:rPr>
      <w:rFonts w:ascii="Arial" w:eastAsia="ＭＳ 明朝"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95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secretariat@cbd.int"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847</Words>
  <Characters>4830</Characters>
  <Application>Microsoft Macintosh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Hiroya YAMANO</cp:lastModifiedBy>
  <cp:revision>9</cp:revision>
  <dcterms:created xsi:type="dcterms:W3CDTF">2021-03-21T02:35:00Z</dcterms:created>
  <dcterms:modified xsi:type="dcterms:W3CDTF">2021-03-21T03:12:00Z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