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w:t>
      </w:r>
      <w:proofErr w:type="gramStart"/>
      <w:r w:rsidR="001F0812" w:rsidRPr="73FC4587">
        <w:rPr>
          <w:rFonts w:ascii="Times New Roman" w:hAnsi="Times New Roman" w:cs="Times New Roman"/>
        </w:rPr>
        <w:t>are based</w:t>
      </w:r>
      <w:proofErr w:type="gramEnd"/>
      <w:r w:rsidR="001F0812" w:rsidRPr="73FC4587">
        <w:rPr>
          <w:rFonts w:ascii="Times New Roman" w:hAnsi="Times New Roman" w:cs="Times New Roman"/>
        </w:rPr>
        <w:t xml:space="preserve">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Please note: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Listenabsatz"/>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Listenabsatz"/>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yperlink"/>
            <w:rFonts w:ascii="Times New Roman" w:hAnsi="Times New Roman"/>
          </w:rPr>
          <w:t>https://www.cbd.int/sbstta/sbstta-24/post2020-monitoring-en.pdf</w:t>
        </w:r>
      </w:hyperlink>
    </w:p>
    <w:p w14:paraId="247C837E" w14:textId="11C9267F" w:rsidR="0069081E" w:rsidRDefault="0069081E" w:rsidP="00EB6D54">
      <w:pPr>
        <w:pStyle w:val="Listenabsatz"/>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Listenabsatz"/>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Listenabsatz"/>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yperlink"/>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Listenabsatz"/>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Listenabsatz"/>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Listenabsatz"/>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Listenabsatz"/>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Listenabsatz"/>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Listenabsatz"/>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Listenabsatz"/>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Listenabsatz"/>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Listenabsatz"/>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Listenabsatz"/>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proofErr w:type="gramStart"/>
      <w:r w:rsidR="00A75DB7">
        <w:rPr>
          <w:rFonts w:ascii="Times New Roman" w:hAnsi="Times New Roman" w:cs="Times New Roman"/>
        </w:rPr>
        <w:t>4</w:t>
      </w:r>
      <w:r w:rsidRPr="00AD6B56">
        <w:rPr>
          <w:rFonts w:ascii="Times New Roman" w:hAnsi="Times New Roman" w:cs="Times New Roman"/>
          <w:vertAlign w:val="superscript"/>
        </w:rPr>
        <w:t>th</w:t>
      </w:r>
      <w:proofErr w:type="gramEnd"/>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Listenabsatz"/>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Listenabsatz"/>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 xml:space="preserve">other than the CBD (e.g. </w:t>
      </w:r>
      <w:proofErr w:type="spellStart"/>
      <w:r w:rsidR="007B5ECC" w:rsidRPr="00AD6B56">
        <w:rPr>
          <w:rFonts w:ascii="Times New Roman" w:hAnsi="Times New Roman" w:cs="Times New Roman"/>
        </w:rPr>
        <w:t>Ramsar</w:t>
      </w:r>
      <w:proofErr w:type="spellEnd"/>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Listenabsatz"/>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Listenabsatz"/>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Listenabsatz"/>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Listenabsatz"/>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 xml:space="preserve">For general </w:t>
      </w:r>
      <w:proofErr w:type="gramStart"/>
      <w:r>
        <w:rPr>
          <w:rFonts w:ascii="Times New Roman" w:hAnsi="Times New Roman" w:cs="Times New Roman"/>
          <w:b/>
          <w:bCs/>
        </w:rPr>
        <w:t>comments</w:t>
      </w:r>
      <w:proofErr w:type="gramEnd"/>
      <w:r>
        <w:rPr>
          <w:rFonts w:ascii="Times New Roman" w:hAnsi="Times New Roman" w:cs="Times New Roman"/>
          <w:b/>
          <w:bCs/>
        </w:rPr>
        <w:t xml:space="preserve"> please use the template provided in page 2 below</w:t>
      </w:r>
    </w:p>
    <w:p w14:paraId="3992353E" w14:textId="77777777" w:rsidR="007861DC" w:rsidRPr="007861DC" w:rsidRDefault="007861DC" w:rsidP="007861DC">
      <w:pPr>
        <w:pStyle w:val="Listenabsatz"/>
        <w:jc w:val="both"/>
        <w:rPr>
          <w:iCs/>
        </w:rPr>
      </w:pPr>
    </w:p>
    <w:p w14:paraId="18A6B862" w14:textId="77777777" w:rsidR="007861DC" w:rsidRPr="006D0214" w:rsidRDefault="007861DC" w:rsidP="007861DC">
      <w:pPr>
        <w:pStyle w:val="Listenabsatz"/>
        <w:jc w:val="both"/>
        <w:rPr>
          <w:i/>
        </w:rPr>
      </w:pPr>
    </w:p>
    <w:p w14:paraId="22E65D04" w14:textId="77777777" w:rsidR="006D0214" w:rsidRDefault="006D0214" w:rsidP="006D0214">
      <w:pPr>
        <w:pStyle w:val="Listenabsatz"/>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6"/>
          <w:footerReference w:type="default" r:id="rId17"/>
          <w:pgSz w:w="16838" w:h="23811" w:code="8"/>
          <w:pgMar w:top="1440" w:right="1440" w:bottom="1440" w:left="1440" w:header="709" w:footer="709" w:gutter="0"/>
          <w:cols w:space="708"/>
          <w:docGrid w:linePitch="360"/>
        </w:sectPr>
      </w:pPr>
    </w:p>
    <w:p w14:paraId="553BA13E" w14:textId="635F542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p>
    <w:tbl>
      <w:tblPr>
        <w:tblStyle w:val="Tabellenraster"/>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0932054A" w14:textId="77777777" w:rsidTr="001D764F">
        <w:trPr>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0"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FC6E3F" w:rsidRPr="004F7374" w14:paraId="15B24120" w14:textId="77777777" w:rsidTr="001D764F">
        <w:trPr>
          <w:trHeight w:val="1041"/>
          <w:tblHeader/>
        </w:trPr>
        <w:tc>
          <w:tcPr>
            <w:tcW w:w="1781" w:type="dxa"/>
            <w:shd w:val="clear" w:color="auto" w:fill="BFBFBF" w:themeFill="background1" w:themeFillShade="BF"/>
            <w:vAlign w:val="center"/>
          </w:tcPr>
          <w:p w14:paraId="5F018A6C" w14:textId="2BFD58B7" w:rsidR="00FC6E3F" w:rsidRDefault="00FC6E3F" w:rsidP="001D764F">
            <w:pPr>
              <w:pStyle w:val="Listenabsatz"/>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Listenabsatz"/>
              <w:ind w:left="0"/>
              <w:jc w:val="center"/>
              <w:rPr>
                <w:rFonts w:ascii="Arial" w:hAnsi="Arial" w:cs="Arial"/>
                <w:b/>
                <w:bCs/>
                <w:sz w:val="16"/>
                <w:szCs w:val="16"/>
              </w:rPr>
            </w:pPr>
          </w:p>
          <w:p w14:paraId="10E767FF" w14:textId="122CB5BE" w:rsidR="007A15AD" w:rsidRPr="007A15AD" w:rsidRDefault="007A15AD" w:rsidP="007A15AD">
            <w:pPr>
              <w:pStyle w:val="Listenabsatz"/>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8" w:history="1">
              <w:r w:rsidRPr="00DD789A">
                <w:rPr>
                  <w:rStyle w:val="Hyperlink"/>
                  <w:rFonts w:ascii="Arial" w:hAnsi="Arial" w:cs="Arial"/>
                  <w:b/>
                  <w:bCs/>
                  <w:sz w:val="16"/>
                  <w:szCs w:val="16"/>
                </w:rPr>
                <w:t>CBD/SBSTTA</w:t>
              </w:r>
              <w:r w:rsidR="00DD789A" w:rsidRPr="00DD789A">
                <w:rPr>
                  <w:rStyle w:val="Hyperlink"/>
                  <w:rFonts w:ascii="Arial" w:hAnsi="Arial" w:cs="Arial"/>
                  <w:b/>
                  <w:bCs/>
                  <w:sz w:val="16"/>
                  <w:szCs w:val="16"/>
                </w:rPr>
                <w:t>-24</w:t>
              </w:r>
              <w:r w:rsidRPr="00DD789A">
                <w:rPr>
                  <w:rStyle w:val="Hyperlink"/>
                  <w:rFonts w:ascii="Arial" w:hAnsi="Arial" w:cs="Arial"/>
                  <w:b/>
                  <w:bCs/>
                  <w:sz w:val="16"/>
                  <w:szCs w:val="16"/>
                </w:rPr>
                <w:t>/</w:t>
              </w:r>
              <w:r w:rsidR="00DD789A" w:rsidRPr="00DD789A">
                <w:rPr>
                  <w:rStyle w:val="Hyperlink"/>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Listenabsatz"/>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9"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 xml:space="preserve">Indicator used to measure other MEAs or processes (e.g. </w:t>
            </w:r>
            <w:proofErr w:type="spellStart"/>
            <w:r w:rsidRPr="004F7374">
              <w:rPr>
                <w:rFonts w:ascii="Arial" w:hAnsi="Arial" w:cs="Arial"/>
                <w:b/>
                <w:sz w:val="16"/>
                <w:szCs w:val="16"/>
              </w:rPr>
              <w:t>Ramsar</w:t>
            </w:r>
            <w:proofErr w:type="spellEnd"/>
            <w:r w:rsidR="4AE51243" w:rsidRPr="4FD5E346">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FC6E3F" w:rsidRPr="004F7374" w14:paraId="3013B607" w14:textId="77777777" w:rsidTr="007A15AD">
        <w:trPr>
          <w:trHeight w:val="296"/>
        </w:trPr>
        <w:tc>
          <w:tcPr>
            <w:tcW w:w="1781" w:type="dxa"/>
            <w:shd w:val="clear" w:color="auto" w:fill="FFE599" w:themeFill="accent4" w:themeFillTint="66"/>
          </w:tcPr>
          <w:p w14:paraId="727936B3" w14:textId="77777777" w:rsidR="00FC6E3F" w:rsidRPr="00292092" w:rsidRDefault="00FC6E3F" w:rsidP="001D764F">
            <w:pPr>
              <w:rPr>
                <w:rFonts w:ascii="Arial" w:hAnsi="Arial" w:cs="Arial"/>
                <w:i/>
                <w:iCs/>
                <w:sz w:val="18"/>
                <w:szCs w:val="18"/>
              </w:rPr>
            </w:pPr>
            <w:r w:rsidRPr="00292092">
              <w:rPr>
                <w:rFonts w:ascii="Arial" w:eastAsia="Arial" w:hAnsi="Arial" w:cs="Arial"/>
                <w:i/>
                <w:iCs/>
                <w:color w:val="000000" w:themeColor="text1"/>
                <w:sz w:val="18"/>
                <w:szCs w:val="18"/>
              </w:rPr>
              <w:t>GA1. Increased extent of natural ecosystems (terrestrial, freshwater and marine ecosystems) </w:t>
            </w:r>
          </w:p>
        </w:tc>
        <w:tc>
          <w:tcPr>
            <w:tcW w:w="1936" w:type="dxa"/>
            <w:shd w:val="clear" w:color="auto" w:fill="FFE599" w:themeFill="accent4" w:themeFillTint="66"/>
          </w:tcPr>
          <w:p w14:paraId="2F345535"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Trends in area of forest ecosystems</w:t>
            </w:r>
          </w:p>
        </w:tc>
        <w:tc>
          <w:tcPr>
            <w:tcW w:w="1787" w:type="dxa"/>
            <w:shd w:val="clear" w:color="auto" w:fill="auto"/>
          </w:tcPr>
          <w:p w14:paraId="05B5A68D"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 xml:space="preserve">Forest area as a percentage of total land area </w:t>
            </w:r>
          </w:p>
        </w:tc>
        <w:tc>
          <w:tcPr>
            <w:tcW w:w="1489" w:type="dxa"/>
            <w:shd w:val="clear" w:color="auto" w:fill="auto"/>
          </w:tcPr>
          <w:p w14:paraId="24C32FF6" w14:textId="77777777"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FAO</w:t>
            </w:r>
          </w:p>
          <w:p w14:paraId="6F13C7CE" w14:textId="77777777" w:rsidR="00FC6E3F" w:rsidRPr="00292092" w:rsidRDefault="00FC6E3F" w:rsidP="001D764F">
            <w:pPr>
              <w:jc w:val="center"/>
              <w:rPr>
                <w:rFonts w:ascii="Arial" w:hAnsi="Arial" w:cs="Arial"/>
                <w:i/>
                <w:iCs/>
                <w:sz w:val="18"/>
                <w:szCs w:val="18"/>
              </w:rPr>
            </w:pPr>
          </w:p>
        </w:tc>
        <w:tc>
          <w:tcPr>
            <w:tcW w:w="1194" w:type="dxa"/>
            <w:shd w:val="clear" w:color="auto" w:fill="auto"/>
          </w:tcPr>
          <w:p w14:paraId="64E52910"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X</w:t>
            </w:r>
          </w:p>
        </w:tc>
        <w:tc>
          <w:tcPr>
            <w:tcW w:w="1341" w:type="dxa"/>
            <w:shd w:val="clear" w:color="auto" w:fill="auto"/>
          </w:tcPr>
          <w:p w14:paraId="46653523" w14:textId="77777777" w:rsidR="00FC6E3F" w:rsidRPr="00292092" w:rsidRDefault="00FC6E3F" w:rsidP="001D764F">
            <w:pPr>
              <w:jc w:val="center"/>
              <w:rPr>
                <w:rFonts w:ascii="Arial" w:hAnsi="Arial" w:cs="Arial"/>
                <w:i/>
                <w:iCs/>
                <w:sz w:val="18"/>
                <w:szCs w:val="18"/>
              </w:rPr>
            </w:pPr>
          </w:p>
        </w:tc>
        <w:tc>
          <w:tcPr>
            <w:tcW w:w="1042" w:type="dxa"/>
            <w:shd w:val="clear" w:color="auto" w:fill="auto"/>
          </w:tcPr>
          <w:p w14:paraId="33B44FE4"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2020</w:t>
            </w:r>
          </w:p>
        </w:tc>
        <w:tc>
          <w:tcPr>
            <w:tcW w:w="1193" w:type="dxa"/>
            <w:shd w:val="clear" w:color="auto" w:fill="auto"/>
          </w:tcPr>
          <w:p w14:paraId="27699EF1"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1990-2015</w:t>
            </w:r>
          </w:p>
        </w:tc>
        <w:tc>
          <w:tcPr>
            <w:tcW w:w="1340" w:type="dxa"/>
            <w:shd w:val="clear" w:color="auto" w:fill="auto"/>
          </w:tcPr>
          <w:p w14:paraId="1A035779"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Y</w:t>
            </w:r>
          </w:p>
        </w:tc>
        <w:tc>
          <w:tcPr>
            <w:tcW w:w="1640" w:type="dxa"/>
            <w:shd w:val="clear" w:color="auto" w:fill="auto"/>
          </w:tcPr>
          <w:p w14:paraId="0D3F8138"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Y</w:t>
            </w:r>
          </w:p>
        </w:tc>
        <w:tc>
          <w:tcPr>
            <w:tcW w:w="1340" w:type="dxa"/>
            <w:shd w:val="clear" w:color="auto" w:fill="auto"/>
          </w:tcPr>
          <w:p w14:paraId="584D0707"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N</w:t>
            </w:r>
          </w:p>
        </w:tc>
        <w:tc>
          <w:tcPr>
            <w:tcW w:w="1166" w:type="dxa"/>
            <w:shd w:val="clear" w:color="auto" w:fill="auto"/>
          </w:tcPr>
          <w:p w14:paraId="1E136E8A" w14:textId="5EFD984D" w:rsidR="00FC6E3F" w:rsidRPr="00292092" w:rsidRDefault="00884A53" w:rsidP="001D764F">
            <w:pPr>
              <w:jc w:val="center"/>
              <w:rPr>
                <w:rFonts w:ascii="Arial" w:hAnsi="Arial" w:cs="Arial"/>
                <w:i/>
                <w:iCs/>
                <w:sz w:val="18"/>
                <w:szCs w:val="18"/>
              </w:rPr>
            </w:pPr>
            <w:r>
              <w:rPr>
                <w:rFonts w:ascii="Arial" w:hAnsi="Arial" w:cs="Arial"/>
                <w:i/>
                <w:iCs/>
                <w:sz w:val="18"/>
                <w:szCs w:val="18"/>
              </w:rPr>
              <w:t>N</w:t>
            </w:r>
          </w:p>
        </w:tc>
        <w:tc>
          <w:tcPr>
            <w:tcW w:w="966" w:type="dxa"/>
            <w:shd w:val="clear" w:color="auto" w:fill="auto"/>
          </w:tcPr>
          <w:p w14:paraId="6A84532F" w14:textId="77777777" w:rsidR="00FC6E3F" w:rsidRPr="00292092" w:rsidRDefault="00FC6E3F" w:rsidP="001D764F">
            <w:pPr>
              <w:jc w:val="center"/>
              <w:rPr>
                <w:rFonts w:ascii="Arial" w:eastAsia="Arial" w:hAnsi="Arial" w:cs="Arial"/>
                <w:i/>
                <w:iCs/>
                <w:sz w:val="18"/>
                <w:szCs w:val="18"/>
              </w:rPr>
            </w:pPr>
            <w:r w:rsidRPr="00292092">
              <w:rPr>
                <w:rFonts w:ascii="Arial" w:eastAsia="Arial" w:hAnsi="Arial" w:cs="Arial"/>
                <w:i/>
                <w:iCs/>
                <w:sz w:val="18"/>
                <w:szCs w:val="18"/>
              </w:rPr>
              <w:t xml:space="preserve">Y </w:t>
            </w:r>
          </w:p>
          <w:p w14:paraId="717834F9"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SDG indicator 15.1.1</w:t>
            </w:r>
          </w:p>
        </w:tc>
        <w:tc>
          <w:tcPr>
            <w:tcW w:w="1794" w:type="dxa"/>
            <w:shd w:val="clear" w:color="auto" w:fill="auto"/>
          </w:tcPr>
          <w:p w14:paraId="2B951AD0" w14:textId="77777777" w:rsidR="00FC6E3F" w:rsidRPr="00292092" w:rsidRDefault="00FC6E3F" w:rsidP="001D764F">
            <w:pPr>
              <w:jc w:val="center"/>
              <w:rPr>
                <w:rFonts w:ascii="Arial" w:hAnsi="Arial" w:cs="Arial"/>
                <w:i/>
                <w:iCs/>
                <w:sz w:val="18"/>
                <w:szCs w:val="18"/>
              </w:rPr>
            </w:pPr>
          </w:p>
        </w:tc>
        <w:tc>
          <w:tcPr>
            <w:tcW w:w="1794" w:type="dxa"/>
          </w:tcPr>
          <w:p w14:paraId="123255D6" w14:textId="77777777" w:rsidR="00FC6E3F" w:rsidRPr="00292092" w:rsidRDefault="00FC6E3F" w:rsidP="001D764F">
            <w:pPr>
              <w:jc w:val="center"/>
              <w:rPr>
                <w:rFonts w:ascii="Arial" w:hAnsi="Arial" w:cs="Arial"/>
                <w:i/>
                <w:iCs/>
                <w:sz w:val="18"/>
                <w:szCs w:val="18"/>
              </w:rPr>
            </w:pPr>
          </w:p>
        </w:tc>
      </w:tr>
      <w:tr w:rsidR="00FC6E3F" w:rsidRPr="004F7374" w14:paraId="70161528" w14:textId="77777777" w:rsidTr="007A15AD">
        <w:trPr>
          <w:trHeight w:val="236"/>
        </w:trPr>
        <w:tc>
          <w:tcPr>
            <w:tcW w:w="1781" w:type="dxa"/>
            <w:shd w:val="clear" w:color="auto" w:fill="FFE599" w:themeFill="accent4" w:themeFillTint="66"/>
          </w:tcPr>
          <w:p w14:paraId="7F3B08B9"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GA4. Increase the number and health of common species</w:t>
            </w:r>
          </w:p>
        </w:tc>
        <w:tc>
          <w:tcPr>
            <w:tcW w:w="1936" w:type="dxa"/>
            <w:shd w:val="clear" w:color="auto" w:fill="FFE599" w:themeFill="accent4" w:themeFillTint="66"/>
          </w:tcPr>
          <w:p w14:paraId="16CAADC6"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Trends in species abundance</w:t>
            </w:r>
          </w:p>
        </w:tc>
        <w:tc>
          <w:tcPr>
            <w:tcW w:w="1787" w:type="dxa"/>
            <w:shd w:val="clear" w:color="auto" w:fill="auto"/>
          </w:tcPr>
          <w:p w14:paraId="78795579" w14:textId="4316CBA5"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Living Planet Index (LPI)</w:t>
            </w:r>
          </w:p>
          <w:p w14:paraId="61D10D46" w14:textId="77777777" w:rsidR="00FC6E3F" w:rsidRPr="00292092" w:rsidRDefault="00FC6E3F" w:rsidP="001D764F">
            <w:pPr>
              <w:rPr>
                <w:rFonts w:ascii="Arial" w:hAnsi="Arial" w:cs="Arial"/>
                <w:i/>
                <w:iCs/>
                <w:kern w:val="22"/>
                <w:sz w:val="18"/>
                <w:szCs w:val="18"/>
              </w:rPr>
            </w:pPr>
          </w:p>
        </w:tc>
        <w:tc>
          <w:tcPr>
            <w:tcW w:w="1489" w:type="dxa"/>
            <w:shd w:val="clear" w:color="auto" w:fill="auto"/>
          </w:tcPr>
          <w:p w14:paraId="2BF71C42" w14:textId="77777777"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ZSL/WWF</w:t>
            </w:r>
          </w:p>
          <w:p w14:paraId="4203E40C" w14:textId="77777777" w:rsidR="00FC6E3F" w:rsidRPr="00292092" w:rsidRDefault="00FC6E3F" w:rsidP="001D764F">
            <w:pPr>
              <w:jc w:val="center"/>
              <w:rPr>
                <w:rFonts w:ascii="Arial" w:hAnsi="Arial" w:cs="Arial"/>
                <w:i/>
                <w:iCs/>
                <w:kern w:val="22"/>
                <w:sz w:val="18"/>
                <w:szCs w:val="18"/>
              </w:rPr>
            </w:pPr>
          </w:p>
        </w:tc>
        <w:tc>
          <w:tcPr>
            <w:tcW w:w="1194" w:type="dxa"/>
            <w:shd w:val="clear" w:color="auto" w:fill="auto"/>
          </w:tcPr>
          <w:p w14:paraId="2A50728F"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X</w:t>
            </w:r>
          </w:p>
        </w:tc>
        <w:tc>
          <w:tcPr>
            <w:tcW w:w="1341" w:type="dxa"/>
            <w:shd w:val="clear" w:color="auto" w:fill="auto"/>
          </w:tcPr>
          <w:p w14:paraId="6B479563" w14:textId="77777777" w:rsidR="00FC6E3F" w:rsidRPr="00292092" w:rsidRDefault="00FC6E3F" w:rsidP="001D764F">
            <w:pPr>
              <w:jc w:val="center"/>
              <w:rPr>
                <w:rFonts w:ascii="Arial" w:hAnsi="Arial" w:cs="Arial"/>
                <w:i/>
                <w:iCs/>
                <w:kern w:val="22"/>
                <w:sz w:val="18"/>
                <w:szCs w:val="18"/>
              </w:rPr>
            </w:pPr>
          </w:p>
        </w:tc>
        <w:tc>
          <w:tcPr>
            <w:tcW w:w="1042" w:type="dxa"/>
            <w:shd w:val="clear" w:color="auto" w:fill="auto"/>
          </w:tcPr>
          <w:p w14:paraId="343AF512"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2020</w:t>
            </w:r>
          </w:p>
        </w:tc>
        <w:tc>
          <w:tcPr>
            <w:tcW w:w="1193" w:type="dxa"/>
            <w:shd w:val="clear" w:color="auto" w:fill="auto"/>
          </w:tcPr>
          <w:p w14:paraId="54D881FD" w14:textId="62B1A32F"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1970</w:t>
            </w:r>
            <w:r w:rsidR="00884A53">
              <w:rPr>
                <w:rFonts w:ascii="Arial" w:eastAsia="Arial" w:hAnsi="Arial" w:cs="Arial"/>
                <w:i/>
                <w:iCs/>
                <w:sz w:val="18"/>
                <w:szCs w:val="18"/>
              </w:rPr>
              <w:t>-2020</w:t>
            </w:r>
            <w:r w:rsidRPr="00292092">
              <w:rPr>
                <w:rFonts w:ascii="Arial" w:eastAsia="Arial" w:hAnsi="Arial" w:cs="Arial"/>
                <w:i/>
                <w:iCs/>
                <w:sz w:val="18"/>
                <w:szCs w:val="18"/>
              </w:rPr>
              <w:t>, available every 2 years</w:t>
            </w:r>
          </w:p>
        </w:tc>
        <w:tc>
          <w:tcPr>
            <w:tcW w:w="1340" w:type="dxa"/>
            <w:shd w:val="clear" w:color="auto" w:fill="auto"/>
          </w:tcPr>
          <w:p w14:paraId="10FFA792"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1640" w:type="dxa"/>
            <w:shd w:val="clear" w:color="auto" w:fill="auto"/>
          </w:tcPr>
          <w:p w14:paraId="3ACC4BA7"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1340" w:type="dxa"/>
            <w:shd w:val="clear" w:color="auto" w:fill="auto"/>
          </w:tcPr>
          <w:p w14:paraId="4A7F27AD"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N</w:t>
            </w:r>
          </w:p>
        </w:tc>
        <w:tc>
          <w:tcPr>
            <w:tcW w:w="1166" w:type="dxa"/>
            <w:shd w:val="clear" w:color="auto" w:fill="auto"/>
          </w:tcPr>
          <w:p w14:paraId="0B21E1CE"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966" w:type="dxa"/>
            <w:shd w:val="clear" w:color="auto" w:fill="auto"/>
          </w:tcPr>
          <w:p w14:paraId="2DE05A07"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N</w:t>
            </w:r>
          </w:p>
        </w:tc>
        <w:tc>
          <w:tcPr>
            <w:tcW w:w="1794" w:type="dxa"/>
            <w:shd w:val="clear" w:color="auto" w:fill="auto"/>
          </w:tcPr>
          <w:p w14:paraId="12EA8F3E"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 xml:space="preserve">CMS, </w:t>
            </w:r>
            <w:proofErr w:type="spellStart"/>
            <w:r w:rsidRPr="00292092">
              <w:rPr>
                <w:rFonts w:ascii="Arial" w:eastAsia="Arial" w:hAnsi="Arial" w:cs="Arial"/>
                <w:i/>
                <w:iCs/>
                <w:sz w:val="18"/>
                <w:szCs w:val="18"/>
              </w:rPr>
              <w:t>Ramsar</w:t>
            </w:r>
            <w:proofErr w:type="spellEnd"/>
            <w:r w:rsidRPr="00292092">
              <w:rPr>
                <w:rFonts w:ascii="Arial" w:eastAsia="Arial" w:hAnsi="Arial" w:cs="Arial"/>
                <w:i/>
                <w:iCs/>
                <w:sz w:val="18"/>
                <w:szCs w:val="18"/>
              </w:rPr>
              <w:t>, IPBES</w:t>
            </w:r>
          </w:p>
        </w:tc>
        <w:tc>
          <w:tcPr>
            <w:tcW w:w="1794" w:type="dxa"/>
          </w:tcPr>
          <w:p w14:paraId="4B86090D" w14:textId="77777777" w:rsidR="00FC6E3F" w:rsidRPr="00292092" w:rsidRDefault="00FC6E3F" w:rsidP="001D764F">
            <w:pPr>
              <w:jc w:val="center"/>
              <w:rPr>
                <w:rFonts w:ascii="Arial" w:hAnsi="Arial" w:cs="Arial"/>
                <w:i/>
                <w:iCs/>
                <w:kern w:val="22"/>
                <w:sz w:val="18"/>
                <w:szCs w:val="18"/>
              </w:rPr>
            </w:pPr>
          </w:p>
        </w:tc>
      </w:tr>
      <w:tr w:rsidR="00FC6E3F" w:rsidRPr="004F7374" w14:paraId="043E7F1C" w14:textId="77777777" w:rsidTr="007A15AD">
        <w:trPr>
          <w:trHeight w:val="236"/>
        </w:trPr>
        <w:tc>
          <w:tcPr>
            <w:tcW w:w="1781" w:type="dxa"/>
            <w:shd w:val="clear" w:color="auto" w:fill="FFE599" w:themeFill="accent4" w:themeFillTint="66"/>
          </w:tcPr>
          <w:p w14:paraId="1A368CC8" w14:textId="4989A52B" w:rsidR="00FC6E3F" w:rsidRDefault="00FC6E3F" w:rsidP="001D764F">
            <w:pPr>
              <w:rPr>
                <w:rFonts w:ascii="Arial" w:eastAsia="Arial" w:hAnsi="Arial" w:cs="Arial"/>
                <w:sz w:val="18"/>
                <w:szCs w:val="18"/>
              </w:rPr>
            </w:pPr>
            <w:r>
              <w:rPr>
                <w:rFonts w:ascii="Arial" w:eastAsia="Arial" w:hAnsi="Arial" w:cs="Arial"/>
                <w:sz w:val="18"/>
                <w:szCs w:val="18"/>
              </w:rPr>
              <w:t>…</w:t>
            </w:r>
          </w:p>
        </w:tc>
        <w:tc>
          <w:tcPr>
            <w:tcW w:w="1936" w:type="dxa"/>
            <w:shd w:val="clear" w:color="auto" w:fill="FFE599" w:themeFill="accent4" w:themeFillTint="66"/>
          </w:tcPr>
          <w:p w14:paraId="39C381D7" w14:textId="77777777" w:rsidR="00FC6E3F" w:rsidRDefault="00FC6E3F" w:rsidP="001D764F">
            <w:pPr>
              <w:rPr>
                <w:rFonts w:ascii="Arial" w:eastAsia="Arial" w:hAnsi="Arial" w:cs="Arial"/>
                <w:sz w:val="18"/>
                <w:szCs w:val="18"/>
              </w:rPr>
            </w:pPr>
          </w:p>
        </w:tc>
        <w:tc>
          <w:tcPr>
            <w:tcW w:w="1787" w:type="dxa"/>
            <w:shd w:val="clear" w:color="auto" w:fill="auto"/>
          </w:tcPr>
          <w:p w14:paraId="1C58DCE4"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181ECAC2"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7055233B" w14:textId="77777777" w:rsidR="00FC6E3F" w:rsidRDefault="00FC6E3F" w:rsidP="001D764F">
            <w:pPr>
              <w:jc w:val="center"/>
              <w:rPr>
                <w:rFonts w:ascii="Arial" w:eastAsia="Arial" w:hAnsi="Arial" w:cs="Arial"/>
                <w:sz w:val="18"/>
                <w:szCs w:val="18"/>
              </w:rPr>
            </w:pPr>
          </w:p>
        </w:tc>
        <w:tc>
          <w:tcPr>
            <w:tcW w:w="1341" w:type="dxa"/>
            <w:shd w:val="clear" w:color="auto" w:fill="auto"/>
          </w:tcPr>
          <w:p w14:paraId="0D357577"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56E8006A" w14:textId="77777777" w:rsidR="00FC6E3F" w:rsidRDefault="00FC6E3F" w:rsidP="001D764F">
            <w:pPr>
              <w:jc w:val="center"/>
              <w:rPr>
                <w:rFonts w:ascii="Arial" w:eastAsia="Arial" w:hAnsi="Arial" w:cs="Arial"/>
                <w:sz w:val="18"/>
                <w:szCs w:val="18"/>
              </w:rPr>
            </w:pPr>
          </w:p>
        </w:tc>
        <w:tc>
          <w:tcPr>
            <w:tcW w:w="1193" w:type="dxa"/>
            <w:shd w:val="clear" w:color="auto" w:fill="auto"/>
          </w:tcPr>
          <w:p w14:paraId="1D64C677" w14:textId="77777777" w:rsidR="00FC6E3F" w:rsidRDefault="00FC6E3F" w:rsidP="001D764F">
            <w:pPr>
              <w:jc w:val="center"/>
              <w:rPr>
                <w:rFonts w:ascii="Arial" w:eastAsia="Arial" w:hAnsi="Arial" w:cs="Arial"/>
                <w:sz w:val="18"/>
                <w:szCs w:val="18"/>
              </w:rPr>
            </w:pPr>
          </w:p>
        </w:tc>
        <w:tc>
          <w:tcPr>
            <w:tcW w:w="1340" w:type="dxa"/>
            <w:shd w:val="clear" w:color="auto" w:fill="auto"/>
          </w:tcPr>
          <w:p w14:paraId="3E1E828C" w14:textId="77777777" w:rsidR="00FC6E3F" w:rsidRDefault="00FC6E3F" w:rsidP="001D764F">
            <w:pPr>
              <w:jc w:val="center"/>
              <w:rPr>
                <w:rFonts w:ascii="Arial" w:eastAsia="Arial" w:hAnsi="Arial" w:cs="Arial"/>
                <w:sz w:val="18"/>
                <w:szCs w:val="18"/>
              </w:rPr>
            </w:pPr>
          </w:p>
        </w:tc>
        <w:tc>
          <w:tcPr>
            <w:tcW w:w="1640" w:type="dxa"/>
            <w:shd w:val="clear" w:color="auto" w:fill="auto"/>
          </w:tcPr>
          <w:p w14:paraId="3382FAFE" w14:textId="77777777" w:rsidR="00FC6E3F" w:rsidRDefault="00FC6E3F" w:rsidP="001D764F">
            <w:pPr>
              <w:jc w:val="center"/>
              <w:rPr>
                <w:rFonts w:ascii="Arial" w:eastAsia="Arial" w:hAnsi="Arial" w:cs="Arial"/>
                <w:sz w:val="18"/>
                <w:szCs w:val="18"/>
              </w:rPr>
            </w:pPr>
          </w:p>
        </w:tc>
        <w:tc>
          <w:tcPr>
            <w:tcW w:w="1340" w:type="dxa"/>
            <w:shd w:val="clear" w:color="auto" w:fill="auto"/>
          </w:tcPr>
          <w:p w14:paraId="42E3BCB6" w14:textId="77777777" w:rsidR="00FC6E3F" w:rsidRDefault="00FC6E3F" w:rsidP="001D764F">
            <w:pPr>
              <w:jc w:val="center"/>
              <w:rPr>
                <w:rFonts w:ascii="Arial" w:eastAsia="Arial" w:hAnsi="Arial" w:cs="Arial"/>
                <w:sz w:val="18"/>
                <w:szCs w:val="18"/>
              </w:rPr>
            </w:pPr>
          </w:p>
        </w:tc>
        <w:tc>
          <w:tcPr>
            <w:tcW w:w="1166" w:type="dxa"/>
            <w:shd w:val="clear" w:color="auto" w:fill="auto"/>
          </w:tcPr>
          <w:p w14:paraId="35CB752C" w14:textId="77777777" w:rsidR="00FC6E3F" w:rsidRDefault="00FC6E3F" w:rsidP="001D764F">
            <w:pPr>
              <w:jc w:val="center"/>
              <w:rPr>
                <w:rFonts w:ascii="Arial" w:eastAsia="Arial" w:hAnsi="Arial" w:cs="Arial"/>
                <w:sz w:val="18"/>
                <w:szCs w:val="18"/>
              </w:rPr>
            </w:pPr>
          </w:p>
        </w:tc>
        <w:tc>
          <w:tcPr>
            <w:tcW w:w="966" w:type="dxa"/>
            <w:shd w:val="clear" w:color="auto" w:fill="auto"/>
          </w:tcPr>
          <w:p w14:paraId="595AF7C4" w14:textId="77777777" w:rsidR="00FC6E3F" w:rsidRDefault="00FC6E3F" w:rsidP="001D764F">
            <w:pPr>
              <w:jc w:val="center"/>
              <w:rPr>
                <w:rFonts w:ascii="Arial" w:eastAsia="Arial" w:hAnsi="Arial" w:cs="Arial"/>
                <w:sz w:val="18"/>
                <w:szCs w:val="18"/>
              </w:rPr>
            </w:pPr>
          </w:p>
        </w:tc>
        <w:tc>
          <w:tcPr>
            <w:tcW w:w="1794" w:type="dxa"/>
            <w:shd w:val="clear" w:color="auto" w:fill="auto"/>
          </w:tcPr>
          <w:p w14:paraId="11E011CB" w14:textId="77777777" w:rsidR="00FC6E3F" w:rsidRDefault="00FC6E3F" w:rsidP="001D764F">
            <w:pPr>
              <w:jc w:val="center"/>
              <w:rPr>
                <w:rFonts w:ascii="Arial" w:eastAsia="Arial" w:hAnsi="Arial" w:cs="Arial"/>
                <w:sz w:val="18"/>
                <w:szCs w:val="18"/>
              </w:rPr>
            </w:pPr>
          </w:p>
        </w:tc>
        <w:tc>
          <w:tcPr>
            <w:tcW w:w="1794" w:type="dxa"/>
          </w:tcPr>
          <w:p w14:paraId="5C174853" w14:textId="77777777" w:rsidR="00FC6E3F" w:rsidRPr="004F7374" w:rsidRDefault="00FC6E3F" w:rsidP="001D764F">
            <w:pPr>
              <w:jc w:val="center"/>
              <w:rPr>
                <w:rFonts w:ascii="Arial" w:hAnsi="Arial" w:cs="Arial"/>
                <w:kern w:val="22"/>
                <w:sz w:val="18"/>
                <w:szCs w:val="18"/>
              </w:rPr>
            </w:pPr>
          </w:p>
        </w:tc>
      </w:tr>
      <w:tr w:rsidR="00FC6E3F" w:rsidRPr="004F7374" w14:paraId="7B68F049" w14:textId="77777777" w:rsidTr="007A15AD">
        <w:trPr>
          <w:trHeight w:val="236"/>
        </w:trPr>
        <w:tc>
          <w:tcPr>
            <w:tcW w:w="1781" w:type="dxa"/>
            <w:shd w:val="clear" w:color="auto" w:fill="FFE599" w:themeFill="accent4" w:themeFillTint="66"/>
          </w:tcPr>
          <w:p w14:paraId="6C9EF850" w14:textId="77777777" w:rsidR="00FC6E3F" w:rsidRDefault="00FC6E3F" w:rsidP="001D764F">
            <w:pPr>
              <w:rPr>
                <w:rFonts w:ascii="Arial" w:eastAsia="Arial" w:hAnsi="Arial" w:cs="Arial"/>
                <w:sz w:val="18"/>
                <w:szCs w:val="18"/>
              </w:rPr>
            </w:pPr>
          </w:p>
        </w:tc>
        <w:tc>
          <w:tcPr>
            <w:tcW w:w="1936" w:type="dxa"/>
            <w:shd w:val="clear" w:color="auto" w:fill="FFE599" w:themeFill="accent4" w:themeFillTint="66"/>
          </w:tcPr>
          <w:p w14:paraId="29A8F62C" w14:textId="77777777" w:rsidR="00FC6E3F" w:rsidRDefault="00FC6E3F" w:rsidP="001D764F">
            <w:pPr>
              <w:rPr>
                <w:rFonts w:ascii="Arial" w:eastAsia="Arial" w:hAnsi="Arial" w:cs="Arial"/>
                <w:sz w:val="18"/>
                <w:szCs w:val="18"/>
              </w:rPr>
            </w:pPr>
          </w:p>
        </w:tc>
        <w:tc>
          <w:tcPr>
            <w:tcW w:w="1787" w:type="dxa"/>
            <w:shd w:val="clear" w:color="auto" w:fill="auto"/>
          </w:tcPr>
          <w:p w14:paraId="51F8B90B"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4DDFCAA4"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1D6DC1C8" w14:textId="77777777" w:rsidR="00FC6E3F" w:rsidRDefault="00FC6E3F" w:rsidP="001D764F">
            <w:pPr>
              <w:jc w:val="center"/>
              <w:rPr>
                <w:rFonts w:ascii="Arial" w:eastAsia="Arial" w:hAnsi="Arial" w:cs="Arial"/>
                <w:sz w:val="18"/>
                <w:szCs w:val="18"/>
              </w:rPr>
            </w:pPr>
          </w:p>
        </w:tc>
        <w:tc>
          <w:tcPr>
            <w:tcW w:w="1341" w:type="dxa"/>
            <w:shd w:val="clear" w:color="auto" w:fill="auto"/>
          </w:tcPr>
          <w:p w14:paraId="16AFE515"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74F41EC8" w14:textId="77777777" w:rsidR="00FC6E3F" w:rsidRDefault="00FC6E3F" w:rsidP="001D764F">
            <w:pPr>
              <w:jc w:val="center"/>
              <w:rPr>
                <w:rFonts w:ascii="Arial" w:eastAsia="Arial" w:hAnsi="Arial" w:cs="Arial"/>
                <w:sz w:val="18"/>
                <w:szCs w:val="18"/>
              </w:rPr>
            </w:pPr>
          </w:p>
        </w:tc>
        <w:tc>
          <w:tcPr>
            <w:tcW w:w="1193" w:type="dxa"/>
            <w:shd w:val="clear" w:color="auto" w:fill="auto"/>
          </w:tcPr>
          <w:p w14:paraId="544DDBC9" w14:textId="77777777" w:rsidR="00FC6E3F" w:rsidRDefault="00FC6E3F" w:rsidP="001D764F">
            <w:pPr>
              <w:jc w:val="center"/>
              <w:rPr>
                <w:rFonts w:ascii="Arial" w:eastAsia="Arial" w:hAnsi="Arial" w:cs="Arial"/>
                <w:sz w:val="18"/>
                <w:szCs w:val="18"/>
              </w:rPr>
            </w:pPr>
          </w:p>
        </w:tc>
        <w:tc>
          <w:tcPr>
            <w:tcW w:w="1340" w:type="dxa"/>
            <w:shd w:val="clear" w:color="auto" w:fill="auto"/>
          </w:tcPr>
          <w:p w14:paraId="49F5950C" w14:textId="77777777" w:rsidR="00FC6E3F" w:rsidRDefault="00FC6E3F" w:rsidP="001D764F">
            <w:pPr>
              <w:jc w:val="center"/>
              <w:rPr>
                <w:rFonts w:ascii="Arial" w:eastAsia="Arial" w:hAnsi="Arial" w:cs="Arial"/>
                <w:sz w:val="18"/>
                <w:szCs w:val="18"/>
              </w:rPr>
            </w:pPr>
          </w:p>
        </w:tc>
        <w:tc>
          <w:tcPr>
            <w:tcW w:w="1640" w:type="dxa"/>
            <w:shd w:val="clear" w:color="auto" w:fill="auto"/>
          </w:tcPr>
          <w:p w14:paraId="6D63BDD4" w14:textId="77777777" w:rsidR="00FC6E3F" w:rsidRDefault="00FC6E3F" w:rsidP="001D764F">
            <w:pPr>
              <w:jc w:val="center"/>
              <w:rPr>
                <w:rFonts w:ascii="Arial" w:eastAsia="Arial" w:hAnsi="Arial" w:cs="Arial"/>
                <w:sz w:val="18"/>
                <w:szCs w:val="18"/>
              </w:rPr>
            </w:pPr>
          </w:p>
        </w:tc>
        <w:tc>
          <w:tcPr>
            <w:tcW w:w="1340" w:type="dxa"/>
            <w:shd w:val="clear" w:color="auto" w:fill="auto"/>
          </w:tcPr>
          <w:p w14:paraId="2676715E" w14:textId="77777777" w:rsidR="00FC6E3F" w:rsidRDefault="00FC6E3F" w:rsidP="001D764F">
            <w:pPr>
              <w:jc w:val="center"/>
              <w:rPr>
                <w:rFonts w:ascii="Arial" w:eastAsia="Arial" w:hAnsi="Arial" w:cs="Arial"/>
                <w:sz w:val="18"/>
                <w:szCs w:val="18"/>
              </w:rPr>
            </w:pPr>
          </w:p>
        </w:tc>
        <w:tc>
          <w:tcPr>
            <w:tcW w:w="1166" w:type="dxa"/>
            <w:shd w:val="clear" w:color="auto" w:fill="auto"/>
          </w:tcPr>
          <w:p w14:paraId="28E7E6A9" w14:textId="77777777" w:rsidR="00FC6E3F" w:rsidRDefault="00FC6E3F" w:rsidP="001D764F">
            <w:pPr>
              <w:jc w:val="center"/>
              <w:rPr>
                <w:rFonts w:ascii="Arial" w:eastAsia="Arial" w:hAnsi="Arial" w:cs="Arial"/>
                <w:sz w:val="18"/>
                <w:szCs w:val="18"/>
              </w:rPr>
            </w:pPr>
          </w:p>
        </w:tc>
        <w:tc>
          <w:tcPr>
            <w:tcW w:w="966" w:type="dxa"/>
            <w:shd w:val="clear" w:color="auto" w:fill="auto"/>
          </w:tcPr>
          <w:p w14:paraId="6388AE1F" w14:textId="77777777" w:rsidR="00FC6E3F" w:rsidRDefault="00FC6E3F" w:rsidP="001D764F">
            <w:pPr>
              <w:jc w:val="center"/>
              <w:rPr>
                <w:rFonts w:ascii="Arial" w:eastAsia="Arial" w:hAnsi="Arial" w:cs="Arial"/>
                <w:sz w:val="18"/>
                <w:szCs w:val="18"/>
              </w:rPr>
            </w:pPr>
          </w:p>
        </w:tc>
        <w:tc>
          <w:tcPr>
            <w:tcW w:w="1794" w:type="dxa"/>
            <w:shd w:val="clear" w:color="auto" w:fill="auto"/>
          </w:tcPr>
          <w:p w14:paraId="0D8CB51B" w14:textId="77777777" w:rsidR="00FC6E3F" w:rsidRDefault="00FC6E3F" w:rsidP="001D764F">
            <w:pPr>
              <w:jc w:val="center"/>
              <w:rPr>
                <w:rFonts w:ascii="Arial" w:eastAsia="Arial" w:hAnsi="Arial" w:cs="Arial"/>
                <w:sz w:val="18"/>
                <w:szCs w:val="18"/>
              </w:rPr>
            </w:pPr>
          </w:p>
        </w:tc>
        <w:tc>
          <w:tcPr>
            <w:tcW w:w="1794" w:type="dxa"/>
          </w:tcPr>
          <w:p w14:paraId="6A0C781D" w14:textId="77777777" w:rsidR="00FC6E3F" w:rsidRPr="004F7374" w:rsidRDefault="00FC6E3F" w:rsidP="001D764F">
            <w:pPr>
              <w:jc w:val="center"/>
              <w:rPr>
                <w:rFonts w:ascii="Arial" w:hAnsi="Arial" w:cs="Arial"/>
                <w:kern w:val="22"/>
                <w:sz w:val="18"/>
                <w:szCs w:val="18"/>
              </w:rPr>
            </w:pPr>
          </w:p>
        </w:tc>
      </w:tr>
      <w:bookmarkEnd w:id="0"/>
    </w:tbl>
    <w:p w14:paraId="58EF590B" w14:textId="77777777" w:rsidR="00FC6E3F" w:rsidRDefault="00FC6E3F"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Tabellenraster"/>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Listenabsatz"/>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Listenabsatz"/>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0" w:history="1">
              <w:r w:rsidR="00DD789A"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Listenabsatz"/>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1"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Listenabsatz"/>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 xml:space="preserve">Indicator used to measure other MEAs or processes (e.g. </w:t>
            </w:r>
            <w:proofErr w:type="spellStart"/>
            <w:r w:rsidRPr="004F7374">
              <w:rPr>
                <w:rFonts w:ascii="Arial" w:hAnsi="Arial" w:cs="Arial"/>
                <w:b/>
                <w:sz w:val="16"/>
                <w:szCs w:val="16"/>
              </w:rPr>
              <w:t>Ramsar</w:t>
            </w:r>
            <w:proofErr w:type="spellEnd"/>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FD0318" w:rsidRPr="004F7374" w14:paraId="5E57E61F" w14:textId="77777777" w:rsidTr="007A15AD">
        <w:trPr>
          <w:trHeight w:val="296"/>
        </w:trPr>
        <w:tc>
          <w:tcPr>
            <w:tcW w:w="1781" w:type="dxa"/>
            <w:shd w:val="clear" w:color="auto" w:fill="FFE599" w:themeFill="accent4" w:themeFillTint="66"/>
          </w:tcPr>
          <w:p w14:paraId="019B717B" w14:textId="0913CC9D" w:rsidR="00FD0318" w:rsidRPr="007D6F80" w:rsidRDefault="00955F05" w:rsidP="00FD0318">
            <w:pPr>
              <w:rPr>
                <w:rFonts w:ascii="Arial" w:hAnsi="Arial" w:cs="Arial"/>
                <w:i/>
                <w:iCs/>
                <w:sz w:val="18"/>
                <w:szCs w:val="18"/>
              </w:rPr>
            </w:pPr>
            <w:r w:rsidRPr="007D6F80">
              <w:rPr>
                <w:rFonts w:ascii="Arial" w:eastAsia="Arial" w:hAnsi="Arial" w:cs="Arial"/>
                <w:i/>
                <w:iCs/>
                <w:sz w:val="18"/>
                <w:szCs w:val="18"/>
              </w:rPr>
              <w:t>T4.1. Harvest is legal, sustainable and safe for human health and biodiversity</w:t>
            </w:r>
          </w:p>
        </w:tc>
        <w:tc>
          <w:tcPr>
            <w:tcW w:w="1936" w:type="dxa"/>
            <w:shd w:val="clear" w:color="auto" w:fill="FFE599" w:themeFill="accent4" w:themeFillTint="66"/>
          </w:tcPr>
          <w:p w14:paraId="435D2472" w14:textId="7A0E8242" w:rsidR="00FD0318" w:rsidRPr="007D6F80" w:rsidRDefault="007D6F80" w:rsidP="00FD0318">
            <w:pPr>
              <w:rPr>
                <w:rFonts w:ascii="Arial" w:hAnsi="Arial" w:cs="Arial"/>
                <w:i/>
                <w:iCs/>
                <w:sz w:val="18"/>
                <w:szCs w:val="18"/>
              </w:rPr>
            </w:pPr>
            <w:r w:rsidRPr="007D6F80">
              <w:rPr>
                <w:rFonts w:ascii="Arial" w:eastAsia="Arial" w:hAnsi="Arial" w:cs="Arial"/>
                <w:i/>
                <w:iCs/>
                <w:sz w:val="18"/>
                <w:szCs w:val="18"/>
              </w:rPr>
              <w:t>Trends in proportion of biological resources harvested legally</w:t>
            </w:r>
          </w:p>
        </w:tc>
        <w:tc>
          <w:tcPr>
            <w:tcW w:w="1787" w:type="dxa"/>
            <w:shd w:val="clear" w:color="auto" w:fill="auto"/>
          </w:tcPr>
          <w:p w14:paraId="52D0B6E8" w14:textId="77777777" w:rsidR="00FD0318" w:rsidRPr="007D6F80" w:rsidRDefault="00FD0318" w:rsidP="00FD0318">
            <w:pPr>
              <w:rPr>
                <w:rFonts w:ascii="Arial" w:eastAsia="Arial" w:hAnsi="Arial" w:cs="Arial"/>
                <w:i/>
                <w:iCs/>
                <w:color w:val="000000"/>
                <w:sz w:val="18"/>
                <w:szCs w:val="18"/>
              </w:rPr>
            </w:pPr>
            <w:r w:rsidRPr="007D6F80">
              <w:rPr>
                <w:rFonts w:ascii="Arial" w:eastAsia="Arial" w:hAnsi="Arial" w:cs="Arial"/>
                <w:i/>
                <w:iCs/>
                <w:color w:val="000000"/>
                <w:sz w:val="18"/>
                <w:szCs w:val="18"/>
              </w:rPr>
              <w:t xml:space="preserve">Red List Index </w:t>
            </w:r>
          </w:p>
          <w:p w14:paraId="674BFC0F" w14:textId="606D0E76" w:rsidR="00FD0318" w:rsidRPr="007D6F80" w:rsidRDefault="00FD0318" w:rsidP="00FD0318">
            <w:pPr>
              <w:rPr>
                <w:rFonts w:ascii="Arial" w:hAnsi="Arial" w:cs="Arial"/>
                <w:i/>
                <w:iCs/>
                <w:sz w:val="18"/>
                <w:szCs w:val="18"/>
              </w:rPr>
            </w:pPr>
          </w:p>
        </w:tc>
        <w:tc>
          <w:tcPr>
            <w:tcW w:w="1489" w:type="dxa"/>
            <w:shd w:val="clear" w:color="auto" w:fill="auto"/>
          </w:tcPr>
          <w:p w14:paraId="75AF64AB" w14:textId="77777777" w:rsidR="00FD0318" w:rsidRPr="007D6F80" w:rsidRDefault="00FD0318" w:rsidP="00FD0318">
            <w:pPr>
              <w:rPr>
                <w:rFonts w:ascii="Arial" w:eastAsia="Arial" w:hAnsi="Arial" w:cs="Arial"/>
                <w:i/>
                <w:iCs/>
                <w:color w:val="000000"/>
                <w:sz w:val="18"/>
                <w:szCs w:val="18"/>
              </w:rPr>
            </w:pPr>
            <w:r w:rsidRPr="007D6F80">
              <w:rPr>
                <w:rFonts w:ascii="Arial" w:eastAsia="Arial" w:hAnsi="Arial" w:cs="Arial"/>
                <w:i/>
                <w:iCs/>
                <w:color w:val="000000"/>
                <w:sz w:val="18"/>
                <w:szCs w:val="18"/>
              </w:rPr>
              <w:t xml:space="preserve">IUCN &amp; </w:t>
            </w:r>
            <w:proofErr w:type="spellStart"/>
            <w:r w:rsidRPr="007D6F80">
              <w:rPr>
                <w:rFonts w:ascii="Arial" w:eastAsia="Arial" w:hAnsi="Arial" w:cs="Arial"/>
                <w:i/>
                <w:iCs/>
                <w:color w:val="000000"/>
                <w:sz w:val="18"/>
                <w:szCs w:val="18"/>
              </w:rPr>
              <w:t>BirdLife</w:t>
            </w:r>
            <w:proofErr w:type="spellEnd"/>
            <w:r w:rsidRPr="007D6F80">
              <w:rPr>
                <w:rFonts w:ascii="Arial" w:eastAsia="Arial" w:hAnsi="Arial" w:cs="Arial"/>
                <w:i/>
                <w:iCs/>
                <w:color w:val="000000"/>
                <w:sz w:val="18"/>
                <w:szCs w:val="18"/>
              </w:rPr>
              <w:t xml:space="preserve"> International</w:t>
            </w:r>
          </w:p>
          <w:p w14:paraId="68B92E9E" w14:textId="2C05CDA8" w:rsidR="00FD0318" w:rsidRPr="007D6F80" w:rsidRDefault="00FD0318" w:rsidP="00FD0318">
            <w:pPr>
              <w:rPr>
                <w:rFonts w:ascii="Arial" w:hAnsi="Arial" w:cs="Arial"/>
                <w:i/>
                <w:iCs/>
                <w:sz w:val="18"/>
                <w:szCs w:val="18"/>
              </w:rPr>
            </w:pPr>
          </w:p>
        </w:tc>
        <w:tc>
          <w:tcPr>
            <w:tcW w:w="1194" w:type="dxa"/>
            <w:shd w:val="clear" w:color="auto" w:fill="auto"/>
          </w:tcPr>
          <w:p w14:paraId="233E49AD" w14:textId="32906FBB"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X</w:t>
            </w:r>
          </w:p>
        </w:tc>
        <w:tc>
          <w:tcPr>
            <w:tcW w:w="1341" w:type="dxa"/>
            <w:shd w:val="clear" w:color="auto" w:fill="auto"/>
          </w:tcPr>
          <w:p w14:paraId="279D495E" w14:textId="6098DEC7" w:rsidR="00FD0318" w:rsidRPr="007D6F80" w:rsidRDefault="00FD0318" w:rsidP="00FD0318">
            <w:pPr>
              <w:jc w:val="center"/>
              <w:rPr>
                <w:rFonts w:ascii="Arial" w:hAnsi="Arial" w:cs="Arial"/>
                <w:i/>
                <w:iCs/>
                <w:sz w:val="18"/>
                <w:szCs w:val="18"/>
              </w:rPr>
            </w:pPr>
          </w:p>
        </w:tc>
        <w:tc>
          <w:tcPr>
            <w:tcW w:w="1042" w:type="dxa"/>
            <w:shd w:val="clear" w:color="auto" w:fill="auto"/>
          </w:tcPr>
          <w:p w14:paraId="5814549E" w14:textId="2CA373B4"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2020</w:t>
            </w:r>
          </w:p>
        </w:tc>
        <w:tc>
          <w:tcPr>
            <w:tcW w:w="1193" w:type="dxa"/>
            <w:shd w:val="clear" w:color="auto" w:fill="auto"/>
          </w:tcPr>
          <w:p w14:paraId="1EFF1774" w14:textId="098E3F11" w:rsidR="00FD0318" w:rsidRPr="007D6F80" w:rsidRDefault="00FD0318" w:rsidP="14E12F90">
            <w:pPr>
              <w:jc w:val="center"/>
              <w:rPr>
                <w:rFonts w:ascii="Arial" w:hAnsi="Arial" w:cs="Arial"/>
                <w:i/>
                <w:iCs/>
                <w:sz w:val="18"/>
                <w:szCs w:val="18"/>
              </w:rPr>
            </w:pPr>
            <w:r w:rsidRPr="14E12F90">
              <w:rPr>
                <w:rFonts w:ascii="Arial" w:eastAsia="Arial" w:hAnsi="Arial" w:cs="Arial"/>
                <w:i/>
                <w:iCs/>
                <w:sz w:val="18"/>
                <w:szCs w:val="18"/>
              </w:rPr>
              <w:t>1993</w:t>
            </w:r>
            <w:r w:rsidR="4342986A" w:rsidRPr="14E12F90">
              <w:rPr>
                <w:rFonts w:ascii="Arial" w:eastAsia="Arial" w:hAnsi="Arial" w:cs="Arial"/>
                <w:i/>
                <w:iCs/>
                <w:sz w:val="18"/>
                <w:szCs w:val="18"/>
              </w:rPr>
              <w:t>-2020</w:t>
            </w:r>
            <w:r w:rsidRPr="14E12F90">
              <w:rPr>
                <w:rFonts w:ascii="Arial" w:eastAsia="Arial" w:hAnsi="Arial" w:cs="Arial"/>
                <w:i/>
                <w:iCs/>
                <w:sz w:val="18"/>
                <w:szCs w:val="18"/>
              </w:rPr>
              <w:t>, updated annually</w:t>
            </w:r>
          </w:p>
        </w:tc>
        <w:tc>
          <w:tcPr>
            <w:tcW w:w="1340" w:type="dxa"/>
            <w:shd w:val="clear" w:color="auto" w:fill="auto"/>
          </w:tcPr>
          <w:p w14:paraId="3B337FC1" w14:textId="6A303F36"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1640" w:type="dxa"/>
            <w:shd w:val="clear" w:color="auto" w:fill="auto"/>
          </w:tcPr>
          <w:p w14:paraId="41B8D4F2" w14:textId="0FF51ADF"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1340" w:type="dxa"/>
            <w:shd w:val="clear" w:color="auto" w:fill="auto"/>
          </w:tcPr>
          <w:p w14:paraId="6ACE2CD7" w14:textId="38C6513E"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N</w:t>
            </w:r>
          </w:p>
        </w:tc>
        <w:tc>
          <w:tcPr>
            <w:tcW w:w="1166" w:type="dxa"/>
            <w:shd w:val="clear" w:color="auto" w:fill="auto"/>
          </w:tcPr>
          <w:p w14:paraId="029B27A6" w14:textId="258AEAC8"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966" w:type="dxa"/>
            <w:shd w:val="clear" w:color="auto" w:fill="auto"/>
          </w:tcPr>
          <w:p w14:paraId="70E21E02" w14:textId="77777777" w:rsidR="00FD0318" w:rsidRPr="007D6F80" w:rsidRDefault="00FD0318" w:rsidP="00FD0318">
            <w:pPr>
              <w:jc w:val="center"/>
              <w:rPr>
                <w:rFonts w:ascii="Arial" w:eastAsia="Arial" w:hAnsi="Arial" w:cs="Arial"/>
                <w:i/>
                <w:iCs/>
                <w:sz w:val="18"/>
                <w:szCs w:val="18"/>
              </w:rPr>
            </w:pPr>
            <w:r w:rsidRPr="007D6F80">
              <w:rPr>
                <w:rFonts w:ascii="Arial" w:eastAsia="Arial" w:hAnsi="Arial" w:cs="Arial"/>
                <w:i/>
                <w:iCs/>
                <w:sz w:val="18"/>
                <w:szCs w:val="18"/>
              </w:rPr>
              <w:t>Y</w:t>
            </w:r>
          </w:p>
          <w:p w14:paraId="2DA628D1" w14:textId="77777777" w:rsidR="00FD0318" w:rsidRPr="007D6F80" w:rsidRDefault="00FD0318" w:rsidP="00FD0318">
            <w:pPr>
              <w:jc w:val="center"/>
              <w:rPr>
                <w:rFonts w:ascii="Arial" w:eastAsia="Arial" w:hAnsi="Arial" w:cs="Arial"/>
                <w:i/>
                <w:iCs/>
                <w:sz w:val="18"/>
                <w:szCs w:val="18"/>
              </w:rPr>
            </w:pPr>
            <w:r w:rsidRPr="007D6F80">
              <w:rPr>
                <w:rFonts w:ascii="Arial" w:eastAsia="Arial" w:hAnsi="Arial" w:cs="Arial"/>
                <w:i/>
                <w:iCs/>
                <w:sz w:val="18"/>
                <w:szCs w:val="18"/>
              </w:rPr>
              <w:t>SDG indicator 15.5.1</w:t>
            </w:r>
          </w:p>
          <w:p w14:paraId="3CC9CA20" w14:textId="5D5DC1D6" w:rsidR="00FD0318" w:rsidRPr="007D6F80" w:rsidRDefault="00FD0318" w:rsidP="00FD0318">
            <w:pPr>
              <w:jc w:val="center"/>
              <w:rPr>
                <w:rFonts w:ascii="Arial" w:hAnsi="Arial" w:cs="Arial"/>
                <w:i/>
                <w:iCs/>
                <w:sz w:val="18"/>
                <w:szCs w:val="18"/>
              </w:rPr>
            </w:pPr>
          </w:p>
        </w:tc>
        <w:tc>
          <w:tcPr>
            <w:tcW w:w="1794" w:type="dxa"/>
            <w:shd w:val="clear" w:color="auto" w:fill="auto"/>
          </w:tcPr>
          <w:p w14:paraId="245BF1A9" w14:textId="1E26DBF8" w:rsidR="00FD0318" w:rsidRPr="007D6F80" w:rsidRDefault="004B55FA" w:rsidP="007D6F80">
            <w:pPr>
              <w:jc w:val="center"/>
              <w:rPr>
                <w:rFonts w:ascii="Arial" w:hAnsi="Arial" w:cs="Arial"/>
                <w:i/>
                <w:iCs/>
                <w:sz w:val="18"/>
                <w:szCs w:val="18"/>
              </w:rPr>
            </w:pPr>
            <w:r w:rsidRPr="007D6F80">
              <w:rPr>
                <w:rFonts w:ascii="Arial" w:eastAsia="Arial" w:hAnsi="Arial" w:cs="Arial"/>
                <w:i/>
                <w:iCs/>
                <w:sz w:val="18"/>
                <w:szCs w:val="18"/>
              </w:rPr>
              <w:t xml:space="preserve">CMS, IPBES, </w:t>
            </w:r>
            <w:proofErr w:type="spellStart"/>
            <w:r w:rsidRPr="007D6F80">
              <w:rPr>
                <w:rFonts w:ascii="Arial" w:eastAsia="Arial" w:hAnsi="Arial" w:cs="Arial"/>
                <w:i/>
                <w:iCs/>
                <w:sz w:val="18"/>
                <w:szCs w:val="18"/>
              </w:rPr>
              <w:t>Ramsar</w:t>
            </w:r>
            <w:proofErr w:type="spellEnd"/>
          </w:p>
        </w:tc>
        <w:tc>
          <w:tcPr>
            <w:tcW w:w="1794" w:type="dxa"/>
          </w:tcPr>
          <w:p w14:paraId="7652B788" w14:textId="77777777" w:rsidR="00FD0318" w:rsidRPr="00292092" w:rsidRDefault="00FD0318" w:rsidP="00FD0318">
            <w:pPr>
              <w:jc w:val="center"/>
              <w:rPr>
                <w:rFonts w:ascii="Arial" w:hAnsi="Arial" w:cs="Arial"/>
                <w:i/>
                <w:iCs/>
                <w:sz w:val="18"/>
                <w:szCs w:val="18"/>
              </w:rPr>
            </w:pPr>
          </w:p>
        </w:tc>
      </w:tr>
      <w:tr w:rsidR="00B346BD" w:rsidRPr="004F7374" w14:paraId="5CAFE9CB" w14:textId="77777777" w:rsidTr="007A15AD">
        <w:trPr>
          <w:trHeight w:val="236"/>
        </w:trPr>
        <w:tc>
          <w:tcPr>
            <w:tcW w:w="1781" w:type="dxa"/>
            <w:shd w:val="clear" w:color="auto" w:fill="FFE599" w:themeFill="accent4" w:themeFillTint="66"/>
          </w:tcPr>
          <w:p w14:paraId="6D242E11" w14:textId="3C18AF8E" w:rsidR="00B346BD" w:rsidRPr="00292092" w:rsidRDefault="00B346BD" w:rsidP="00B346BD">
            <w:pPr>
              <w:rPr>
                <w:rFonts w:ascii="Arial" w:hAnsi="Arial" w:cs="Arial"/>
                <w:i/>
                <w:iCs/>
                <w:sz w:val="18"/>
                <w:szCs w:val="18"/>
              </w:rPr>
            </w:pPr>
            <w:r w:rsidRPr="00292092">
              <w:rPr>
                <w:rFonts w:ascii="Arial" w:eastAsia="Arial" w:hAnsi="Arial" w:cs="Arial"/>
                <w:i/>
                <w:iCs/>
                <w:sz w:val="18"/>
                <w:szCs w:val="18"/>
              </w:rPr>
              <w:t>T6.4. Reduction of pollution from other sources</w:t>
            </w:r>
          </w:p>
        </w:tc>
        <w:tc>
          <w:tcPr>
            <w:tcW w:w="1936" w:type="dxa"/>
            <w:shd w:val="clear" w:color="auto" w:fill="FFE599" w:themeFill="accent4" w:themeFillTint="66"/>
          </w:tcPr>
          <w:p w14:paraId="20083737" w14:textId="76F2CC8B" w:rsidR="00B346BD" w:rsidRPr="00292092" w:rsidRDefault="00B346BD" w:rsidP="00B346BD">
            <w:pPr>
              <w:rPr>
                <w:rFonts w:ascii="Arial" w:hAnsi="Arial" w:cs="Arial"/>
                <w:i/>
                <w:iCs/>
                <w:sz w:val="18"/>
                <w:szCs w:val="18"/>
              </w:rPr>
            </w:pPr>
            <w:r w:rsidRPr="00292092">
              <w:rPr>
                <w:rFonts w:ascii="Arial" w:eastAsia="Arial" w:hAnsi="Arial" w:cs="Arial"/>
                <w:i/>
                <w:iCs/>
                <w:sz w:val="18"/>
                <w:szCs w:val="18"/>
              </w:rPr>
              <w:t>Trends in levels of pollution from sediments</w:t>
            </w:r>
          </w:p>
        </w:tc>
        <w:tc>
          <w:tcPr>
            <w:tcW w:w="1787" w:type="dxa"/>
            <w:shd w:val="clear" w:color="auto" w:fill="auto"/>
          </w:tcPr>
          <w:p w14:paraId="51BB6611" w14:textId="1CC1ABAA" w:rsidR="00B346BD" w:rsidRPr="00292092" w:rsidRDefault="00B346BD" w:rsidP="00B346BD">
            <w:pPr>
              <w:rPr>
                <w:rFonts w:ascii="Arial" w:hAnsi="Arial" w:cs="Arial"/>
                <w:i/>
                <w:iCs/>
                <w:kern w:val="22"/>
                <w:sz w:val="18"/>
                <w:szCs w:val="18"/>
              </w:rPr>
            </w:pPr>
            <w:r w:rsidRPr="00292092">
              <w:rPr>
                <w:rFonts w:ascii="Arial" w:eastAsia="Arial" w:hAnsi="Arial" w:cs="Arial"/>
                <w:i/>
                <w:iCs/>
                <w:sz w:val="18"/>
                <w:szCs w:val="18"/>
              </w:rPr>
              <w:t>Index of Coastal Eutrophication</w:t>
            </w:r>
          </w:p>
        </w:tc>
        <w:tc>
          <w:tcPr>
            <w:tcW w:w="1489" w:type="dxa"/>
            <w:shd w:val="clear" w:color="auto" w:fill="auto"/>
          </w:tcPr>
          <w:p w14:paraId="59688D0E" w14:textId="5F51978C" w:rsidR="00B346BD" w:rsidRPr="00292092" w:rsidRDefault="00B346BD" w:rsidP="00B346BD">
            <w:pPr>
              <w:rPr>
                <w:rFonts w:ascii="Arial" w:hAnsi="Arial" w:cs="Arial"/>
                <w:i/>
                <w:iCs/>
                <w:kern w:val="22"/>
                <w:sz w:val="18"/>
                <w:szCs w:val="18"/>
              </w:rPr>
            </w:pPr>
            <w:r w:rsidRPr="00292092">
              <w:rPr>
                <w:rFonts w:ascii="Arial" w:eastAsia="Arial" w:hAnsi="Arial" w:cs="Arial"/>
                <w:i/>
                <w:iCs/>
                <w:sz w:val="18"/>
                <w:szCs w:val="18"/>
              </w:rPr>
              <w:t>UNEP / IOC-UNESCO</w:t>
            </w:r>
          </w:p>
        </w:tc>
        <w:tc>
          <w:tcPr>
            <w:tcW w:w="1194" w:type="dxa"/>
            <w:shd w:val="clear" w:color="auto" w:fill="auto"/>
          </w:tcPr>
          <w:p w14:paraId="1AF83645" w14:textId="582FB1F2" w:rsidR="00B346BD" w:rsidRPr="00292092" w:rsidRDefault="00B346BD" w:rsidP="00B346BD">
            <w:pPr>
              <w:jc w:val="center"/>
              <w:rPr>
                <w:rFonts w:ascii="Arial" w:hAnsi="Arial" w:cs="Arial"/>
                <w:i/>
                <w:iCs/>
                <w:kern w:val="22"/>
                <w:sz w:val="18"/>
                <w:szCs w:val="18"/>
              </w:rPr>
            </w:pPr>
            <w:r w:rsidRPr="00292092">
              <w:rPr>
                <w:rFonts w:ascii="Arial" w:eastAsia="Arial" w:hAnsi="Arial" w:cs="Arial"/>
                <w:i/>
                <w:iCs/>
                <w:sz w:val="18"/>
                <w:szCs w:val="18"/>
              </w:rPr>
              <w:t>Y</w:t>
            </w:r>
          </w:p>
        </w:tc>
        <w:tc>
          <w:tcPr>
            <w:tcW w:w="1341" w:type="dxa"/>
            <w:shd w:val="clear" w:color="auto" w:fill="auto"/>
          </w:tcPr>
          <w:p w14:paraId="3F46A2EC" w14:textId="38CA73D2" w:rsidR="00B346BD" w:rsidRPr="00292092" w:rsidRDefault="00B346BD" w:rsidP="00B346BD">
            <w:pPr>
              <w:jc w:val="center"/>
              <w:rPr>
                <w:rFonts w:ascii="Arial" w:hAnsi="Arial" w:cs="Arial"/>
                <w:i/>
                <w:iCs/>
                <w:kern w:val="22"/>
                <w:sz w:val="18"/>
                <w:szCs w:val="18"/>
              </w:rPr>
            </w:pPr>
            <w:r w:rsidRPr="00292092">
              <w:rPr>
                <w:rFonts w:ascii="Arial" w:eastAsia="Arial" w:hAnsi="Arial" w:cs="Arial"/>
                <w:i/>
                <w:iCs/>
                <w:sz w:val="18"/>
                <w:szCs w:val="18"/>
              </w:rPr>
              <w:t>2021</w:t>
            </w:r>
          </w:p>
        </w:tc>
        <w:tc>
          <w:tcPr>
            <w:tcW w:w="1042" w:type="dxa"/>
            <w:shd w:val="clear" w:color="auto" w:fill="auto"/>
          </w:tcPr>
          <w:p w14:paraId="13E517DF" w14:textId="393BED3E" w:rsidR="00B346BD" w:rsidRPr="00292092" w:rsidRDefault="00B346BD" w:rsidP="00B346BD">
            <w:pPr>
              <w:jc w:val="center"/>
              <w:rPr>
                <w:rFonts w:ascii="Arial" w:hAnsi="Arial" w:cs="Arial"/>
                <w:i/>
                <w:iCs/>
                <w:kern w:val="22"/>
                <w:sz w:val="18"/>
                <w:szCs w:val="18"/>
              </w:rPr>
            </w:pPr>
          </w:p>
        </w:tc>
        <w:tc>
          <w:tcPr>
            <w:tcW w:w="1193" w:type="dxa"/>
            <w:shd w:val="clear" w:color="auto" w:fill="auto"/>
          </w:tcPr>
          <w:p w14:paraId="56D17B36" w14:textId="49CA1023" w:rsidR="00B346BD" w:rsidRPr="00292092" w:rsidRDefault="00B346BD" w:rsidP="00B346BD">
            <w:pPr>
              <w:jc w:val="center"/>
              <w:rPr>
                <w:rFonts w:ascii="Arial" w:hAnsi="Arial" w:cs="Arial"/>
                <w:i/>
                <w:iCs/>
                <w:kern w:val="22"/>
                <w:sz w:val="18"/>
                <w:szCs w:val="18"/>
              </w:rPr>
            </w:pPr>
            <w:r w:rsidRPr="00292092">
              <w:rPr>
                <w:rFonts w:ascii="Arial" w:eastAsia="Arial" w:hAnsi="Arial" w:cs="Arial"/>
                <w:i/>
                <w:iCs/>
                <w:sz w:val="18"/>
                <w:szCs w:val="18"/>
              </w:rPr>
              <w:t>Every 5 years</w:t>
            </w:r>
          </w:p>
        </w:tc>
        <w:tc>
          <w:tcPr>
            <w:tcW w:w="1340" w:type="dxa"/>
            <w:shd w:val="clear" w:color="auto" w:fill="auto"/>
          </w:tcPr>
          <w:p w14:paraId="3D709F1C" w14:textId="20E5D3D3" w:rsidR="00B346BD" w:rsidRPr="00292092" w:rsidRDefault="00B346BD" w:rsidP="00B346BD">
            <w:pPr>
              <w:jc w:val="center"/>
              <w:rPr>
                <w:rFonts w:ascii="Arial" w:hAnsi="Arial" w:cs="Arial"/>
                <w:i/>
                <w:iCs/>
                <w:kern w:val="22"/>
                <w:sz w:val="18"/>
                <w:szCs w:val="18"/>
              </w:rPr>
            </w:pPr>
          </w:p>
        </w:tc>
        <w:tc>
          <w:tcPr>
            <w:tcW w:w="1640" w:type="dxa"/>
            <w:shd w:val="clear" w:color="auto" w:fill="auto"/>
          </w:tcPr>
          <w:p w14:paraId="2494BC81" w14:textId="05EE4550" w:rsidR="00B346BD" w:rsidRPr="00292092" w:rsidRDefault="00B346BD" w:rsidP="00B346BD">
            <w:pPr>
              <w:jc w:val="center"/>
              <w:rPr>
                <w:rFonts w:ascii="Arial" w:hAnsi="Arial" w:cs="Arial"/>
                <w:i/>
                <w:iCs/>
                <w:kern w:val="22"/>
                <w:sz w:val="18"/>
                <w:szCs w:val="18"/>
              </w:rPr>
            </w:pPr>
          </w:p>
        </w:tc>
        <w:tc>
          <w:tcPr>
            <w:tcW w:w="1340" w:type="dxa"/>
            <w:shd w:val="clear" w:color="auto" w:fill="auto"/>
          </w:tcPr>
          <w:p w14:paraId="791077B4" w14:textId="767BC981" w:rsidR="00B346BD" w:rsidRPr="00292092" w:rsidRDefault="00B346BD" w:rsidP="00B346BD">
            <w:pPr>
              <w:jc w:val="center"/>
              <w:rPr>
                <w:rFonts w:ascii="Arial" w:hAnsi="Arial" w:cs="Arial"/>
                <w:i/>
                <w:iCs/>
                <w:kern w:val="22"/>
                <w:sz w:val="18"/>
                <w:szCs w:val="18"/>
              </w:rPr>
            </w:pPr>
          </w:p>
        </w:tc>
        <w:tc>
          <w:tcPr>
            <w:tcW w:w="1166" w:type="dxa"/>
            <w:shd w:val="clear" w:color="auto" w:fill="auto"/>
          </w:tcPr>
          <w:p w14:paraId="07CD223D" w14:textId="495411CE" w:rsidR="00B346BD" w:rsidRPr="00292092" w:rsidRDefault="00B346BD" w:rsidP="00B346BD">
            <w:pPr>
              <w:jc w:val="center"/>
              <w:rPr>
                <w:rFonts w:ascii="Arial" w:hAnsi="Arial" w:cs="Arial"/>
                <w:i/>
                <w:iCs/>
                <w:kern w:val="22"/>
                <w:sz w:val="18"/>
                <w:szCs w:val="18"/>
              </w:rPr>
            </w:pPr>
          </w:p>
        </w:tc>
        <w:tc>
          <w:tcPr>
            <w:tcW w:w="966" w:type="dxa"/>
            <w:shd w:val="clear" w:color="auto" w:fill="auto"/>
          </w:tcPr>
          <w:p w14:paraId="67D9E82D" w14:textId="77777777" w:rsidR="00B346BD" w:rsidRPr="00292092" w:rsidRDefault="00B346BD" w:rsidP="00B346BD">
            <w:pPr>
              <w:jc w:val="center"/>
              <w:rPr>
                <w:rFonts w:ascii="Arial" w:eastAsia="Arial" w:hAnsi="Arial" w:cs="Arial"/>
                <w:i/>
                <w:iCs/>
                <w:sz w:val="18"/>
                <w:szCs w:val="18"/>
              </w:rPr>
            </w:pPr>
            <w:r w:rsidRPr="00292092">
              <w:rPr>
                <w:rFonts w:ascii="Arial" w:eastAsia="Arial" w:hAnsi="Arial" w:cs="Arial"/>
                <w:i/>
                <w:iCs/>
                <w:sz w:val="18"/>
                <w:szCs w:val="18"/>
              </w:rPr>
              <w:t>Y</w:t>
            </w:r>
          </w:p>
          <w:p w14:paraId="63A73CB9" w14:textId="2DAD01E8" w:rsidR="00B346BD" w:rsidRPr="00292092" w:rsidRDefault="00B346BD" w:rsidP="00B346BD">
            <w:pPr>
              <w:jc w:val="center"/>
              <w:rPr>
                <w:rFonts w:ascii="Arial" w:hAnsi="Arial" w:cs="Arial"/>
                <w:i/>
                <w:iCs/>
                <w:kern w:val="22"/>
                <w:sz w:val="18"/>
                <w:szCs w:val="18"/>
              </w:rPr>
            </w:pPr>
            <w:r w:rsidRPr="00292092">
              <w:rPr>
                <w:rFonts w:ascii="Arial" w:eastAsia="Arial" w:hAnsi="Arial" w:cs="Arial"/>
                <w:i/>
                <w:iCs/>
                <w:sz w:val="18"/>
                <w:szCs w:val="18"/>
              </w:rPr>
              <w:t>SDG indicator 14.1.1a</w:t>
            </w:r>
          </w:p>
        </w:tc>
        <w:tc>
          <w:tcPr>
            <w:tcW w:w="1794" w:type="dxa"/>
            <w:shd w:val="clear" w:color="auto" w:fill="auto"/>
          </w:tcPr>
          <w:p w14:paraId="21D178C0" w14:textId="23ABD413" w:rsidR="00B346BD" w:rsidRPr="00292092" w:rsidRDefault="00B346BD" w:rsidP="00B346BD">
            <w:pPr>
              <w:jc w:val="center"/>
              <w:rPr>
                <w:rFonts w:ascii="Arial" w:hAnsi="Arial" w:cs="Arial"/>
                <w:i/>
                <w:iCs/>
                <w:kern w:val="22"/>
                <w:sz w:val="18"/>
                <w:szCs w:val="18"/>
              </w:rPr>
            </w:pPr>
          </w:p>
        </w:tc>
        <w:tc>
          <w:tcPr>
            <w:tcW w:w="1794" w:type="dxa"/>
          </w:tcPr>
          <w:p w14:paraId="7C1214AB" w14:textId="77777777" w:rsidR="00B346BD" w:rsidRPr="00292092" w:rsidRDefault="00B346BD" w:rsidP="00B346BD">
            <w:pPr>
              <w:jc w:val="center"/>
              <w:rPr>
                <w:rFonts w:ascii="Arial" w:hAnsi="Arial" w:cs="Arial"/>
                <w:i/>
                <w:iCs/>
                <w:kern w:val="22"/>
                <w:sz w:val="18"/>
                <w:szCs w:val="18"/>
              </w:rPr>
            </w:pPr>
          </w:p>
        </w:tc>
      </w:tr>
      <w:tr w:rsidR="00B346BD" w:rsidRPr="004F7374" w14:paraId="5BF826B7" w14:textId="77777777" w:rsidTr="007A15AD">
        <w:trPr>
          <w:trHeight w:val="236"/>
        </w:trPr>
        <w:tc>
          <w:tcPr>
            <w:tcW w:w="1781" w:type="dxa"/>
            <w:shd w:val="clear" w:color="auto" w:fill="FFE599" w:themeFill="accent4" w:themeFillTint="66"/>
          </w:tcPr>
          <w:p w14:paraId="63A8EC62" w14:textId="13DD6A35" w:rsidR="00B346BD" w:rsidRDefault="00B346BD" w:rsidP="00B346BD">
            <w:pPr>
              <w:rPr>
                <w:rFonts w:ascii="Arial" w:eastAsia="Arial" w:hAnsi="Arial" w:cs="Arial"/>
                <w:sz w:val="18"/>
                <w:szCs w:val="18"/>
              </w:rPr>
            </w:pPr>
            <w:r>
              <w:rPr>
                <w:rFonts w:ascii="Arial" w:eastAsia="Arial" w:hAnsi="Arial" w:cs="Arial"/>
                <w:sz w:val="18"/>
                <w:szCs w:val="18"/>
              </w:rPr>
              <w:t>…</w:t>
            </w:r>
          </w:p>
        </w:tc>
        <w:tc>
          <w:tcPr>
            <w:tcW w:w="1936" w:type="dxa"/>
            <w:shd w:val="clear" w:color="auto" w:fill="FFE599" w:themeFill="accent4" w:themeFillTint="66"/>
          </w:tcPr>
          <w:p w14:paraId="62814B0F" w14:textId="77777777" w:rsidR="00B346BD" w:rsidRDefault="00B346BD" w:rsidP="00B346BD">
            <w:pPr>
              <w:rPr>
                <w:rFonts w:ascii="Arial" w:eastAsia="Arial" w:hAnsi="Arial" w:cs="Arial"/>
                <w:sz w:val="18"/>
                <w:szCs w:val="18"/>
              </w:rPr>
            </w:pPr>
          </w:p>
        </w:tc>
        <w:tc>
          <w:tcPr>
            <w:tcW w:w="1787" w:type="dxa"/>
            <w:shd w:val="clear" w:color="auto" w:fill="auto"/>
          </w:tcPr>
          <w:p w14:paraId="15296807" w14:textId="77777777" w:rsidR="00B346BD" w:rsidRDefault="00B346BD" w:rsidP="00B346BD">
            <w:pPr>
              <w:rPr>
                <w:rFonts w:ascii="Arial" w:eastAsia="Arial" w:hAnsi="Arial" w:cs="Arial"/>
                <w:color w:val="000000"/>
                <w:sz w:val="18"/>
                <w:szCs w:val="18"/>
              </w:rPr>
            </w:pPr>
          </w:p>
        </w:tc>
        <w:tc>
          <w:tcPr>
            <w:tcW w:w="1489" w:type="dxa"/>
            <w:shd w:val="clear" w:color="auto" w:fill="auto"/>
          </w:tcPr>
          <w:p w14:paraId="70888565" w14:textId="77777777" w:rsidR="00B346BD" w:rsidRDefault="00B346BD" w:rsidP="00B346BD">
            <w:pPr>
              <w:rPr>
                <w:rFonts w:ascii="Arial" w:eastAsia="Arial" w:hAnsi="Arial" w:cs="Arial"/>
                <w:color w:val="000000"/>
                <w:sz w:val="18"/>
                <w:szCs w:val="18"/>
              </w:rPr>
            </w:pPr>
          </w:p>
        </w:tc>
        <w:tc>
          <w:tcPr>
            <w:tcW w:w="1194" w:type="dxa"/>
            <w:shd w:val="clear" w:color="auto" w:fill="auto"/>
          </w:tcPr>
          <w:p w14:paraId="40725E04" w14:textId="77777777" w:rsidR="00B346BD" w:rsidRDefault="00B346BD" w:rsidP="00B346BD">
            <w:pPr>
              <w:jc w:val="center"/>
              <w:rPr>
                <w:rFonts w:ascii="Arial" w:eastAsia="Arial" w:hAnsi="Arial" w:cs="Arial"/>
                <w:sz w:val="18"/>
                <w:szCs w:val="18"/>
              </w:rPr>
            </w:pPr>
          </w:p>
        </w:tc>
        <w:tc>
          <w:tcPr>
            <w:tcW w:w="1341" w:type="dxa"/>
            <w:shd w:val="clear" w:color="auto" w:fill="auto"/>
          </w:tcPr>
          <w:p w14:paraId="7E8D8FB3" w14:textId="77777777" w:rsidR="00B346BD" w:rsidRPr="004F7374" w:rsidRDefault="00B346BD" w:rsidP="00B346BD">
            <w:pPr>
              <w:jc w:val="center"/>
              <w:rPr>
                <w:rFonts w:ascii="Arial" w:hAnsi="Arial" w:cs="Arial"/>
                <w:kern w:val="22"/>
                <w:sz w:val="18"/>
                <w:szCs w:val="18"/>
              </w:rPr>
            </w:pPr>
          </w:p>
        </w:tc>
        <w:tc>
          <w:tcPr>
            <w:tcW w:w="1042" w:type="dxa"/>
            <w:shd w:val="clear" w:color="auto" w:fill="auto"/>
          </w:tcPr>
          <w:p w14:paraId="17CEB479" w14:textId="77777777" w:rsidR="00B346BD" w:rsidRDefault="00B346BD" w:rsidP="00B346BD">
            <w:pPr>
              <w:jc w:val="center"/>
              <w:rPr>
                <w:rFonts w:ascii="Arial" w:eastAsia="Arial" w:hAnsi="Arial" w:cs="Arial"/>
                <w:sz w:val="18"/>
                <w:szCs w:val="18"/>
              </w:rPr>
            </w:pPr>
          </w:p>
        </w:tc>
        <w:tc>
          <w:tcPr>
            <w:tcW w:w="1193" w:type="dxa"/>
            <w:shd w:val="clear" w:color="auto" w:fill="auto"/>
          </w:tcPr>
          <w:p w14:paraId="6FEE55E7" w14:textId="77777777" w:rsidR="00B346BD" w:rsidRDefault="00B346BD" w:rsidP="00B346BD">
            <w:pPr>
              <w:jc w:val="center"/>
              <w:rPr>
                <w:rFonts w:ascii="Arial" w:eastAsia="Arial" w:hAnsi="Arial" w:cs="Arial"/>
                <w:sz w:val="18"/>
                <w:szCs w:val="18"/>
              </w:rPr>
            </w:pPr>
          </w:p>
        </w:tc>
        <w:tc>
          <w:tcPr>
            <w:tcW w:w="1340" w:type="dxa"/>
            <w:shd w:val="clear" w:color="auto" w:fill="auto"/>
          </w:tcPr>
          <w:p w14:paraId="256277DB" w14:textId="77777777" w:rsidR="00B346BD" w:rsidRDefault="00B346BD" w:rsidP="00B346BD">
            <w:pPr>
              <w:jc w:val="center"/>
              <w:rPr>
                <w:rFonts w:ascii="Arial" w:eastAsia="Arial" w:hAnsi="Arial" w:cs="Arial"/>
                <w:sz w:val="18"/>
                <w:szCs w:val="18"/>
              </w:rPr>
            </w:pPr>
          </w:p>
        </w:tc>
        <w:tc>
          <w:tcPr>
            <w:tcW w:w="1640" w:type="dxa"/>
            <w:shd w:val="clear" w:color="auto" w:fill="auto"/>
          </w:tcPr>
          <w:p w14:paraId="4D9CC6A1" w14:textId="77777777" w:rsidR="00B346BD" w:rsidRDefault="00B346BD" w:rsidP="00B346BD">
            <w:pPr>
              <w:jc w:val="center"/>
              <w:rPr>
                <w:rFonts w:ascii="Arial" w:eastAsia="Arial" w:hAnsi="Arial" w:cs="Arial"/>
                <w:sz w:val="18"/>
                <w:szCs w:val="18"/>
              </w:rPr>
            </w:pPr>
          </w:p>
        </w:tc>
        <w:tc>
          <w:tcPr>
            <w:tcW w:w="1340" w:type="dxa"/>
            <w:shd w:val="clear" w:color="auto" w:fill="auto"/>
          </w:tcPr>
          <w:p w14:paraId="127CDF90" w14:textId="77777777" w:rsidR="00B346BD" w:rsidRDefault="00B346BD" w:rsidP="00B346BD">
            <w:pPr>
              <w:jc w:val="center"/>
              <w:rPr>
                <w:rFonts w:ascii="Arial" w:eastAsia="Arial" w:hAnsi="Arial" w:cs="Arial"/>
                <w:sz w:val="18"/>
                <w:szCs w:val="18"/>
              </w:rPr>
            </w:pPr>
          </w:p>
        </w:tc>
        <w:tc>
          <w:tcPr>
            <w:tcW w:w="1166" w:type="dxa"/>
            <w:shd w:val="clear" w:color="auto" w:fill="auto"/>
          </w:tcPr>
          <w:p w14:paraId="5B995F51" w14:textId="77777777" w:rsidR="00B346BD" w:rsidRDefault="00B346BD" w:rsidP="00B346BD">
            <w:pPr>
              <w:jc w:val="center"/>
              <w:rPr>
                <w:rFonts w:ascii="Arial" w:eastAsia="Arial" w:hAnsi="Arial" w:cs="Arial"/>
                <w:sz w:val="18"/>
                <w:szCs w:val="18"/>
              </w:rPr>
            </w:pPr>
          </w:p>
        </w:tc>
        <w:tc>
          <w:tcPr>
            <w:tcW w:w="966" w:type="dxa"/>
            <w:shd w:val="clear" w:color="auto" w:fill="auto"/>
          </w:tcPr>
          <w:p w14:paraId="25EA959F" w14:textId="77777777" w:rsidR="00B346BD" w:rsidRDefault="00B346BD" w:rsidP="00B346BD">
            <w:pPr>
              <w:jc w:val="center"/>
              <w:rPr>
                <w:rFonts w:ascii="Arial" w:eastAsia="Arial" w:hAnsi="Arial" w:cs="Arial"/>
                <w:sz w:val="18"/>
                <w:szCs w:val="18"/>
              </w:rPr>
            </w:pPr>
          </w:p>
        </w:tc>
        <w:tc>
          <w:tcPr>
            <w:tcW w:w="1794" w:type="dxa"/>
            <w:shd w:val="clear" w:color="auto" w:fill="auto"/>
          </w:tcPr>
          <w:p w14:paraId="337ABD85" w14:textId="77777777" w:rsidR="00B346BD" w:rsidRDefault="00B346BD" w:rsidP="00B346BD">
            <w:pPr>
              <w:jc w:val="center"/>
              <w:rPr>
                <w:rFonts w:ascii="Arial" w:eastAsia="Arial" w:hAnsi="Arial" w:cs="Arial"/>
                <w:sz w:val="18"/>
                <w:szCs w:val="18"/>
              </w:rPr>
            </w:pPr>
          </w:p>
        </w:tc>
        <w:tc>
          <w:tcPr>
            <w:tcW w:w="1794" w:type="dxa"/>
          </w:tcPr>
          <w:p w14:paraId="06C5591B" w14:textId="77777777" w:rsidR="00B346BD" w:rsidRPr="004F7374" w:rsidRDefault="00B346BD" w:rsidP="00B346BD">
            <w:pPr>
              <w:jc w:val="center"/>
              <w:rPr>
                <w:rFonts w:ascii="Arial" w:hAnsi="Arial" w:cs="Arial"/>
                <w:kern w:val="22"/>
                <w:sz w:val="18"/>
                <w:szCs w:val="18"/>
              </w:rPr>
            </w:pPr>
          </w:p>
        </w:tc>
      </w:tr>
      <w:tr w:rsidR="00B346BD" w:rsidRPr="004F7374" w14:paraId="07F4867A" w14:textId="77777777" w:rsidTr="007A15AD">
        <w:trPr>
          <w:trHeight w:val="236"/>
        </w:trPr>
        <w:tc>
          <w:tcPr>
            <w:tcW w:w="1781" w:type="dxa"/>
            <w:shd w:val="clear" w:color="auto" w:fill="FFE599" w:themeFill="accent4" w:themeFillTint="66"/>
          </w:tcPr>
          <w:p w14:paraId="59F22660" w14:textId="77777777" w:rsidR="00B346BD" w:rsidRDefault="00B346BD" w:rsidP="00B346BD">
            <w:pPr>
              <w:rPr>
                <w:rFonts w:ascii="Arial" w:eastAsia="Arial" w:hAnsi="Arial" w:cs="Arial"/>
                <w:sz w:val="18"/>
                <w:szCs w:val="18"/>
              </w:rPr>
            </w:pPr>
          </w:p>
        </w:tc>
        <w:tc>
          <w:tcPr>
            <w:tcW w:w="1936" w:type="dxa"/>
            <w:shd w:val="clear" w:color="auto" w:fill="FFE599" w:themeFill="accent4" w:themeFillTint="66"/>
          </w:tcPr>
          <w:p w14:paraId="39B7204B" w14:textId="77777777" w:rsidR="00B346BD" w:rsidRDefault="00B346BD" w:rsidP="00B346BD">
            <w:pPr>
              <w:rPr>
                <w:rFonts w:ascii="Arial" w:eastAsia="Arial" w:hAnsi="Arial" w:cs="Arial"/>
                <w:sz w:val="18"/>
                <w:szCs w:val="18"/>
              </w:rPr>
            </w:pPr>
          </w:p>
        </w:tc>
        <w:tc>
          <w:tcPr>
            <w:tcW w:w="1787" w:type="dxa"/>
            <w:shd w:val="clear" w:color="auto" w:fill="auto"/>
          </w:tcPr>
          <w:p w14:paraId="415EBAE8" w14:textId="77777777" w:rsidR="00B346BD" w:rsidRDefault="00B346BD" w:rsidP="00B346BD">
            <w:pPr>
              <w:rPr>
                <w:rFonts w:ascii="Arial" w:eastAsia="Arial" w:hAnsi="Arial" w:cs="Arial"/>
                <w:color w:val="000000"/>
                <w:sz w:val="18"/>
                <w:szCs w:val="18"/>
              </w:rPr>
            </w:pPr>
          </w:p>
        </w:tc>
        <w:tc>
          <w:tcPr>
            <w:tcW w:w="1489" w:type="dxa"/>
            <w:shd w:val="clear" w:color="auto" w:fill="auto"/>
          </w:tcPr>
          <w:p w14:paraId="6A353211" w14:textId="77777777" w:rsidR="00B346BD" w:rsidRDefault="00B346BD" w:rsidP="00B346BD">
            <w:pPr>
              <w:rPr>
                <w:rFonts w:ascii="Arial" w:eastAsia="Arial" w:hAnsi="Arial" w:cs="Arial"/>
                <w:color w:val="000000"/>
                <w:sz w:val="18"/>
                <w:szCs w:val="18"/>
              </w:rPr>
            </w:pPr>
          </w:p>
        </w:tc>
        <w:tc>
          <w:tcPr>
            <w:tcW w:w="1194" w:type="dxa"/>
            <w:shd w:val="clear" w:color="auto" w:fill="auto"/>
          </w:tcPr>
          <w:p w14:paraId="15CEA393" w14:textId="77777777" w:rsidR="00B346BD" w:rsidRDefault="00B346BD" w:rsidP="00B346BD">
            <w:pPr>
              <w:jc w:val="center"/>
              <w:rPr>
                <w:rFonts w:ascii="Arial" w:eastAsia="Arial" w:hAnsi="Arial" w:cs="Arial"/>
                <w:sz w:val="18"/>
                <w:szCs w:val="18"/>
              </w:rPr>
            </w:pPr>
          </w:p>
        </w:tc>
        <w:tc>
          <w:tcPr>
            <w:tcW w:w="1341" w:type="dxa"/>
            <w:shd w:val="clear" w:color="auto" w:fill="auto"/>
          </w:tcPr>
          <w:p w14:paraId="3365F95F" w14:textId="77777777" w:rsidR="00B346BD" w:rsidRPr="004F7374" w:rsidRDefault="00B346BD" w:rsidP="00B346BD">
            <w:pPr>
              <w:jc w:val="center"/>
              <w:rPr>
                <w:rFonts w:ascii="Arial" w:hAnsi="Arial" w:cs="Arial"/>
                <w:kern w:val="22"/>
                <w:sz w:val="18"/>
                <w:szCs w:val="18"/>
              </w:rPr>
            </w:pPr>
          </w:p>
        </w:tc>
        <w:tc>
          <w:tcPr>
            <w:tcW w:w="1042" w:type="dxa"/>
            <w:shd w:val="clear" w:color="auto" w:fill="auto"/>
          </w:tcPr>
          <w:p w14:paraId="6A1C897A" w14:textId="77777777" w:rsidR="00B346BD" w:rsidRDefault="00B346BD" w:rsidP="00B346BD">
            <w:pPr>
              <w:jc w:val="center"/>
              <w:rPr>
                <w:rFonts w:ascii="Arial" w:eastAsia="Arial" w:hAnsi="Arial" w:cs="Arial"/>
                <w:sz w:val="18"/>
                <w:szCs w:val="18"/>
              </w:rPr>
            </w:pPr>
          </w:p>
        </w:tc>
        <w:tc>
          <w:tcPr>
            <w:tcW w:w="1193" w:type="dxa"/>
            <w:shd w:val="clear" w:color="auto" w:fill="auto"/>
          </w:tcPr>
          <w:p w14:paraId="63D2F099" w14:textId="77777777" w:rsidR="00B346BD" w:rsidRDefault="00B346BD" w:rsidP="00B346BD">
            <w:pPr>
              <w:jc w:val="center"/>
              <w:rPr>
                <w:rFonts w:ascii="Arial" w:eastAsia="Arial" w:hAnsi="Arial" w:cs="Arial"/>
                <w:sz w:val="18"/>
                <w:szCs w:val="18"/>
              </w:rPr>
            </w:pPr>
          </w:p>
        </w:tc>
        <w:tc>
          <w:tcPr>
            <w:tcW w:w="1340" w:type="dxa"/>
            <w:shd w:val="clear" w:color="auto" w:fill="auto"/>
          </w:tcPr>
          <w:p w14:paraId="2E651146" w14:textId="77777777" w:rsidR="00B346BD" w:rsidRDefault="00B346BD" w:rsidP="00B346BD">
            <w:pPr>
              <w:jc w:val="center"/>
              <w:rPr>
                <w:rFonts w:ascii="Arial" w:eastAsia="Arial" w:hAnsi="Arial" w:cs="Arial"/>
                <w:sz w:val="18"/>
                <w:szCs w:val="18"/>
              </w:rPr>
            </w:pPr>
          </w:p>
        </w:tc>
        <w:tc>
          <w:tcPr>
            <w:tcW w:w="1640" w:type="dxa"/>
            <w:shd w:val="clear" w:color="auto" w:fill="auto"/>
          </w:tcPr>
          <w:p w14:paraId="76546F49" w14:textId="77777777" w:rsidR="00B346BD" w:rsidRDefault="00B346BD" w:rsidP="00B346BD">
            <w:pPr>
              <w:jc w:val="center"/>
              <w:rPr>
                <w:rFonts w:ascii="Arial" w:eastAsia="Arial" w:hAnsi="Arial" w:cs="Arial"/>
                <w:sz w:val="18"/>
                <w:szCs w:val="18"/>
              </w:rPr>
            </w:pPr>
          </w:p>
        </w:tc>
        <w:tc>
          <w:tcPr>
            <w:tcW w:w="1340" w:type="dxa"/>
            <w:shd w:val="clear" w:color="auto" w:fill="auto"/>
          </w:tcPr>
          <w:p w14:paraId="203E40F4" w14:textId="77777777" w:rsidR="00B346BD" w:rsidRDefault="00B346BD" w:rsidP="00B346BD">
            <w:pPr>
              <w:jc w:val="center"/>
              <w:rPr>
                <w:rFonts w:ascii="Arial" w:eastAsia="Arial" w:hAnsi="Arial" w:cs="Arial"/>
                <w:sz w:val="18"/>
                <w:szCs w:val="18"/>
              </w:rPr>
            </w:pPr>
          </w:p>
        </w:tc>
        <w:tc>
          <w:tcPr>
            <w:tcW w:w="1166" w:type="dxa"/>
            <w:shd w:val="clear" w:color="auto" w:fill="auto"/>
          </w:tcPr>
          <w:p w14:paraId="0F4E86D1" w14:textId="77777777" w:rsidR="00B346BD" w:rsidRDefault="00B346BD" w:rsidP="00B346BD">
            <w:pPr>
              <w:jc w:val="center"/>
              <w:rPr>
                <w:rFonts w:ascii="Arial" w:eastAsia="Arial" w:hAnsi="Arial" w:cs="Arial"/>
                <w:sz w:val="18"/>
                <w:szCs w:val="18"/>
              </w:rPr>
            </w:pPr>
          </w:p>
        </w:tc>
        <w:tc>
          <w:tcPr>
            <w:tcW w:w="966" w:type="dxa"/>
            <w:shd w:val="clear" w:color="auto" w:fill="auto"/>
          </w:tcPr>
          <w:p w14:paraId="5296BFEA" w14:textId="77777777" w:rsidR="00B346BD" w:rsidRDefault="00B346BD" w:rsidP="00B346BD">
            <w:pPr>
              <w:jc w:val="center"/>
              <w:rPr>
                <w:rFonts w:ascii="Arial" w:eastAsia="Arial" w:hAnsi="Arial" w:cs="Arial"/>
                <w:sz w:val="18"/>
                <w:szCs w:val="18"/>
              </w:rPr>
            </w:pPr>
          </w:p>
        </w:tc>
        <w:tc>
          <w:tcPr>
            <w:tcW w:w="1794" w:type="dxa"/>
            <w:shd w:val="clear" w:color="auto" w:fill="auto"/>
          </w:tcPr>
          <w:p w14:paraId="7C4D527D" w14:textId="77777777" w:rsidR="00B346BD" w:rsidRDefault="00B346BD" w:rsidP="00B346BD">
            <w:pPr>
              <w:jc w:val="center"/>
              <w:rPr>
                <w:rFonts w:ascii="Arial" w:eastAsia="Arial" w:hAnsi="Arial" w:cs="Arial"/>
                <w:sz w:val="18"/>
                <w:szCs w:val="18"/>
              </w:rPr>
            </w:pPr>
          </w:p>
        </w:tc>
        <w:tc>
          <w:tcPr>
            <w:tcW w:w="1794" w:type="dxa"/>
          </w:tcPr>
          <w:p w14:paraId="3D62877C" w14:textId="77777777" w:rsidR="00B346BD" w:rsidRPr="004F7374" w:rsidRDefault="00B346BD" w:rsidP="00B346BD">
            <w:pPr>
              <w:jc w:val="center"/>
              <w:rPr>
                <w:rFonts w:ascii="Arial" w:hAnsi="Arial" w:cs="Arial"/>
                <w:kern w:val="22"/>
                <w:sz w:val="18"/>
                <w:szCs w:val="18"/>
              </w:rPr>
            </w:pPr>
          </w:p>
        </w:tc>
      </w:tr>
    </w:tbl>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B130B3" w:rsidRPr="000C0B6C" w14:paraId="719493AC" w14:textId="77777777" w:rsidTr="00911866">
        <w:trPr>
          <w:trHeight w:val="139"/>
        </w:trPr>
        <w:tc>
          <w:tcPr>
            <w:tcW w:w="2643" w:type="dxa"/>
          </w:tcPr>
          <w:p w14:paraId="0B5A2C0E" w14:textId="77777777" w:rsidR="00B130B3" w:rsidRPr="000C0B6C" w:rsidRDefault="00B130B3" w:rsidP="00B130B3">
            <w:r w:rsidRPr="000C0B6C">
              <w:t>0</w:t>
            </w:r>
          </w:p>
        </w:tc>
        <w:tc>
          <w:tcPr>
            <w:tcW w:w="17480" w:type="dxa"/>
          </w:tcPr>
          <w:p w14:paraId="419FD9AF" w14:textId="77777777" w:rsidR="00B130B3" w:rsidRPr="00201AD2" w:rsidRDefault="00B130B3" w:rsidP="00B130B3">
            <w:pPr>
              <w:pStyle w:val="xmsonormal"/>
              <w:rPr>
                <w:rFonts w:asciiTheme="minorHAnsi" w:hAnsiTheme="minorHAnsi" w:cstheme="minorHAnsi"/>
                <w:sz w:val="22"/>
                <w:szCs w:val="22"/>
              </w:rPr>
            </w:pPr>
            <w:r w:rsidRPr="00201AD2">
              <w:rPr>
                <w:rFonts w:asciiTheme="minorHAnsi" w:hAnsiTheme="minorHAnsi" w:cstheme="minorHAnsi"/>
                <w:sz w:val="22"/>
                <w:szCs w:val="22"/>
              </w:rPr>
              <w:t>The zero draft indicators for benefit sharing released in November 2019 closely reflected the Nagoya Protocol Annex. However, in the current draft, these indicators have entirely disappeared. It is unclear if the reason for this removal is because no baseline data is available or if there are other reasons.</w:t>
            </w:r>
          </w:p>
          <w:p w14:paraId="2C6EF72D" w14:textId="77777777" w:rsidR="00B130B3" w:rsidRPr="00201AD2" w:rsidRDefault="00B130B3" w:rsidP="00B130B3">
            <w:pPr>
              <w:pStyle w:val="xmsonormal"/>
              <w:rPr>
                <w:rFonts w:asciiTheme="minorHAnsi" w:hAnsiTheme="minorHAnsi" w:cstheme="minorHAnsi"/>
                <w:b/>
                <w:sz w:val="22"/>
                <w:szCs w:val="22"/>
              </w:rPr>
            </w:pPr>
            <w:r w:rsidRPr="00201AD2">
              <w:rPr>
                <w:rFonts w:asciiTheme="minorHAnsi" w:hAnsiTheme="minorHAnsi" w:cstheme="minorHAnsi"/>
                <w:sz w:val="22"/>
                <w:szCs w:val="22"/>
              </w:rPr>
              <w:t xml:space="preserve">As academic users we find ourselves disappointed that these scientific aspects of benefit sharing, which are critical for long-term capacity building, are not adequately represented or in the current draft and </w:t>
            </w:r>
            <w:r w:rsidRPr="00201AD2">
              <w:rPr>
                <w:rFonts w:asciiTheme="minorHAnsi" w:hAnsiTheme="minorHAnsi" w:cstheme="minorHAnsi"/>
                <w:b/>
                <w:sz w:val="22"/>
                <w:szCs w:val="22"/>
              </w:rPr>
              <w:t>we request that the first two non-monetary benefit sharing indicators from the zero draft be brought back into the GBF as indicators for non-monetary benefit-sharing:</w:t>
            </w:r>
          </w:p>
          <w:p w14:paraId="380D42B4" w14:textId="77777777" w:rsidR="00B130B3" w:rsidRPr="00201AD2" w:rsidRDefault="00B130B3" w:rsidP="00B130B3">
            <w:pPr>
              <w:pStyle w:val="xmsonormal"/>
              <w:numPr>
                <w:ilvl w:val="0"/>
                <w:numId w:val="16"/>
              </w:numPr>
              <w:rPr>
                <w:rFonts w:asciiTheme="minorHAnsi" w:hAnsiTheme="minorHAnsi" w:cstheme="minorHAnsi"/>
                <w:b/>
                <w:sz w:val="22"/>
                <w:szCs w:val="22"/>
              </w:rPr>
            </w:pPr>
            <w:r w:rsidRPr="00201AD2">
              <w:rPr>
                <w:rFonts w:asciiTheme="minorHAnsi" w:hAnsiTheme="minorHAnsi" w:cstheme="minorHAnsi"/>
                <w:b/>
                <w:sz w:val="22"/>
                <w:szCs w:val="22"/>
              </w:rPr>
              <w:t>“Number of research and development results shared”</w:t>
            </w:r>
          </w:p>
          <w:p w14:paraId="6FC4C68F" w14:textId="77777777" w:rsidR="00B130B3" w:rsidRPr="00201AD2" w:rsidRDefault="00B130B3" w:rsidP="00B130B3">
            <w:pPr>
              <w:pStyle w:val="xmsonormal"/>
              <w:numPr>
                <w:ilvl w:val="0"/>
                <w:numId w:val="16"/>
              </w:numPr>
              <w:rPr>
                <w:rFonts w:asciiTheme="minorHAnsi" w:hAnsiTheme="minorHAnsi" w:cstheme="minorHAnsi"/>
                <w:b/>
                <w:sz w:val="22"/>
                <w:szCs w:val="22"/>
              </w:rPr>
            </w:pPr>
            <w:r w:rsidRPr="00201AD2">
              <w:rPr>
                <w:rFonts w:asciiTheme="minorHAnsi" w:hAnsiTheme="minorHAnsi" w:cstheme="minorHAnsi"/>
                <w:b/>
                <w:sz w:val="22"/>
                <w:szCs w:val="22"/>
              </w:rPr>
              <w:t>“Number of collaborations in scientific research”</w:t>
            </w:r>
          </w:p>
          <w:p w14:paraId="6B024D9D" w14:textId="7E227895" w:rsidR="00B130B3" w:rsidRPr="00201AD2" w:rsidRDefault="00B130B3" w:rsidP="00B130B3">
            <w:pPr>
              <w:pStyle w:val="xmsonormal"/>
              <w:rPr>
                <w:rFonts w:asciiTheme="minorHAnsi" w:hAnsiTheme="minorHAnsi" w:cstheme="minorHAnsi"/>
                <w:sz w:val="22"/>
                <w:szCs w:val="22"/>
              </w:rPr>
            </w:pPr>
            <w:r w:rsidRPr="00201AD2">
              <w:rPr>
                <w:rFonts w:asciiTheme="minorHAnsi" w:hAnsiTheme="minorHAnsi" w:cstheme="minorHAnsi"/>
                <w:sz w:val="22"/>
                <w:szCs w:val="22"/>
              </w:rPr>
              <w:t xml:space="preserve">There are indeed significant technical challenges around collecting data on </w:t>
            </w:r>
            <w:r w:rsidR="00FE454B">
              <w:rPr>
                <w:rFonts w:asciiTheme="minorHAnsi" w:hAnsiTheme="minorHAnsi" w:cstheme="minorHAnsi"/>
                <w:sz w:val="22"/>
                <w:szCs w:val="22"/>
              </w:rPr>
              <w:t xml:space="preserve">these indicators </w:t>
            </w:r>
            <w:r w:rsidRPr="00201AD2">
              <w:rPr>
                <w:rFonts w:asciiTheme="minorHAnsi" w:hAnsiTheme="minorHAnsi" w:cstheme="minorHAnsi"/>
                <w:sz w:val="22"/>
                <w:szCs w:val="22"/>
              </w:rPr>
              <w:t xml:space="preserve">and </w:t>
            </w:r>
            <w:r w:rsidR="00FE454B">
              <w:rPr>
                <w:rFonts w:asciiTheme="minorHAnsi" w:hAnsiTheme="minorHAnsi" w:cstheme="minorHAnsi"/>
                <w:sz w:val="22"/>
                <w:szCs w:val="22"/>
              </w:rPr>
              <w:t>they</w:t>
            </w:r>
            <w:bookmarkStart w:id="1" w:name="_GoBack"/>
            <w:bookmarkEnd w:id="1"/>
            <w:r w:rsidRPr="00201AD2">
              <w:rPr>
                <w:rFonts w:asciiTheme="minorHAnsi" w:hAnsiTheme="minorHAnsi" w:cstheme="minorHAnsi"/>
                <w:sz w:val="22"/>
                <w:szCs w:val="22"/>
              </w:rPr>
              <w:t xml:space="preserve"> are indeed not </w:t>
            </w:r>
            <w:proofErr w:type="gramStart"/>
            <w:r w:rsidRPr="00201AD2">
              <w:rPr>
                <w:rFonts w:asciiTheme="minorHAnsi" w:hAnsiTheme="minorHAnsi" w:cstheme="minorHAnsi"/>
                <w:sz w:val="22"/>
                <w:szCs w:val="22"/>
              </w:rPr>
              <w:t>well-suited</w:t>
            </w:r>
            <w:proofErr w:type="gramEnd"/>
            <w:r w:rsidRPr="00201AD2">
              <w:rPr>
                <w:rFonts w:asciiTheme="minorHAnsi" w:hAnsiTheme="minorHAnsi" w:cstheme="minorHAnsi"/>
                <w:sz w:val="22"/>
                <w:szCs w:val="22"/>
              </w:rPr>
              <w:t xml:space="preserve"> for country-level reporting because governments are often not in direct touch with their scientists over the multi-year course of a research project and thus, often are not aware of the tangible and intangible outcomes of research projects.</w:t>
            </w:r>
          </w:p>
          <w:p w14:paraId="52686F01" w14:textId="77777777" w:rsidR="00B130B3" w:rsidRPr="00201AD2" w:rsidRDefault="00B130B3" w:rsidP="00B130B3">
            <w:pPr>
              <w:pStyle w:val="xmsonormal"/>
              <w:rPr>
                <w:rFonts w:asciiTheme="minorHAnsi" w:hAnsiTheme="minorHAnsi" w:cstheme="minorHAnsi"/>
                <w:sz w:val="22"/>
                <w:szCs w:val="22"/>
              </w:rPr>
            </w:pPr>
            <w:r w:rsidRPr="00201AD2">
              <w:rPr>
                <w:rFonts w:asciiTheme="minorHAnsi" w:hAnsiTheme="minorHAnsi" w:cstheme="minorHAnsi"/>
                <w:sz w:val="22"/>
                <w:szCs w:val="22"/>
              </w:rPr>
              <w:t xml:space="preserve">However, there are opportunities for global, comprehensive analyses of some of the non-monetary benefit sharing indicators that could and </w:t>
            </w:r>
            <w:proofErr w:type="gramStart"/>
            <w:r w:rsidRPr="00201AD2">
              <w:rPr>
                <w:rFonts w:asciiTheme="minorHAnsi" w:hAnsiTheme="minorHAnsi" w:cstheme="minorHAnsi"/>
                <w:sz w:val="22"/>
                <w:szCs w:val="22"/>
              </w:rPr>
              <w:t>should be re-visited</w:t>
            </w:r>
            <w:proofErr w:type="gramEnd"/>
            <w:r w:rsidRPr="00201AD2">
              <w:rPr>
                <w:rFonts w:asciiTheme="minorHAnsi" w:hAnsiTheme="minorHAnsi" w:cstheme="minorHAnsi"/>
                <w:sz w:val="22"/>
                <w:szCs w:val="22"/>
              </w:rPr>
              <w:t xml:space="preserve"> by SBSTTA. In particular, global databases of scientific publications (a proxy for “research results”) and other biological databases (proxy for “access to genetic resources”) combined with advances in bibliometric analyses (which enables geographic associations of authors involved in the research and access) make it possible to assess and quantify many aspects of the “old” (zero draft) non-monetary benefit sharing indicators.</w:t>
            </w:r>
          </w:p>
          <w:p w14:paraId="0B7753A8" w14:textId="77777777" w:rsidR="00B130B3" w:rsidRPr="00201AD2" w:rsidRDefault="00B130B3" w:rsidP="00B130B3">
            <w:pPr>
              <w:pStyle w:val="xmsonormal"/>
              <w:rPr>
                <w:rFonts w:asciiTheme="minorHAnsi" w:hAnsiTheme="minorHAnsi" w:cstheme="minorHAnsi"/>
                <w:sz w:val="22"/>
                <w:szCs w:val="22"/>
              </w:rPr>
            </w:pPr>
            <w:r w:rsidRPr="00201AD2">
              <w:rPr>
                <w:rFonts w:asciiTheme="minorHAnsi" w:hAnsiTheme="minorHAnsi" w:cstheme="minorHAnsi"/>
                <w:sz w:val="22"/>
                <w:szCs w:val="22"/>
              </w:rPr>
              <w:t xml:space="preserve">For example, scientific publications are centrally stored and indexed in large databases such as the European PubMed Central (EPMC) database. </w:t>
            </w:r>
            <w:proofErr w:type="gramStart"/>
            <w:r w:rsidRPr="00201AD2">
              <w:rPr>
                <w:rFonts w:asciiTheme="minorHAnsi" w:hAnsiTheme="minorHAnsi" w:cstheme="minorHAnsi"/>
                <w:sz w:val="22"/>
                <w:szCs w:val="22"/>
              </w:rPr>
              <w:t>EPMC also offers a programmer interface that makes it possible to query (in an automated manner) multiple aspects of the publications in these databases including a great deal of metadata and even text data (from open-access publications) contained in these publications including the presence of species names, keywords, scientific topics, author affiliations (including geographical location of authors) and, through text mining, even possibly recognition of IRCC numbers or other unique identifiers (such as those associated with genetic resources held by collections or those associated with sequence data via accession numbers from INSDC).</w:t>
            </w:r>
            <w:proofErr w:type="gramEnd"/>
          </w:p>
          <w:p w14:paraId="7BD102C8" w14:textId="77777777" w:rsidR="00B130B3" w:rsidRPr="00201AD2" w:rsidRDefault="00B130B3" w:rsidP="00B130B3">
            <w:pPr>
              <w:spacing w:before="100" w:beforeAutospacing="1" w:after="100" w:afterAutospacing="1"/>
              <w:rPr>
                <w:rFonts w:cstheme="minorHAnsi"/>
              </w:rPr>
            </w:pPr>
            <w:r w:rsidRPr="00201AD2">
              <w:rPr>
                <w:rFonts w:cstheme="minorHAnsi"/>
              </w:rPr>
              <w:t>Thus, it would be possible, for example, to assess and answer such questions as “How many publications mentioned the keywords "biodiversity" + "endemic" + "Columbia" with authors from two different countries (e.g., Germany and Colombia) in 2018?” This information gives a powerful insight into scientific collaborations and research results shared.</w:t>
            </w:r>
          </w:p>
          <w:p w14:paraId="1C64C00C" w14:textId="77777777" w:rsidR="00B130B3" w:rsidRPr="00201AD2" w:rsidRDefault="00B130B3" w:rsidP="00B130B3">
            <w:pPr>
              <w:spacing w:before="100" w:beforeAutospacing="1" w:after="100" w:afterAutospacing="1"/>
              <w:rPr>
                <w:rFonts w:cstheme="minorHAnsi"/>
              </w:rPr>
            </w:pPr>
            <w:r w:rsidRPr="00201AD2">
              <w:rPr>
                <w:rFonts w:cstheme="minorHAnsi"/>
              </w:rPr>
              <w:t>These types of analysis could also focus on specific endangered species, be used (using species names) for all types of biodiversity utilization or be sub-divided into different taxonomic levels (e.g., microbial, animal, plant)</w:t>
            </w:r>
            <w:proofErr w:type="gramStart"/>
            <w:r w:rsidRPr="00201AD2">
              <w:rPr>
                <w:rFonts w:cstheme="minorHAnsi"/>
              </w:rPr>
              <w:t>,  focused</w:t>
            </w:r>
            <w:proofErr w:type="gramEnd"/>
            <w:r w:rsidRPr="00201AD2">
              <w:rPr>
                <w:rFonts w:cstheme="minorHAnsi"/>
              </w:rPr>
              <w:t xml:space="preserve"> on certain endemic organisms (country-specific biodiversity), and/or associated with different key words (biotechnology, virology, taxonomy, </w:t>
            </w:r>
            <w:proofErr w:type="spellStart"/>
            <w:r w:rsidRPr="00201AD2">
              <w:rPr>
                <w:rFonts w:cstheme="minorHAnsi"/>
              </w:rPr>
              <w:t>etc</w:t>
            </w:r>
            <w:proofErr w:type="spellEnd"/>
            <w:r w:rsidRPr="00201AD2">
              <w:rPr>
                <w:rFonts w:cstheme="minorHAnsi"/>
              </w:rPr>
              <w:t>).</w:t>
            </w:r>
          </w:p>
          <w:p w14:paraId="60285CE8" w14:textId="77777777" w:rsidR="00B130B3" w:rsidRPr="00201AD2" w:rsidRDefault="00B130B3" w:rsidP="00B130B3">
            <w:pPr>
              <w:spacing w:before="100" w:beforeAutospacing="1" w:after="100" w:afterAutospacing="1"/>
              <w:rPr>
                <w:rFonts w:cstheme="minorHAnsi"/>
              </w:rPr>
            </w:pPr>
            <w:r w:rsidRPr="00201AD2">
              <w:rPr>
                <w:rFonts w:cstheme="minorHAnsi"/>
              </w:rPr>
              <w:t xml:space="preserve">Furthermore, these analyses </w:t>
            </w:r>
            <w:proofErr w:type="gramStart"/>
            <w:r w:rsidRPr="00201AD2">
              <w:rPr>
                <w:rFonts w:cstheme="minorHAnsi"/>
              </w:rPr>
              <w:t>could possibly be extended</w:t>
            </w:r>
            <w:proofErr w:type="gramEnd"/>
            <w:r w:rsidRPr="00201AD2">
              <w:rPr>
                <w:rFonts w:cstheme="minorHAnsi"/>
              </w:rPr>
              <w:t xml:space="preserve"> to assess similar types of information held in patent databases. Here the zero draft indicator “Number of joint ownerships of relevant intellectual property rights” </w:t>
            </w:r>
            <w:proofErr w:type="gramStart"/>
            <w:r w:rsidRPr="00201AD2">
              <w:rPr>
                <w:rFonts w:cstheme="minorHAnsi"/>
              </w:rPr>
              <w:t>could be quantified</w:t>
            </w:r>
            <w:proofErr w:type="gramEnd"/>
            <w:r w:rsidRPr="00201AD2">
              <w:rPr>
                <w:rFonts w:cstheme="minorHAnsi"/>
              </w:rPr>
              <w:t>.</w:t>
            </w:r>
          </w:p>
          <w:p w14:paraId="0781143D" w14:textId="77777777" w:rsidR="00B130B3" w:rsidRPr="00201AD2" w:rsidRDefault="00B130B3" w:rsidP="00B130B3">
            <w:pPr>
              <w:pStyle w:val="xmsonormal"/>
              <w:rPr>
                <w:rFonts w:asciiTheme="minorHAnsi" w:hAnsiTheme="minorHAnsi" w:cstheme="minorHAnsi"/>
                <w:sz w:val="22"/>
                <w:szCs w:val="22"/>
              </w:rPr>
            </w:pPr>
            <w:r w:rsidRPr="00201AD2">
              <w:rPr>
                <w:rFonts w:asciiTheme="minorHAnsi" w:hAnsiTheme="minorHAnsi" w:cstheme="minorHAnsi"/>
                <w:sz w:val="22"/>
                <w:szCs w:val="22"/>
              </w:rPr>
              <w:t>The Leibniz Biodiversity Research Alliance combines the competencies and resources of 20 member institutions many of which have a particular focus on biodiversity informatics including 3 large research museums as well as a large plant collection, and a highly diverse microbial resource collection.</w:t>
            </w:r>
            <w:r w:rsidRPr="00201AD2">
              <w:rPr>
                <w:rFonts w:asciiTheme="minorHAnsi" w:hAnsiTheme="minorHAnsi" w:cstheme="minorHAnsi"/>
                <w:b/>
                <w:sz w:val="22"/>
                <w:szCs w:val="22"/>
              </w:rPr>
              <w:t xml:space="preserve"> If the two non-monetary benefits sharing indicators (listed above) were to </w:t>
            </w:r>
            <w:proofErr w:type="gramStart"/>
            <w:r w:rsidRPr="00201AD2">
              <w:rPr>
                <w:rFonts w:asciiTheme="minorHAnsi" w:hAnsiTheme="minorHAnsi" w:cstheme="minorHAnsi"/>
                <w:b/>
                <w:sz w:val="22"/>
                <w:szCs w:val="22"/>
              </w:rPr>
              <w:t>be added</w:t>
            </w:r>
            <w:proofErr w:type="gramEnd"/>
            <w:r w:rsidRPr="00201AD2">
              <w:rPr>
                <w:rFonts w:asciiTheme="minorHAnsi" w:hAnsiTheme="minorHAnsi" w:cstheme="minorHAnsi"/>
                <w:b/>
                <w:sz w:val="22"/>
                <w:szCs w:val="22"/>
              </w:rPr>
              <w:t xml:space="preserve"> back into the Monitoring Framework, the Leibniz Biodiversity Research Alliance would be willing to “champion” these indicators and engage in a pilot project with stakeholders in the next inter-sessional period to develop the necessary informatics programming needed for bibliometric and </w:t>
            </w:r>
            <w:proofErr w:type="spellStart"/>
            <w:r w:rsidRPr="00201AD2">
              <w:rPr>
                <w:rFonts w:asciiTheme="minorHAnsi" w:hAnsiTheme="minorHAnsi" w:cstheme="minorHAnsi"/>
                <w:b/>
                <w:sz w:val="22"/>
                <w:szCs w:val="22"/>
              </w:rPr>
              <w:t>informatic</w:t>
            </w:r>
            <w:proofErr w:type="spellEnd"/>
            <w:r w:rsidRPr="00201AD2">
              <w:rPr>
                <w:rFonts w:asciiTheme="minorHAnsi" w:hAnsiTheme="minorHAnsi" w:cstheme="minorHAnsi"/>
                <w:b/>
                <w:sz w:val="22"/>
                <w:szCs w:val="22"/>
              </w:rPr>
              <w:t xml:space="preserve"> assessments.</w:t>
            </w:r>
            <w:r w:rsidRPr="00201AD2">
              <w:rPr>
                <w:rFonts w:asciiTheme="minorHAnsi" w:hAnsiTheme="minorHAnsi" w:cstheme="minorHAnsi"/>
                <w:sz w:val="22"/>
                <w:szCs w:val="22"/>
              </w:rPr>
              <w:t xml:space="preserve"> Indeed, preliminary analyses and research </w:t>
            </w:r>
            <w:proofErr w:type="gramStart"/>
            <w:r w:rsidRPr="00201AD2">
              <w:rPr>
                <w:rFonts w:asciiTheme="minorHAnsi" w:hAnsiTheme="minorHAnsi" w:cstheme="minorHAnsi"/>
                <w:sz w:val="22"/>
                <w:szCs w:val="22"/>
              </w:rPr>
              <w:t>has been done</w:t>
            </w:r>
            <w:proofErr w:type="gramEnd"/>
            <w:r w:rsidRPr="00201AD2">
              <w:rPr>
                <w:rFonts w:asciiTheme="minorHAnsi" w:hAnsiTheme="minorHAnsi" w:cstheme="minorHAnsi"/>
                <w:sz w:val="22"/>
                <w:szCs w:val="22"/>
              </w:rPr>
              <w:t xml:space="preserve"> in this area.</w:t>
            </w:r>
          </w:p>
          <w:p w14:paraId="7DF22779" w14:textId="77777777" w:rsidR="00B130B3" w:rsidRPr="00201AD2" w:rsidRDefault="00B130B3" w:rsidP="00B130B3">
            <w:pPr>
              <w:pStyle w:val="xmsonormal"/>
              <w:rPr>
                <w:rFonts w:asciiTheme="minorHAnsi" w:hAnsiTheme="minorHAnsi" w:cstheme="minorHAnsi"/>
                <w:sz w:val="22"/>
                <w:szCs w:val="22"/>
              </w:rPr>
            </w:pPr>
            <w:r w:rsidRPr="00201AD2">
              <w:rPr>
                <w:rFonts w:asciiTheme="minorHAnsi" w:hAnsiTheme="minorHAnsi" w:cstheme="minorHAnsi"/>
                <w:sz w:val="22"/>
                <w:szCs w:val="22"/>
              </w:rPr>
              <w:t xml:space="preserve">Furthermore, we would be very interested in joining the Biodiversity Indicators Partnership (BIP) and could imagine strong synergies amongst our </w:t>
            </w:r>
            <w:proofErr w:type="gramStart"/>
            <w:r w:rsidRPr="00201AD2">
              <w:rPr>
                <w:rFonts w:asciiTheme="minorHAnsi" w:hAnsiTheme="minorHAnsi" w:cstheme="minorHAnsi"/>
                <w:sz w:val="22"/>
                <w:szCs w:val="22"/>
              </w:rPr>
              <w:t>institutes and current BIP partners</w:t>
            </w:r>
            <w:proofErr w:type="gramEnd"/>
            <w:r w:rsidRPr="00201AD2">
              <w:rPr>
                <w:rFonts w:asciiTheme="minorHAnsi" w:hAnsiTheme="minorHAnsi" w:cstheme="minorHAnsi"/>
                <w:sz w:val="22"/>
                <w:szCs w:val="22"/>
              </w:rPr>
              <w:t xml:space="preserve"> and an integrated development of non-monetary benefit sharing indicators with other BIP Partners and data streams.</w:t>
            </w:r>
          </w:p>
          <w:p w14:paraId="1D58C544" w14:textId="4DE13974" w:rsidR="00B130B3" w:rsidRPr="00201AD2" w:rsidRDefault="00B130B3" w:rsidP="00B130B3">
            <w:pPr>
              <w:rPr>
                <w:rFonts w:cstheme="minorHAnsi"/>
              </w:rPr>
            </w:pPr>
            <w:r w:rsidRPr="00201AD2">
              <w:rPr>
                <w:rFonts w:cstheme="minorHAnsi"/>
                <w:b/>
                <w:bCs/>
              </w:rPr>
              <w:t>Take-home message:</w:t>
            </w:r>
            <w:r w:rsidRPr="00201AD2">
              <w:rPr>
                <w:rFonts w:cstheme="minorHAnsi"/>
              </w:rPr>
              <w:t xml:space="preserve"> The quantitative assessment of some aspects of non-monetary benefit sharing is possible and can be centralized and globally reported through BIP. The GBF would benefit from capturing and assessing these benefits, understanding their direct interactions with other biodiversity targets, and identifying gaps and opportunities for capacity development.</w:t>
            </w:r>
          </w:p>
        </w:tc>
      </w:tr>
      <w:tr w:rsidR="00B130B3" w:rsidRPr="000C0B6C" w14:paraId="04DFD7F9" w14:textId="77777777" w:rsidTr="00911866">
        <w:trPr>
          <w:trHeight w:val="134"/>
        </w:trPr>
        <w:tc>
          <w:tcPr>
            <w:tcW w:w="2643" w:type="dxa"/>
          </w:tcPr>
          <w:p w14:paraId="6BF222BF" w14:textId="46560B13" w:rsidR="00B130B3" w:rsidRPr="000C0B6C" w:rsidRDefault="00B130B3" w:rsidP="00B130B3"/>
        </w:tc>
        <w:tc>
          <w:tcPr>
            <w:tcW w:w="17480" w:type="dxa"/>
          </w:tcPr>
          <w:p w14:paraId="432BDD91" w14:textId="614F9D65" w:rsidR="00B130B3" w:rsidRPr="000C0B6C" w:rsidRDefault="00B130B3" w:rsidP="00B130B3"/>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p>
    <w:sectPr w:rsidR="007861DC" w:rsidSect="00D0549A">
      <w:pgSz w:w="23811" w:h="16838" w:orient="landscape" w:code="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FDDC0" w14:textId="77777777" w:rsidR="00340DCB" w:rsidRDefault="00340DCB" w:rsidP="00371075">
      <w:pPr>
        <w:spacing w:after="0" w:line="240" w:lineRule="auto"/>
      </w:pPr>
      <w:r>
        <w:separator/>
      </w:r>
    </w:p>
  </w:endnote>
  <w:endnote w:type="continuationSeparator" w:id="0">
    <w:p w14:paraId="6FD43B40" w14:textId="77777777" w:rsidR="00340DCB" w:rsidRDefault="00340DCB" w:rsidP="00371075">
      <w:pPr>
        <w:spacing w:after="0" w:line="240" w:lineRule="auto"/>
      </w:pPr>
      <w:r>
        <w:continuationSeparator/>
      </w:r>
    </w:p>
  </w:endnote>
  <w:endnote w:type="continuationNotice" w:id="1">
    <w:p w14:paraId="4A9BB3C1" w14:textId="77777777" w:rsidR="00340DCB" w:rsidRDefault="00340D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657169"/>
      <w:docPartObj>
        <w:docPartGallery w:val="Page Numbers (Bottom of Page)"/>
        <w:docPartUnique/>
      </w:docPartObj>
    </w:sdtPr>
    <w:sdtEndPr>
      <w:rPr>
        <w:noProof/>
      </w:rPr>
    </w:sdtEndPr>
    <w:sdtContent>
      <w:p w14:paraId="4BA330F3" w14:textId="53CFB8A2" w:rsidR="00371075" w:rsidRDefault="00371075">
        <w:pPr>
          <w:pStyle w:val="Fuzeile"/>
          <w:jc w:val="center"/>
        </w:pPr>
        <w:r>
          <w:fldChar w:fldCharType="begin"/>
        </w:r>
        <w:r>
          <w:instrText xml:space="preserve"> PAGE   \* MERGEFORMAT </w:instrText>
        </w:r>
        <w:r>
          <w:fldChar w:fldCharType="separate"/>
        </w:r>
        <w:r w:rsidR="00FE454B">
          <w:rPr>
            <w:noProof/>
          </w:rPr>
          <w:t>3</w:t>
        </w:r>
        <w:r>
          <w:rPr>
            <w:noProof/>
          </w:rPr>
          <w:fldChar w:fldCharType="end"/>
        </w:r>
      </w:p>
    </w:sdtContent>
  </w:sdt>
  <w:p w14:paraId="69713135" w14:textId="77777777" w:rsidR="00371075" w:rsidRDefault="0037107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5679E" w14:textId="77777777" w:rsidR="00340DCB" w:rsidRDefault="00340DCB" w:rsidP="00371075">
      <w:pPr>
        <w:spacing w:after="0" w:line="240" w:lineRule="auto"/>
      </w:pPr>
      <w:r>
        <w:separator/>
      </w:r>
    </w:p>
  </w:footnote>
  <w:footnote w:type="continuationSeparator" w:id="0">
    <w:p w14:paraId="05C9445D" w14:textId="77777777" w:rsidR="00340DCB" w:rsidRDefault="00340DCB" w:rsidP="00371075">
      <w:pPr>
        <w:spacing w:after="0" w:line="240" w:lineRule="auto"/>
      </w:pPr>
      <w:r>
        <w:continuationSeparator/>
      </w:r>
    </w:p>
  </w:footnote>
  <w:footnote w:type="continuationNotice" w:id="1">
    <w:p w14:paraId="44BDA7B2" w14:textId="77777777" w:rsidR="00340DCB" w:rsidRDefault="00340D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2A6A9" w14:textId="4B83494F" w:rsidR="00371075" w:rsidRDefault="00371075">
    <w:pPr>
      <w:pStyle w:val="Kopfzeile"/>
    </w:pPr>
  </w:p>
  <w:p w14:paraId="3736A995" w14:textId="792AD04A" w:rsidR="00371075" w:rsidRDefault="0037107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C173726"/>
    <w:multiLevelType w:val="hybridMultilevel"/>
    <w:tmpl w:val="B440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9"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3"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4"/>
  </w:num>
  <w:num w:numId="5">
    <w:abstractNumId w:val="10"/>
  </w:num>
  <w:num w:numId="6">
    <w:abstractNumId w:val="3"/>
  </w:num>
  <w:num w:numId="7">
    <w:abstractNumId w:val="14"/>
  </w:num>
  <w:num w:numId="8">
    <w:abstractNumId w:val="15"/>
  </w:num>
  <w:num w:numId="9">
    <w:abstractNumId w:val="11"/>
  </w:num>
  <w:num w:numId="10">
    <w:abstractNumId w:val="0"/>
  </w:num>
  <w:num w:numId="11">
    <w:abstractNumId w:val="8"/>
  </w:num>
  <w:num w:numId="12">
    <w:abstractNumId w:val="13"/>
  </w:num>
  <w:num w:numId="13">
    <w:abstractNumId w:val="9"/>
  </w:num>
  <w:num w:numId="14">
    <w:abstractNumId w:val="1"/>
  </w:num>
  <w:num w:numId="15">
    <w:abstractNumId w:val="1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573"/>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1AD2"/>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7F65"/>
    <w:rsid w:val="00AA05C7"/>
    <w:rsid w:val="00AA35FF"/>
    <w:rsid w:val="00AB15EA"/>
    <w:rsid w:val="00AB500C"/>
    <w:rsid w:val="00AC05BB"/>
    <w:rsid w:val="00AC4999"/>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0B3"/>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54B"/>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704C9"/>
  </w:style>
  <w:style w:type="paragraph" w:styleId="berschrift2">
    <w:name w:val="heading 2"/>
    <w:basedOn w:val="Standard"/>
    <w:next w:val="Standard"/>
    <w:link w:val="berschrift2Zchn"/>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F704C9"/>
    <w:rPr>
      <w:sz w:val="16"/>
      <w:szCs w:val="16"/>
    </w:rPr>
  </w:style>
  <w:style w:type="paragraph" w:styleId="Kommentartext">
    <w:name w:val="annotation text"/>
    <w:basedOn w:val="Standard"/>
    <w:link w:val="KommentartextZchn"/>
    <w:uiPriority w:val="99"/>
    <w:semiHidden/>
    <w:unhideWhenUsed/>
    <w:rsid w:val="00F704C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704C9"/>
    <w:rPr>
      <w:sz w:val="20"/>
      <w:szCs w:val="20"/>
    </w:rPr>
  </w:style>
  <w:style w:type="paragraph" w:styleId="Listenabsatz">
    <w:name w:val="List Paragraph"/>
    <w:basedOn w:val="Standard"/>
    <w:uiPriority w:val="34"/>
    <w:qFormat/>
    <w:rsid w:val="00F704C9"/>
    <w:pPr>
      <w:ind w:left="720"/>
      <w:contextualSpacing/>
    </w:pPr>
  </w:style>
  <w:style w:type="paragraph" w:styleId="Sprechblasentext">
    <w:name w:val="Balloon Text"/>
    <w:basedOn w:val="Standard"/>
    <w:link w:val="SprechblasentextZchn"/>
    <w:uiPriority w:val="99"/>
    <w:semiHidden/>
    <w:unhideWhenUsed/>
    <w:rsid w:val="00F704C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704C9"/>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777C62"/>
    <w:rPr>
      <w:b/>
      <w:bCs/>
    </w:rPr>
  </w:style>
  <w:style w:type="character" w:customStyle="1" w:styleId="KommentarthemaZchn">
    <w:name w:val="Kommentarthema Zchn"/>
    <w:basedOn w:val="KommentartextZchn"/>
    <w:link w:val="Kommentarthema"/>
    <w:uiPriority w:val="99"/>
    <w:semiHidden/>
    <w:rsid w:val="00777C62"/>
    <w:rPr>
      <w:b/>
      <w:bCs/>
      <w:sz w:val="20"/>
      <w:szCs w:val="20"/>
    </w:rPr>
  </w:style>
  <w:style w:type="paragraph" w:styleId="berarbeitung">
    <w:name w:val="Revision"/>
    <w:hidden/>
    <w:uiPriority w:val="99"/>
    <w:semiHidden/>
    <w:rsid w:val="00AA35FF"/>
    <w:pPr>
      <w:spacing w:after="0" w:line="240" w:lineRule="auto"/>
    </w:pPr>
  </w:style>
  <w:style w:type="character" w:customStyle="1" w:styleId="berschrift2Zchn">
    <w:name w:val="Überschrift 2 Zchn"/>
    <w:basedOn w:val="Absatz-Standardschriftart"/>
    <w:link w:val="berschrift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Absatz-Standardschriftart"/>
    <w:rsid w:val="00BF25DC"/>
  </w:style>
  <w:style w:type="character" w:customStyle="1" w:styleId="eop">
    <w:name w:val="eop"/>
    <w:basedOn w:val="Absatz-Standardschriftart"/>
    <w:rsid w:val="00BF25DC"/>
  </w:style>
  <w:style w:type="paragraph" w:styleId="Kopfzeile">
    <w:name w:val="header"/>
    <w:basedOn w:val="Standard"/>
    <w:link w:val="KopfzeileZchn"/>
    <w:uiPriority w:val="99"/>
    <w:unhideWhenUsed/>
    <w:rsid w:val="00371075"/>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371075"/>
  </w:style>
  <w:style w:type="paragraph" w:styleId="Fuzeile">
    <w:name w:val="footer"/>
    <w:basedOn w:val="Standard"/>
    <w:link w:val="FuzeileZchn"/>
    <w:uiPriority w:val="99"/>
    <w:unhideWhenUsed/>
    <w:rsid w:val="00371075"/>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371075"/>
  </w:style>
  <w:style w:type="character" w:styleId="Hyperlink">
    <w:name w:val="Hyperlink"/>
    <w:uiPriority w:val="99"/>
    <w:rsid w:val="006D0214"/>
    <w:rPr>
      <w:rFonts w:cs="Times New Roman"/>
      <w:color w:val="0000FF"/>
      <w:u w:val="single"/>
    </w:rPr>
  </w:style>
  <w:style w:type="character" w:customStyle="1" w:styleId="UnresolvedMention">
    <w:name w:val="Unresolved Mention"/>
    <w:basedOn w:val="Absatz-Standardschriftart"/>
    <w:uiPriority w:val="99"/>
    <w:semiHidden/>
    <w:unhideWhenUsed/>
    <w:rsid w:val="00DD789A"/>
    <w:rPr>
      <w:color w:val="605E5C"/>
      <w:shd w:val="clear" w:color="auto" w:fill="E1DFDD"/>
    </w:rPr>
  </w:style>
  <w:style w:type="paragraph" w:customStyle="1" w:styleId="xmsonormal">
    <w:name w:val="x_msonormal"/>
    <w:basedOn w:val="Standard"/>
    <w:rsid w:val="00B130B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3" Type="http://schemas.openxmlformats.org/officeDocument/2006/relationships/customXml" Target="../customXml/item3.xml"/><Relationship Id="rId21" Type="http://schemas.openxmlformats.org/officeDocument/2006/relationships/hyperlink" Target="https://www.cbd.int/sbstta/sbstta-24/post2020-monitoring-en.pdf" TargetMode="Externa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3AC24-70AE-4304-823C-6E4C6DB7AD7D}">
  <ds:schemaRefs>
    <ds:schemaRef ds:uri="http://www.w3.org/XML/1998/namespace"/>
    <ds:schemaRef ds:uri="http://schemas.microsoft.com/office/2006/documentManagement/types"/>
    <ds:schemaRef ds:uri="http://schemas.microsoft.com/office/2006/metadata/properties"/>
    <ds:schemaRef ds:uri="http://purl.org/dc/dcmitype/"/>
    <ds:schemaRef ds:uri="http://purl.org/dc/terms/"/>
    <ds:schemaRef ds:uri="http://purl.org/dc/elements/1.1/"/>
    <ds:schemaRef ds:uri="http://schemas.microsoft.com/office/infopath/2007/PartnerControls"/>
    <ds:schemaRef ds:uri="http://schemas.openxmlformats.org/package/2006/metadata/core-properties"/>
    <ds:schemaRef ds:uri="6893175b-d02b-4b59-bcab-f04604cd1678"/>
    <ds:schemaRef ds:uri="54a86806-144e-40e2-83e5-f331f141b0c3"/>
  </ds:schemaRefs>
</ds:datastoreItem>
</file>

<file path=customXml/itemProps2.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3.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7315FD-1C55-4947-B7A3-8F3CEE4D2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1836</Words>
  <Characters>10468</Characters>
  <Application>Microsoft Office Word</Application>
  <DocSecurity>0</DocSecurity>
  <Lines>87</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Amber H. Scholz</cp:lastModifiedBy>
  <cp:revision>4</cp:revision>
  <dcterms:created xsi:type="dcterms:W3CDTF">2020-07-29T11:23:00Z</dcterms:created>
  <dcterms:modified xsi:type="dcterms:W3CDTF">2020-07-29T12:06:00Z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