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28" w:rsidRDefault="00BF6C28" w:rsidP="00BF6C28">
      <w:pPr>
        <w:spacing w:after="0"/>
        <w:jc w:val="center"/>
        <w:rPr>
          <w:b/>
          <w:i/>
          <w:u w:val="single"/>
          <w:lang w:val="es-AR"/>
        </w:rPr>
      </w:pPr>
      <w:bookmarkStart w:id="0" w:name="_GoBack"/>
      <w:bookmarkEnd w:id="0"/>
    </w:p>
    <w:p w:rsidR="00BF6C28" w:rsidRDefault="00BF6C28" w:rsidP="00BF6C28">
      <w:pPr>
        <w:spacing w:after="0"/>
        <w:jc w:val="center"/>
        <w:rPr>
          <w:b/>
          <w:i/>
          <w:u w:val="single"/>
          <w:lang w:val="es-AR"/>
        </w:rPr>
      </w:pPr>
    </w:p>
    <w:p w:rsidR="00436012" w:rsidRDefault="00436012" w:rsidP="0098540C">
      <w:pPr>
        <w:spacing w:after="0"/>
        <w:jc w:val="both"/>
        <w:rPr>
          <w:b/>
          <w:lang w:val="es-AR"/>
        </w:rPr>
      </w:pPr>
    </w:p>
    <w:p w:rsidR="00436012" w:rsidRPr="00F56BC9" w:rsidRDefault="00436012" w:rsidP="00436012">
      <w:pPr>
        <w:pStyle w:val="TextosemFormatao"/>
        <w:rPr>
          <w:lang w:val="es-AR"/>
        </w:rPr>
      </w:pPr>
    </w:p>
    <w:p w:rsidR="00436012" w:rsidRPr="00F56BC9" w:rsidRDefault="00436012" w:rsidP="0098540C">
      <w:pPr>
        <w:spacing w:after="0"/>
        <w:jc w:val="both"/>
        <w:rPr>
          <w:b/>
          <w:lang w:val="es-AR"/>
        </w:rPr>
      </w:pPr>
    </w:p>
    <w:p w:rsidR="0098540C" w:rsidRDefault="00436012" w:rsidP="00213E9A">
      <w:pPr>
        <w:spacing w:after="0"/>
        <w:jc w:val="center"/>
        <w:rPr>
          <w:b/>
          <w:i/>
          <w:u w:val="single"/>
          <w:lang w:val="es-AR"/>
        </w:rPr>
      </w:pPr>
      <w:r w:rsidRPr="00213E9A">
        <w:rPr>
          <w:b/>
          <w:i/>
          <w:u w:val="single"/>
          <w:lang w:val="es-AR"/>
        </w:rPr>
        <w:t>Evaluación</w:t>
      </w:r>
      <w:r w:rsidR="0098540C" w:rsidRPr="00213E9A">
        <w:rPr>
          <w:b/>
          <w:i/>
          <w:u w:val="single"/>
          <w:lang w:val="es-AR"/>
        </w:rPr>
        <w:t xml:space="preserve"> de lo que constituye "movimientos transfronterizos </w:t>
      </w:r>
      <w:r w:rsidRPr="00213E9A">
        <w:rPr>
          <w:b/>
          <w:i/>
          <w:u w:val="single"/>
          <w:lang w:val="es-AR"/>
        </w:rPr>
        <w:t xml:space="preserve">no </w:t>
      </w:r>
      <w:r w:rsidR="0098540C" w:rsidRPr="00213E9A">
        <w:rPr>
          <w:b/>
          <w:i/>
          <w:u w:val="single"/>
          <w:lang w:val="es-AR"/>
        </w:rPr>
        <w:t xml:space="preserve">intencionales" frente a </w:t>
      </w:r>
      <w:r w:rsidRPr="00213E9A">
        <w:rPr>
          <w:b/>
          <w:i/>
          <w:u w:val="single"/>
          <w:lang w:val="es-AR"/>
        </w:rPr>
        <w:t>"</w:t>
      </w:r>
      <w:r w:rsidR="0098540C" w:rsidRPr="00213E9A">
        <w:rPr>
          <w:b/>
          <w:i/>
          <w:u w:val="single"/>
          <w:lang w:val="es-AR"/>
        </w:rPr>
        <w:t xml:space="preserve">movimientos transfronterizos ilegales" y </w:t>
      </w:r>
      <w:r w:rsidRPr="00213E9A">
        <w:rPr>
          <w:b/>
          <w:i/>
          <w:u w:val="single"/>
          <w:lang w:val="es-AR"/>
        </w:rPr>
        <w:t>que especie de información podría ser compartida en la BCH</w:t>
      </w:r>
      <w:r w:rsidR="0098540C" w:rsidRPr="00213E9A">
        <w:rPr>
          <w:b/>
          <w:i/>
          <w:u w:val="single"/>
          <w:lang w:val="es-AR"/>
        </w:rPr>
        <w:t>.</w:t>
      </w:r>
    </w:p>
    <w:p w:rsidR="00213E9A" w:rsidRDefault="00213E9A" w:rsidP="00213E9A">
      <w:pPr>
        <w:spacing w:after="0"/>
        <w:jc w:val="center"/>
        <w:rPr>
          <w:b/>
          <w:i/>
          <w:u w:val="single"/>
          <w:lang w:val="es-AR"/>
        </w:rPr>
      </w:pPr>
    </w:p>
    <w:p w:rsidR="00213E9A" w:rsidRPr="00213E9A" w:rsidRDefault="00213E9A" w:rsidP="00213E9A">
      <w:pPr>
        <w:spacing w:after="0"/>
        <w:jc w:val="center"/>
        <w:rPr>
          <w:b/>
          <w:i/>
          <w:u w:val="single"/>
          <w:lang w:val="es-AR"/>
        </w:rPr>
      </w:pPr>
    </w:p>
    <w:p w:rsidR="0098540C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Se considera que</w:t>
      </w:r>
      <w:r w:rsidR="00436012">
        <w:rPr>
          <w:lang w:val="es-AR"/>
        </w:rPr>
        <w:t>,</w:t>
      </w:r>
      <w:r w:rsidRPr="00DA2229">
        <w:rPr>
          <w:lang w:val="es-AR"/>
        </w:rPr>
        <w:t xml:space="preserve"> para una ade</w:t>
      </w:r>
      <w:r w:rsidR="00436012">
        <w:rPr>
          <w:lang w:val="es-AR"/>
        </w:rPr>
        <w:t>cuada definición del concepto de movimiento transfronterizo no intencional o ilegal</w:t>
      </w:r>
      <w:r w:rsidRPr="00DA2229">
        <w:rPr>
          <w:lang w:val="es-AR"/>
        </w:rPr>
        <w:t xml:space="preserve">, es necesario atenerse al marco establecido en </w:t>
      </w:r>
      <w:proofErr w:type="gramStart"/>
      <w:r w:rsidR="00F56BC9">
        <w:rPr>
          <w:lang w:val="es-AR"/>
        </w:rPr>
        <w:t>los</w:t>
      </w:r>
      <w:proofErr w:type="gramEnd"/>
      <w:r w:rsidRPr="00DA2229">
        <w:rPr>
          <w:lang w:val="es-AR"/>
        </w:rPr>
        <w:t xml:space="preserve"> artículo 17 y 25</w:t>
      </w:r>
      <w:r w:rsidR="00436012">
        <w:rPr>
          <w:lang w:val="es-AR"/>
        </w:rPr>
        <w:t xml:space="preserve"> del Protocolo de Cartagena. </w:t>
      </w:r>
      <w:r w:rsidRPr="00DA2229">
        <w:rPr>
          <w:lang w:val="es-AR"/>
        </w:rPr>
        <w:t xml:space="preserve">Se entiende, además, que este "movimiento" puede ser </w:t>
      </w:r>
      <w:r w:rsidR="00F56BC9">
        <w:rPr>
          <w:lang w:val="es-AR"/>
        </w:rPr>
        <w:t xml:space="preserve">de </w:t>
      </w:r>
      <w:r w:rsidRPr="00DA2229">
        <w:rPr>
          <w:lang w:val="es-AR"/>
        </w:rPr>
        <w:t xml:space="preserve">semillas (artículo 7) o de grano (artículo 11) y </w:t>
      </w:r>
      <w:r w:rsidR="00F56BC9">
        <w:rPr>
          <w:lang w:val="es-AR"/>
        </w:rPr>
        <w:t>para diferentes usos.</w:t>
      </w:r>
    </w:p>
    <w:p w:rsidR="000331AD" w:rsidRPr="00DA2229" w:rsidRDefault="000331AD" w:rsidP="0098540C">
      <w:pPr>
        <w:spacing w:after="0"/>
        <w:jc w:val="both"/>
        <w:rPr>
          <w:lang w:val="es-AR"/>
        </w:rPr>
      </w:pPr>
    </w:p>
    <w:p w:rsidR="0098540C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Otro punto importante a considerar es que mientras el artículo 25 establece que el "movimiento ilegal" implica el rechazo de</w:t>
      </w:r>
      <w:r w:rsidR="000331AD">
        <w:rPr>
          <w:lang w:val="es-AR"/>
        </w:rPr>
        <w:t xml:space="preserve"> las</w:t>
      </w:r>
      <w:r w:rsidRPr="00DA2229">
        <w:rPr>
          <w:lang w:val="es-AR"/>
        </w:rPr>
        <w:t xml:space="preserve"> medidas o la destrucción de los </w:t>
      </w:r>
      <w:proofErr w:type="spellStart"/>
      <w:r w:rsidRPr="00DA2229">
        <w:rPr>
          <w:lang w:val="es-AR"/>
        </w:rPr>
        <w:t>OVM</w:t>
      </w:r>
      <w:r w:rsidR="00F56BC9">
        <w:rPr>
          <w:lang w:val="es-AR"/>
        </w:rPr>
        <w:t>s</w:t>
      </w:r>
      <w:proofErr w:type="spellEnd"/>
      <w:r w:rsidRPr="00DA2229">
        <w:rPr>
          <w:lang w:val="es-AR"/>
        </w:rPr>
        <w:t xml:space="preserve">, el artículo 17 permite la "adopción de medidas de emergencia" y </w:t>
      </w:r>
      <w:r w:rsidR="000331AD">
        <w:rPr>
          <w:lang w:val="es-AR"/>
        </w:rPr>
        <w:t xml:space="preserve">determina </w:t>
      </w:r>
      <w:r w:rsidRPr="00DA2229">
        <w:rPr>
          <w:lang w:val="es-AR"/>
        </w:rPr>
        <w:t xml:space="preserve">la necesidad de que </w:t>
      </w:r>
      <w:r w:rsidR="000331AD">
        <w:rPr>
          <w:lang w:val="es-AR"/>
        </w:rPr>
        <w:t xml:space="preserve">sean suministradas informaciones </w:t>
      </w:r>
      <w:r w:rsidRPr="00DA2229">
        <w:rPr>
          <w:lang w:val="es-AR"/>
        </w:rPr>
        <w:t xml:space="preserve">sobre el OVM. Por lo tanto, se infiere que en caso de "movimiento </w:t>
      </w:r>
      <w:r w:rsidR="000331AD">
        <w:rPr>
          <w:lang w:val="es-AR"/>
        </w:rPr>
        <w:t>no intencional</w:t>
      </w:r>
      <w:r w:rsidRPr="00DA2229">
        <w:rPr>
          <w:lang w:val="es-AR"/>
        </w:rPr>
        <w:t xml:space="preserve">" existe la posibilidad </w:t>
      </w:r>
      <w:r w:rsidR="000331AD">
        <w:rPr>
          <w:lang w:val="es-AR"/>
        </w:rPr>
        <w:t>de que el país importador realice una</w:t>
      </w:r>
      <w:r w:rsidRPr="00DA2229">
        <w:rPr>
          <w:lang w:val="es-AR"/>
        </w:rPr>
        <w:t xml:space="preserve"> evaluación de riesgos y </w:t>
      </w:r>
      <w:r w:rsidR="000331AD">
        <w:rPr>
          <w:lang w:val="es-AR"/>
        </w:rPr>
        <w:t xml:space="preserve">adopte </w:t>
      </w:r>
      <w:r w:rsidRPr="00DA2229">
        <w:rPr>
          <w:lang w:val="es-AR"/>
        </w:rPr>
        <w:t xml:space="preserve">medidas de gestión de riesgos sin </w:t>
      </w:r>
      <w:r w:rsidR="000331AD">
        <w:rPr>
          <w:lang w:val="es-AR"/>
        </w:rPr>
        <w:t xml:space="preserve">que obligatoriamente </w:t>
      </w:r>
      <w:r w:rsidRPr="00DA2229">
        <w:rPr>
          <w:lang w:val="es-AR"/>
        </w:rPr>
        <w:t xml:space="preserve">el OVM </w:t>
      </w:r>
      <w:r w:rsidR="000331AD">
        <w:rPr>
          <w:lang w:val="es-AR"/>
        </w:rPr>
        <w:t>sea</w:t>
      </w:r>
      <w:r w:rsidRPr="00DA2229">
        <w:rPr>
          <w:lang w:val="es-AR"/>
        </w:rPr>
        <w:t xml:space="preserve"> rechazado o </w:t>
      </w:r>
      <w:r w:rsidR="00F56BC9" w:rsidRPr="00DA2229">
        <w:rPr>
          <w:lang w:val="es-AR"/>
        </w:rPr>
        <w:t>destruido.</w:t>
      </w:r>
    </w:p>
    <w:p w:rsidR="000331AD" w:rsidRPr="00DA2229" w:rsidRDefault="000331AD" w:rsidP="0098540C">
      <w:pPr>
        <w:spacing w:after="0"/>
        <w:jc w:val="both"/>
        <w:rPr>
          <w:lang w:val="es-AR"/>
        </w:rPr>
      </w:pP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Teniendo en cuenta </w:t>
      </w:r>
      <w:r w:rsidR="000331AD">
        <w:rPr>
          <w:lang w:val="es-AR"/>
        </w:rPr>
        <w:t xml:space="preserve">los puntos levantados, Brasil sugiere como posibles definiciones: </w:t>
      </w:r>
      <w:r w:rsidRPr="00DA2229">
        <w:rPr>
          <w:lang w:val="es-AR"/>
        </w:rPr>
        <w:t xml:space="preserve"> </w:t>
      </w:r>
    </w:p>
    <w:p w:rsidR="0098540C" w:rsidRPr="007B22D4" w:rsidRDefault="0098540C" w:rsidP="000331AD">
      <w:pPr>
        <w:pStyle w:val="PargrafodaLista"/>
        <w:numPr>
          <w:ilvl w:val="0"/>
          <w:numId w:val="3"/>
        </w:numPr>
        <w:spacing w:after="0"/>
        <w:jc w:val="both"/>
        <w:rPr>
          <w:b/>
          <w:lang w:val="es-AR"/>
        </w:rPr>
      </w:pPr>
      <w:r w:rsidRPr="007B22D4">
        <w:rPr>
          <w:b/>
          <w:lang w:val="es-AR"/>
        </w:rPr>
        <w:t xml:space="preserve"> Con referencia a los "movimientos transfronterizos no intencionales"</w:t>
      </w:r>
    </w:p>
    <w:p w:rsidR="00DA5560" w:rsidRDefault="00DA5560" w:rsidP="0098540C">
      <w:pPr>
        <w:spacing w:after="0"/>
        <w:jc w:val="both"/>
        <w:rPr>
          <w:lang w:val="es-AR"/>
        </w:rPr>
      </w:pPr>
    </w:p>
    <w:p w:rsidR="00DA5560" w:rsidRPr="00E30FDD" w:rsidRDefault="00DA5560" w:rsidP="00DA5560">
      <w:pPr>
        <w:jc w:val="both"/>
        <w:rPr>
          <w:lang w:val="en-US"/>
        </w:rPr>
      </w:pPr>
      <w:r w:rsidRPr="00E30FDD">
        <w:rPr>
          <w:lang w:val="en-US"/>
        </w:rPr>
        <w:t>“</w:t>
      </w:r>
      <w:r w:rsidRPr="00E30FDD">
        <w:rPr>
          <w:b/>
          <w:i/>
          <w:lang w:val="en-US"/>
        </w:rPr>
        <w:t xml:space="preserve">The unintended </w:t>
      </w:r>
      <w:proofErr w:type="spellStart"/>
      <w:r w:rsidRPr="00E30FDD">
        <w:rPr>
          <w:b/>
          <w:i/>
          <w:lang w:val="en-US"/>
        </w:rPr>
        <w:t>transbounda</w:t>
      </w:r>
      <w:r>
        <w:rPr>
          <w:b/>
          <w:i/>
          <w:lang w:val="en-US"/>
        </w:rPr>
        <w:t>r</w:t>
      </w:r>
      <w:r w:rsidRPr="00E30FDD">
        <w:rPr>
          <w:b/>
          <w:i/>
          <w:lang w:val="en-US"/>
        </w:rPr>
        <w:t>y</w:t>
      </w:r>
      <w:proofErr w:type="spellEnd"/>
      <w:r w:rsidRPr="00E30FDD">
        <w:rPr>
          <w:b/>
          <w:i/>
          <w:lang w:val="en-US"/>
        </w:rPr>
        <w:t xml:space="preserve"> movement of low levels of </w:t>
      </w:r>
      <w:r w:rsidR="0001281D">
        <w:rPr>
          <w:b/>
          <w:i/>
          <w:lang w:val="en-US"/>
        </w:rPr>
        <w:t xml:space="preserve">a </w:t>
      </w:r>
      <w:r w:rsidRPr="00E30FDD">
        <w:rPr>
          <w:b/>
          <w:i/>
          <w:lang w:val="en-US"/>
        </w:rPr>
        <w:t>LMO that have passed a safety as</w:t>
      </w:r>
      <w:r>
        <w:rPr>
          <w:b/>
          <w:i/>
          <w:lang w:val="en-US"/>
        </w:rPr>
        <w:t>s</w:t>
      </w:r>
      <w:r w:rsidRPr="00E30FDD">
        <w:rPr>
          <w:b/>
          <w:i/>
          <w:lang w:val="en-US"/>
        </w:rPr>
        <w:t>essment and is authorized for use as food/feed in one or more countries but is not authorized in the country of import</w:t>
      </w:r>
      <w:r w:rsidRPr="00E30FDD">
        <w:rPr>
          <w:lang w:val="en-US"/>
        </w:rPr>
        <w:t xml:space="preserve">” </w:t>
      </w:r>
    </w:p>
    <w:p w:rsidR="0098540C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La definición propuesta se basa en el concepto "</w:t>
      </w:r>
      <w:proofErr w:type="spellStart"/>
      <w:r w:rsidR="0073251C">
        <w:rPr>
          <w:lang w:val="es-AR"/>
        </w:rPr>
        <w:t>Low</w:t>
      </w:r>
      <w:proofErr w:type="spellEnd"/>
      <w:r w:rsidR="0073251C">
        <w:rPr>
          <w:lang w:val="es-AR"/>
        </w:rPr>
        <w:t xml:space="preserve"> </w:t>
      </w:r>
      <w:proofErr w:type="spellStart"/>
      <w:r w:rsidR="0073251C">
        <w:rPr>
          <w:lang w:val="es-AR"/>
        </w:rPr>
        <w:t>Level</w:t>
      </w:r>
      <w:proofErr w:type="spellEnd"/>
      <w:r w:rsidR="0073251C">
        <w:rPr>
          <w:lang w:val="es-AR"/>
        </w:rPr>
        <w:t xml:space="preserve"> </w:t>
      </w:r>
      <w:proofErr w:type="spellStart"/>
      <w:r w:rsidR="0073251C">
        <w:rPr>
          <w:lang w:val="es-AR"/>
        </w:rPr>
        <w:t>Presence</w:t>
      </w:r>
      <w:proofErr w:type="spellEnd"/>
      <w:r w:rsidRPr="00DA2229">
        <w:rPr>
          <w:lang w:val="es-AR"/>
        </w:rPr>
        <w:t xml:space="preserve"> - LLP" discutido </w:t>
      </w:r>
      <w:r w:rsidR="0073251C">
        <w:rPr>
          <w:lang w:val="es-AR"/>
        </w:rPr>
        <w:t xml:space="preserve">hace </w:t>
      </w:r>
      <w:r w:rsidRPr="00DA2229">
        <w:rPr>
          <w:lang w:val="es-AR"/>
        </w:rPr>
        <w:t xml:space="preserve">varios años por los países y presente en documentos del </w:t>
      </w:r>
      <w:proofErr w:type="spellStart"/>
      <w:r w:rsidRPr="00DA2229">
        <w:rPr>
          <w:lang w:val="es-AR"/>
        </w:rPr>
        <w:t>Codex</w:t>
      </w:r>
      <w:proofErr w:type="gramStart"/>
      <w:r w:rsidRPr="00DA2229">
        <w:rPr>
          <w:lang w:val="es-AR"/>
        </w:rPr>
        <w:t>,</w:t>
      </w:r>
      <w:r w:rsidR="00E40C17">
        <w:rPr>
          <w:lang w:val="es-AR"/>
        </w:rPr>
        <w:t>de</w:t>
      </w:r>
      <w:proofErr w:type="spellEnd"/>
      <w:proofErr w:type="gramEnd"/>
      <w:r w:rsidRPr="00DA2229">
        <w:rPr>
          <w:lang w:val="es-AR"/>
        </w:rPr>
        <w:t xml:space="preserve"> la OCDE y</w:t>
      </w:r>
      <w:r w:rsidR="00E40C17">
        <w:rPr>
          <w:lang w:val="es-AR"/>
        </w:rPr>
        <w:t xml:space="preserve"> de</w:t>
      </w:r>
      <w:r w:rsidRPr="00DA2229">
        <w:rPr>
          <w:lang w:val="es-AR"/>
        </w:rPr>
        <w:t xml:space="preserve"> la FAO. </w:t>
      </w:r>
      <w:r w:rsidR="003F1633">
        <w:rPr>
          <w:lang w:val="es-AR"/>
        </w:rPr>
        <w:t>Así</w:t>
      </w:r>
      <w:r w:rsidRPr="00DA2229">
        <w:rPr>
          <w:lang w:val="es-AR"/>
        </w:rPr>
        <w:t>, se considera que</w:t>
      </w:r>
      <w:r w:rsidR="003F1633">
        <w:rPr>
          <w:lang w:val="es-AR"/>
        </w:rPr>
        <w:t xml:space="preserve"> en el concepto de</w:t>
      </w:r>
      <w:r w:rsidRPr="00DA2229">
        <w:rPr>
          <w:lang w:val="es-AR"/>
        </w:rPr>
        <w:t xml:space="preserve"> "movimiento transfronterizo involuntario" es importante:</w:t>
      </w:r>
    </w:p>
    <w:p w:rsidR="00E40C17" w:rsidRPr="00DA2229" w:rsidRDefault="00E40C17" w:rsidP="0098540C">
      <w:pPr>
        <w:spacing w:after="0"/>
        <w:jc w:val="both"/>
        <w:rPr>
          <w:lang w:val="es-AR"/>
        </w:rPr>
      </w:pPr>
    </w:p>
    <w:p w:rsidR="0098540C" w:rsidRDefault="003F1633" w:rsidP="0098540C">
      <w:pPr>
        <w:spacing w:after="0"/>
        <w:jc w:val="both"/>
        <w:rPr>
          <w:lang w:val="es-AR"/>
        </w:rPr>
      </w:pPr>
      <w:r>
        <w:rPr>
          <w:lang w:val="es-AR"/>
        </w:rPr>
        <w:t xml:space="preserve">- </w:t>
      </w:r>
      <w:r w:rsidR="0073251C">
        <w:rPr>
          <w:lang w:val="es-AR"/>
        </w:rPr>
        <w:t xml:space="preserve">   </w:t>
      </w:r>
      <w:r>
        <w:rPr>
          <w:lang w:val="es-AR"/>
        </w:rPr>
        <w:t>Hacer hincapié d</w:t>
      </w:r>
      <w:r w:rsidR="0098540C" w:rsidRPr="00DA2229">
        <w:rPr>
          <w:lang w:val="es-AR"/>
        </w:rPr>
        <w:t>el carácter accidental;</w:t>
      </w:r>
    </w:p>
    <w:p w:rsidR="007B22D4" w:rsidRPr="00DA2229" w:rsidRDefault="007B22D4" w:rsidP="0098540C">
      <w:pPr>
        <w:spacing w:after="0"/>
        <w:jc w:val="both"/>
        <w:rPr>
          <w:lang w:val="es-AR"/>
        </w:rPr>
      </w:pPr>
    </w:p>
    <w:p w:rsidR="007B22D4" w:rsidRDefault="0098540C" w:rsidP="00B06E5E">
      <w:pPr>
        <w:rPr>
          <w:lang w:val="es-AR"/>
        </w:rPr>
      </w:pPr>
      <w:r w:rsidRPr="00DA2229">
        <w:rPr>
          <w:lang w:val="es-AR"/>
        </w:rPr>
        <w:t xml:space="preserve">- </w:t>
      </w:r>
      <w:r w:rsidR="0073251C">
        <w:rPr>
          <w:lang w:val="es-AR"/>
        </w:rPr>
        <w:t xml:space="preserve"> </w:t>
      </w:r>
      <w:r w:rsidR="00B06E5E">
        <w:rPr>
          <w:lang w:val="es-AR"/>
        </w:rPr>
        <w:t xml:space="preserve">  </w:t>
      </w:r>
      <w:r w:rsidR="0073251C">
        <w:rPr>
          <w:lang w:val="es-AR"/>
        </w:rPr>
        <w:t>Destacar la</w:t>
      </w:r>
      <w:r w:rsidRPr="00DA2229">
        <w:rPr>
          <w:lang w:val="es-AR"/>
        </w:rPr>
        <w:t xml:space="preserve"> presencia en niveles bajos de OVM, </w:t>
      </w:r>
      <w:r w:rsidR="0073251C">
        <w:rPr>
          <w:lang w:val="es-AR"/>
        </w:rPr>
        <w:t>caracterizando un</w:t>
      </w:r>
      <w:r w:rsidRPr="00DA2229">
        <w:rPr>
          <w:lang w:val="es-AR"/>
        </w:rPr>
        <w:t xml:space="preserve"> escenario de</w:t>
      </w:r>
      <w:r w:rsidR="00A21F9D">
        <w:rPr>
          <w:lang w:val="es-AR"/>
        </w:rPr>
        <w:t xml:space="preserve"> baja exposición. </w:t>
      </w:r>
      <w:r w:rsidR="00734B73">
        <w:rPr>
          <w:lang w:val="es-AR"/>
        </w:rPr>
        <w:t>As</w:t>
      </w:r>
      <w:r w:rsidR="00337092">
        <w:rPr>
          <w:lang w:val="es-AR"/>
        </w:rPr>
        <w:t>í</w:t>
      </w:r>
      <w:r w:rsidR="00A21F9D">
        <w:rPr>
          <w:lang w:val="es-AR"/>
        </w:rPr>
        <w:t>, sería importante m</w:t>
      </w:r>
      <w:r w:rsidR="00A21F9D" w:rsidRPr="00DA2229">
        <w:rPr>
          <w:lang w:val="es-AR"/>
        </w:rPr>
        <w:t xml:space="preserve">antener el concepto que ya </w:t>
      </w:r>
      <w:r w:rsidR="00734B73">
        <w:rPr>
          <w:lang w:val="es-AR"/>
        </w:rPr>
        <w:t>viene</w:t>
      </w:r>
      <w:r w:rsidR="00A21F9D" w:rsidRPr="00DA2229">
        <w:rPr>
          <w:lang w:val="es-AR"/>
        </w:rPr>
        <w:t xml:space="preserve"> siendo dis</w:t>
      </w:r>
      <w:r w:rsidR="00A21F9D">
        <w:rPr>
          <w:lang w:val="es-AR"/>
        </w:rPr>
        <w:t>cutido por los países y adoptado</w:t>
      </w:r>
      <w:r w:rsidR="00A21F9D" w:rsidRPr="00DA2229">
        <w:rPr>
          <w:lang w:val="es-AR"/>
        </w:rPr>
        <w:t xml:space="preserve"> por la FAO sobre "</w:t>
      </w:r>
      <w:proofErr w:type="spellStart"/>
      <w:r w:rsidR="00734B73">
        <w:rPr>
          <w:lang w:val="es-AR"/>
        </w:rPr>
        <w:t>Low</w:t>
      </w:r>
      <w:proofErr w:type="spellEnd"/>
      <w:r w:rsidR="00734B73">
        <w:rPr>
          <w:lang w:val="es-AR"/>
        </w:rPr>
        <w:t xml:space="preserve"> </w:t>
      </w:r>
      <w:proofErr w:type="spellStart"/>
      <w:r w:rsidR="00734B73">
        <w:rPr>
          <w:lang w:val="es-AR"/>
        </w:rPr>
        <w:t>Level</w:t>
      </w:r>
      <w:proofErr w:type="spellEnd"/>
      <w:r w:rsidR="00734B73">
        <w:rPr>
          <w:lang w:val="es-AR"/>
        </w:rPr>
        <w:t xml:space="preserve"> </w:t>
      </w:r>
      <w:proofErr w:type="spellStart"/>
      <w:r w:rsidR="00734B73">
        <w:rPr>
          <w:lang w:val="es-AR"/>
        </w:rPr>
        <w:t>Presence</w:t>
      </w:r>
      <w:proofErr w:type="spellEnd"/>
      <w:r w:rsidR="00A21F9D" w:rsidRPr="00DA2229">
        <w:rPr>
          <w:lang w:val="es-AR"/>
        </w:rPr>
        <w:t xml:space="preserve"> (LLP)". En el </w:t>
      </w:r>
      <w:r w:rsidR="0010629A">
        <w:rPr>
          <w:lang w:val="es-AR"/>
        </w:rPr>
        <w:t xml:space="preserve">ámbito </w:t>
      </w:r>
      <w:r w:rsidR="00A21F9D" w:rsidRPr="00DA2229">
        <w:rPr>
          <w:lang w:val="es-AR"/>
        </w:rPr>
        <w:t xml:space="preserve">de la FAO una situación LLP se refiere a un OVM ya autorizado para el uso de alimentación en uno o más países </w:t>
      </w:r>
      <w:r w:rsidR="00337092">
        <w:rPr>
          <w:lang w:val="es-AR"/>
        </w:rPr>
        <w:t>y no autorizado</w:t>
      </w:r>
      <w:r w:rsidR="00A21F9D" w:rsidRPr="00DA2229">
        <w:rPr>
          <w:lang w:val="es-AR"/>
        </w:rPr>
        <w:t xml:space="preserve"> en el país de importación</w:t>
      </w:r>
      <w:r w:rsidR="0010629A">
        <w:rPr>
          <w:lang w:val="es-AR"/>
        </w:rPr>
        <w:t>. Ya una</w:t>
      </w:r>
      <w:r w:rsidR="00A21F9D" w:rsidRPr="00DA2229">
        <w:rPr>
          <w:lang w:val="es-AR"/>
        </w:rPr>
        <w:t xml:space="preserve"> </w:t>
      </w:r>
      <w:r w:rsidR="0010629A">
        <w:rPr>
          <w:lang w:val="es-AR"/>
        </w:rPr>
        <w:t>situación de "</w:t>
      </w:r>
      <w:r w:rsidR="0010629A" w:rsidRPr="0010629A">
        <w:rPr>
          <w:lang w:val="es-AR"/>
        </w:rPr>
        <w:t xml:space="preserve"> </w:t>
      </w:r>
      <w:proofErr w:type="spellStart"/>
      <w:r w:rsidR="0010629A">
        <w:rPr>
          <w:lang w:val="es-AR"/>
        </w:rPr>
        <w:t>a</w:t>
      </w:r>
      <w:r w:rsidR="0010629A" w:rsidRPr="0010629A">
        <w:rPr>
          <w:lang w:val="es-AR"/>
        </w:rPr>
        <w:t>dventitious</w:t>
      </w:r>
      <w:proofErr w:type="spellEnd"/>
      <w:r w:rsidR="0010629A">
        <w:rPr>
          <w:lang w:val="es-AR"/>
        </w:rPr>
        <w:t xml:space="preserve"> </w:t>
      </w:r>
      <w:proofErr w:type="spellStart"/>
      <w:r w:rsidR="0010629A">
        <w:rPr>
          <w:lang w:val="es-AR"/>
        </w:rPr>
        <w:t>presence</w:t>
      </w:r>
      <w:proofErr w:type="spellEnd"/>
      <w:r w:rsidR="0010629A">
        <w:rPr>
          <w:lang w:val="es-AR"/>
        </w:rPr>
        <w:t xml:space="preserve"> -</w:t>
      </w:r>
      <w:r w:rsidR="0010629A" w:rsidRPr="00DA2229">
        <w:rPr>
          <w:lang w:val="es-AR"/>
        </w:rPr>
        <w:t xml:space="preserve"> </w:t>
      </w:r>
      <w:r w:rsidR="00A21F9D" w:rsidRPr="00DA2229">
        <w:rPr>
          <w:lang w:val="es-AR"/>
        </w:rPr>
        <w:t>(AP)" se refiere a la presencia no intencional de</w:t>
      </w:r>
      <w:r w:rsidR="0010629A">
        <w:rPr>
          <w:lang w:val="es-AR"/>
        </w:rPr>
        <w:t xml:space="preserve"> un</w:t>
      </w:r>
      <w:r w:rsidR="00A21F9D" w:rsidRPr="00DA2229">
        <w:rPr>
          <w:lang w:val="es-AR"/>
        </w:rPr>
        <w:t xml:space="preserve"> OVM</w:t>
      </w:r>
      <w:r w:rsidR="0010629A">
        <w:rPr>
          <w:lang w:val="es-AR"/>
        </w:rPr>
        <w:t xml:space="preserve"> que</w:t>
      </w:r>
      <w:r w:rsidR="00A21F9D" w:rsidRPr="00DA2229">
        <w:rPr>
          <w:lang w:val="es-AR"/>
        </w:rPr>
        <w:t xml:space="preserve"> todavía </w:t>
      </w:r>
      <w:r w:rsidR="0010629A">
        <w:rPr>
          <w:lang w:val="es-AR"/>
        </w:rPr>
        <w:t>no fue autorizado en</w:t>
      </w:r>
      <w:r w:rsidR="00B06E5E">
        <w:rPr>
          <w:lang w:val="es-AR"/>
        </w:rPr>
        <w:t xml:space="preserve"> cualquier país. Otro aspecto a considerar es que l</w:t>
      </w:r>
      <w:r w:rsidR="00B06E5E" w:rsidRPr="00DA2229">
        <w:rPr>
          <w:lang w:val="es-AR"/>
        </w:rPr>
        <w:t>os niveles que caracterizan una "presencia en bajo nivel"</w:t>
      </w:r>
      <w:r w:rsidR="007B22D4">
        <w:rPr>
          <w:lang w:val="es-AR"/>
        </w:rPr>
        <w:t>,</w:t>
      </w:r>
      <w:r w:rsidR="00B06E5E" w:rsidRPr="00DA2229">
        <w:rPr>
          <w:lang w:val="es-AR"/>
        </w:rPr>
        <w:t xml:space="preserve"> o lo que se podría definir como </w:t>
      </w:r>
      <w:r w:rsidR="00B06E5E">
        <w:rPr>
          <w:lang w:val="es-AR"/>
        </w:rPr>
        <w:t xml:space="preserve">un </w:t>
      </w:r>
      <w:r w:rsidR="00B06E5E" w:rsidRPr="00DA2229">
        <w:rPr>
          <w:lang w:val="es-AR"/>
        </w:rPr>
        <w:t>"límite de tolerancia"</w:t>
      </w:r>
      <w:r w:rsidR="007B22D4">
        <w:rPr>
          <w:lang w:val="es-AR"/>
        </w:rPr>
        <w:t xml:space="preserve"> -</w:t>
      </w:r>
      <w:r w:rsidR="00B06E5E">
        <w:rPr>
          <w:lang w:val="es-AR"/>
        </w:rPr>
        <w:t xml:space="preserve"> deben ser establecidos </w:t>
      </w:r>
      <w:r w:rsidR="007B22D4">
        <w:rPr>
          <w:lang w:val="es-AR"/>
        </w:rPr>
        <w:t>p</w:t>
      </w:r>
      <w:r w:rsidR="00B06E5E" w:rsidRPr="00DA2229">
        <w:rPr>
          <w:lang w:val="es-AR"/>
        </w:rPr>
        <w:t>or cada país.</w:t>
      </w:r>
    </w:p>
    <w:p w:rsidR="00915CAF" w:rsidRPr="00DA2229" w:rsidRDefault="0098540C" w:rsidP="00B06E5E">
      <w:pPr>
        <w:rPr>
          <w:lang w:val="es-AR"/>
        </w:rPr>
      </w:pPr>
      <w:r w:rsidRPr="00DA2229">
        <w:rPr>
          <w:lang w:val="es-AR"/>
        </w:rPr>
        <w:lastRenderedPageBreak/>
        <w:t>-</w:t>
      </w:r>
      <w:r w:rsidR="00B06E5E">
        <w:rPr>
          <w:lang w:val="es-AR"/>
        </w:rPr>
        <w:t xml:space="preserve"> </w:t>
      </w:r>
      <w:r w:rsidRPr="00DA2229">
        <w:rPr>
          <w:lang w:val="es-AR"/>
        </w:rPr>
        <w:t xml:space="preserve"> </w:t>
      </w:r>
      <w:r w:rsidR="00DB1F99">
        <w:rPr>
          <w:lang w:val="es-AR"/>
        </w:rPr>
        <w:t xml:space="preserve"> Resaltar </w:t>
      </w:r>
      <w:r w:rsidRPr="00DA2229">
        <w:rPr>
          <w:lang w:val="es-AR"/>
        </w:rPr>
        <w:t xml:space="preserve"> la necesidad de que el OVM </w:t>
      </w:r>
      <w:r w:rsidR="00DB1F99">
        <w:rPr>
          <w:lang w:val="es-AR"/>
        </w:rPr>
        <w:t xml:space="preserve"> ya haya sido sometido a </w:t>
      </w:r>
      <w:r w:rsidRPr="00DA2229">
        <w:rPr>
          <w:lang w:val="es-AR"/>
        </w:rPr>
        <w:t xml:space="preserve">un </w:t>
      </w:r>
      <w:r w:rsidR="00FA1447">
        <w:rPr>
          <w:lang w:val="es-AR"/>
        </w:rPr>
        <w:t>proceso de evaluación de riesgo</w:t>
      </w:r>
      <w:r w:rsidRPr="00DA2229">
        <w:rPr>
          <w:lang w:val="es-AR"/>
        </w:rPr>
        <w:t xml:space="preserve"> y est</w:t>
      </w:r>
      <w:r w:rsidR="00DB1F99">
        <w:rPr>
          <w:lang w:val="es-AR"/>
        </w:rPr>
        <w:t>é autorizad</w:t>
      </w:r>
      <w:r w:rsidR="00915CAF">
        <w:rPr>
          <w:lang w:val="es-AR"/>
        </w:rPr>
        <w:t>o</w:t>
      </w:r>
      <w:r w:rsidRPr="00DA2229">
        <w:rPr>
          <w:lang w:val="es-AR"/>
        </w:rPr>
        <w:t xml:space="preserve"> para </w:t>
      </w:r>
      <w:r w:rsidR="00DB1F99">
        <w:rPr>
          <w:lang w:val="es-AR"/>
        </w:rPr>
        <w:t>uso como</w:t>
      </w:r>
      <w:r w:rsidRPr="00DA2229">
        <w:rPr>
          <w:lang w:val="es-AR"/>
        </w:rPr>
        <w:t xml:space="preserve"> alimento </w:t>
      </w:r>
      <w:r w:rsidR="00DB1F99">
        <w:rPr>
          <w:lang w:val="es-AR"/>
        </w:rPr>
        <w:t>o ración</w:t>
      </w:r>
      <w:r w:rsidRPr="00DA2229">
        <w:rPr>
          <w:lang w:val="es-AR"/>
        </w:rPr>
        <w:t xml:space="preserve"> en cualquier país</w:t>
      </w:r>
      <w:r w:rsidR="00915CAF">
        <w:rPr>
          <w:lang w:val="es-AR"/>
        </w:rPr>
        <w:t>. O</w:t>
      </w:r>
      <w:r w:rsidR="00915CAF" w:rsidRPr="00DA2229">
        <w:rPr>
          <w:lang w:val="es-AR"/>
        </w:rPr>
        <w:t xml:space="preserve">tro término que </w:t>
      </w:r>
      <w:r w:rsidR="00915CAF">
        <w:rPr>
          <w:lang w:val="es-AR"/>
        </w:rPr>
        <w:t>se podría utilizar</w:t>
      </w:r>
      <w:r w:rsidR="00915CAF" w:rsidRPr="00DA2229">
        <w:rPr>
          <w:lang w:val="es-AR"/>
        </w:rPr>
        <w:t xml:space="preserve"> sería "</w:t>
      </w:r>
      <w:proofErr w:type="spellStart"/>
      <w:r w:rsidR="00915CAF">
        <w:rPr>
          <w:lang w:val="es-AR"/>
        </w:rPr>
        <w:t>authorized</w:t>
      </w:r>
      <w:proofErr w:type="spellEnd"/>
      <w:r w:rsidR="00915CAF">
        <w:rPr>
          <w:lang w:val="es-AR"/>
        </w:rPr>
        <w:t xml:space="preserve"> </w:t>
      </w:r>
      <w:proofErr w:type="spellStart"/>
      <w:r w:rsidR="00915CAF">
        <w:rPr>
          <w:lang w:val="es-AR"/>
        </w:rPr>
        <w:t>for</w:t>
      </w:r>
      <w:proofErr w:type="spellEnd"/>
      <w:r w:rsidR="00915CAF">
        <w:rPr>
          <w:lang w:val="es-AR"/>
        </w:rPr>
        <w:t xml:space="preserve"> </w:t>
      </w:r>
      <w:proofErr w:type="spellStart"/>
      <w:r w:rsidR="00915CAF">
        <w:rPr>
          <w:lang w:val="es-AR"/>
        </w:rPr>
        <w:t>commercial</w:t>
      </w:r>
      <w:proofErr w:type="spellEnd"/>
      <w:r w:rsidR="00915CAF">
        <w:rPr>
          <w:lang w:val="es-AR"/>
        </w:rPr>
        <w:t xml:space="preserve"> use</w:t>
      </w:r>
      <w:r w:rsidR="00915CAF" w:rsidRPr="00DA2229">
        <w:rPr>
          <w:lang w:val="es-AR"/>
        </w:rPr>
        <w:t xml:space="preserve">," pero </w:t>
      </w:r>
      <w:r w:rsidR="00915CAF">
        <w:rPr>
          <w:lang w:val="es-AR"/>
        </w:rPr>
        <w:t>como existe la previsión de</w:t>
      </w:r>
      <w:r w:rsidR="00915CAF" w:rsidRPr="00DA2229">
        <w:rPr>
          <w:lang w:val="es-AR"/>
        </w:rPr>
        <w:t xml:space="preserve"> los países </w:t>
      </w:r>
      <w:r w:rsidR="00915CAF">
        <w:rPr>
          <w:lang w:val="es-AR"/>
        </w:rPr>
        <w:t xml:space="preserve">realizaren </w:t>
      </w:r>
      <w:r w:rsidR="00915CAF" w:rsidRPr="00DA2229">
        <w:rPr>
          <w:lang w:val="es-AR"/>
        </w:rPr>
        <w:t xml:space="preserve">evaluación de riesgos específica para </w:t>
      </w:r>
      <w:proofErr w:type="spellStart"/>
      <w:r w:rsidR="00915CAF">
        <w:rPr>
          <w:lang w:val="es-AR"/>
        </w:rPr>
        <w:t>food</w:t>
      </w:r>
      <w:proofErr w:type="spellEnd"/>
      <w:r w:rsidR="00915CAF">
        <w:rPr>
          <w:lang w:val="es-AR"/>
        </w:rPr>
        <w:t>/</w:t>
      </w:r>
      <w:proofErr w:type="spellStart"/>
      <w:r w:rsidR="00915CAF">
        <w:rPr>
          <w:lang w:val="es-AR"/>
        </w:rPr>
        <w:t>feed</w:t>
      </w:r>
      <w:proofErr w:type="spellEnd"/>
      <w:r w:rsidR="00915CAF" w:rsidRPr="00DA2229">
        <w:rPr>
          <w:lang w:val="es-AR"/>
        </w:rPr>
        <w:t xml:space="preserve">, </w:t>
      </w:r>
      <w:r w:rsidR="00915CAF">
        <w:rPr>
          <w:lang w:val="es-AR"/>
        </w:rPr>
        <w:t xml:space="preserve">ese parece el concepto más apropiado. Además, con la formulación propuesta sería posible adoptar </w:t>
      </w:r>
      <w:r w:rsidR="00915CAF" w:rsidRPr="00DA2229">
        <w:rPr>
          <w:lang w:val="es-AR"/>
        </w:rPr>
        <w:t xml:space="preserve">procedimientos </w:t>
      </w:r>
      <w:r w:rsidR="00915CAF">
        <w:rPr>
          <w:lang w:val="es-AR"/>
        </w:rPr>
        <w:t xml:space="preserve">ya </w:t>
      </w:r>
      <w:r w:rsidR="00915CAF" w:rsidRPr="00DA2229">
        <w:rPr>
          <w:lang w:val="es-AR"/>
        </w:rPr>
        <w:t xml:space="preserve">definidos por </w:t>
      </w:r>
      <w:r w:rsidR="00915CAF">
        <w:rPr>
          <w:lang w:val="es-AR"/>
        </w:rPr>
        <w:t xml:space="preserve">el </w:t>
      </w:r>
      <w:r w:rsidR="00915CAF" w:rsidRPr="00DA2229">
        <w:rPr>
          <w:lang w:val="es-AR"/>
        </w:rPr>
        <w:t xml:space="preserve">CODEX (alimentos y </w:t>
      </w:r>
      <w:r w:rsidR="00915CAF">
        <w:rPr>
          <w:lang w:val="es-AR"/>
        </w:rPr>
        <w:t>ración)</w:t>
      </w:r>
      <w:r w:rsidR="00915CAF" w:rsidRPr="00DA2229">
        <w:rPr>
          <w:lang w:val="es-AR"/>
        </w:rPr>
        <w:t xml:space="preserve"> y la OCDE (riesgo ambienta</w:t>
      </w:r>
      <w:r w:rsidR="00915CAF">
        <w:rPr>
          <w:lang w:val="es-AR"/>
        </w:rPr>
        <w:t xml:space="preserve">l) para la evaluación de riesgo. </w:t>
      </w:r>
    </w:p>
    <w:p w:rsidR="0098540C" w:rsidRPr="007B22D4" w:rsidRDefault="007B22D4" w:rsidP="0098540C">
      <w:pPr>
        <w:spacing w:after="0"/>
        <w:jc w:val="both"/>
        <w:rPr>
          <w:b/>
          <w:lang w:val="es-AR"/>
        </w:rPr>
      </w:pPr>
      <w:r w:rsidRPr="007B22D4">
        <w:rPr>
          <w:b/>
          <w:lang w:val="es-AR"/>
        </w:rPr>
        <w:t>b)  En relación a</w:t>
      </w:r>
      <w:r w:rsidR="0098540C" w:rsidRPr="007B22D4">
        <w:rPr>
          <w:b/>
          <w:lang w:val="es-AR"/>
        </w:rPr>
        <w:t xml:space="preserve"> "movimientos transfronterizos ilegales"</w:t>
      </w:r>
      <w:r w:rsidR="00C431BE">
        <w:rPr>
          <w:b/>
          <w:lang w:val="es-AR"/>
        </w:rPr>
        <w:t>:</w:t>
      </w:r>
    </w:p>
    <w:p w:rsidR="00C431BE" w:rsidRDefault="00C431BE" w:rsidP="0098540C">
      <w:pPr>
        <w:spacing w:after="0"/>
        <w:jc w:val="both"/>
        <w:rPr>
          <w:lang w:val="es-AR"/>
        </w:rPr>
      </w:pPr>
    </w:p>
    <w:p w:rsidR="00C431BE" w:rsidRPr="00E30FDD" w:rsidRDefault="00C431BE" w:rsidP="00C431BE">
      <w:pPr>
        <w:jc w:val="both"/>
        <w:rPr>
          <w:lang w:val="en-US"/>
        </w:rPr>
      </w:pPr>
      <w:r w:rsidRPr="00E30FDD">
        <w:rPr>
          <w:lang w:val="en-US"/>
        </w:rPr>
        <w:t>“</w:t>
      </w:r>
      <w:r w:rsidRPr="00E30FDD">
        <w:rPr>
          <w:b/>
          <w:i/>
          <w:lang w:val="en-US"/>
        </w:rPr>
        <w:t xml:space="preserve">The </w:t>
      </w:r>
      <w:proofErr w:type="spellStart"/>
      <w:r w:rsidRPr="00E30FDD">
        <w:rPr>
          <w:b/>
          <w:i/>
          <w:lang w:val="en-US"/>
        </w:rPr>
        <w:t>transboundary</w:t>
      </w:r>
      <w:proofErr w:type="spellEnd"/>
      <w:r w:rsidRPr="00E30FDD">
        <w:rPr>
          <w:b/>
          <w:i/>
          <w:lang w:val="en-US"/>
        </w:rPr>
        <w:t xml:space="preserve"> movement of a LMO carried out in</w:t>
      </w:r>
      <w:r w:rsidR="00572EEB">
        <w:rPr>
          <w:b/>
          <w:i/>
          <w:lang w:val="en-US"/>
        </w:rPr>
        <w:t xml:space="preserve"> </w:t>
      </w:r>
      <w:r w:rsidR="00AF37C2">
        <w:rPr>
          <w:b/>
          <w:i/>
          <w:lang w:val="en-US"/>
        </w:rPr>
        <w:t xml:space="preserve">contravention </w:t>
      </w:r>
      <w:proofErr w:type="gramStart"/>
      <w:r w:rsidR="00AF37C2">
        <w:rPr>
          <w:b/>
          <w:i/>
          <w:lang w:val="en-US"/>
        </w:rPr>
        <w:t>of a</w:t>
      </w:r>
      <w:r w:rsidRPr="00E30FDD">
        <w:rPr>
          <w:b/>
          <w:i/>
          <w:lang w:val="en-US"/>
        </w:rPr>
        <w:t xml:space="preserve"> Party´s domestic measures</w:t>
      </w:r>
      <w:proofErr w:type="gramEnd"/>
      <w:r w:rsidRPr="00E30FDD">
        <w:rPr>
          <w:b/>
          <w:i/>
          <w:lang w:val="en-US"/>
        </w:rPr>
        <w:t xml:space="preserve"> to implement the C</w:t>
      </w:r>
      <w:r w:rsidR="00AF37C2">
        <w:rPr>
          <w:b/>
          <w:i/>
          <w:lang w:val="en-US"/>
        </w:rPr>
        <w:t xml:space="preserve">artagena </w:t>
      </w:r>
      <w:r w:rsidRPr="00E30FDD">
        <w:rPr>
          <w:b/>
          <w:i/>
          <w:lang w:val="en-US"/>
        </w:rPr>
        <w:t>P</w:t>
      </w:r>
      <w:r w:rsidR="00AF37C2">
        <w:rPr>
          <w:b/>
          <w:i/>
          <w:lang w:val="en-US"/>
        </w:rPr>
        <w:t xml:space="preserve">rotocol on </w:t>
      </w:r>
      <w:r w:rsidRPr="00E30FDD">
        <w:rPr>
          <w:b/>
          <w:i/>
          <w:lang w:val="en-US"/>
        </w:rPr>
        <w:t>B</w:t>
      </w:r>
      <w:r w:rsidR="00AF37C2">
        <w:rPr>
          <w:b/>
          <w:i/>
          <w:lang w:val="en-US"/>
        </w:rPr>
        <w:t>iosafety.</w:t>
      </w:r>
      <w:r w:rsidRPr="00E30FDD">
        <w:rPr>
          <w:lang w:val="en-US"/>
        </w:rPr>
        <w:t xml:space="preserve">” </w:t>
      </w:r>
    </w:p>
    <w:p w:rsidR="00C431BE" w:rsidRPr="00C431BE" w:rsidRDefault="00C431BE" w:rsidP="0098540C">
      <w:pPr>
        <w:spacing w:after="0"/>
        <w:jc w:val="both"/>
        <w:rPr>
          <w:lang w:val="en-US"/>
        </w:rPr>
      </w:pPr>
    </w:p>
    <w:p w:rsidR="0098540C" w:rsidRPr="00DA2229" w:rsidRDefault="00111E13" w:rsidP="000A6934">
      <w:pPr>
        <w:spacing w:after="0"/>
        <w:ind w:firstLine="708"/>
        <w:jc w:val="both"/>
        <w:rPr>
          <w:lang w:val="es-AR"/>
        </w:rPr>
      </w:pPr>
      <w:r>
        <w:rPr>
          <w:lang w:val="es-AR"/>
        </w:rPr>
        <w:t xml:space="preserve">La </w:t>
      </w:r>
      <w:r w:rsidR="0098540C" w:rsidRPr="00DA2229">
        <w:rPr>
          <w:lang w:val="es-AR"/>
        </w:rPr>
        <w:t xml:space="preserve">definición </w:t>
      </w:r>
      <w:r>
        <w:rPr>
          <w:lang w:val="es-AR"/>
        </w:rPr>
        <w:t xml:space="preserve"> propuesta </w:t>
      </w:r>
      <w:r w:rsidR="0098540C" w:rsidRPr="00DA2229">
        <w:rPr>
          <w:lang w:val="es-AR"/>
        </w:rPr>
        <w:t>corresponde a</w:t>
      </w:r>
      <w:r>
        <w:rPr>
          <w:lang w:val="es-AR"/>
        </w:rPr>
        <w:t>l lenguaje utilizado en</w:t>
      </w:r>
      <w:r w:rsidR="0098540C" w:rsidRPr="00DA2229">
        <w:rPr>
          <w:lang w:val="es-AR"/>
        </w:rPr>
        <w:t xml:space="preserve"> el artículo 25</w:t>
      </w:r>
      <w:r w:rsidR="00297360">
        <w:rPr>
          <w:lang w:val="es-AR"/>
        </w:rPr>
        <w:t xml:space="preserve">. Como dicha definición ya fue </w:t>
      </w:r>
      <w:r w:rsidR="0098540C" w:rsidRPr="00DA2229">
        <w:rPr>
          <w:lang w:val="es-AR"/>
        </w:rPr>
        <w:t>acordada por las Partes</w:t>
      </w:r>
      <w:r w:rsidR="00297360">
        <w:rPr>
          <w:lang w:val="es-AR"/>
        </w:rPr>
        <w:t xml:space="preserve"> e está presente en el texto mismo del Protocolo, parece ser la más </w:t>
      </w:r>
      <w:r w:rsidR="00A97357">
        <w:rPr>
          <w:lang w:val="es-AR"/>
        </w:rPr>
        <w:t>apropiada</w:t>
      </w:r>
      <w:r w:rsidR="00297360">
        <w:rPr>
          <w:lang w:val="es-AR"/>
        </w:rPr>
        <w:t>.</w:t>
      </w:r>
      <w:r w:rsidR="0098540C" w:rsidRPr="00DA2229">
        <w:rPr>
          <w:lang w:val="es-AR"/>
        </w:rPr>
        <w:t xml:space="preserve"> Mientras que el "movimiento transfronterizo involuntario" se relaciona con la presencia de pequeñas cantidades de OVM autorizadas en al menos un país y no autorizada en el país importador, </w:t>
      </w:r>
      <w:r w:rsidR="00A97357">
        <w:rPr>
          <w:lang w:val="es-AR"/>
        </w:rPr>
        <w:t xml:space="preserve">el </w:t>
      </w:r>
      <w:r w:rsidR="0098540C" w:rsidRPr="00DA2229">
        <w:rPr>
          <w:lang w:val="es-AR"/>
        </w:rPr>
        <w:t>"movimiento transfronterizo ilegal" abarcarí</w:t>
      </w:r>
      <w:r w:rsidR="00A97357">
        <w:rPr>
          <w:lang w:val="es-AR"/>
        </w:rPr>
        <w:t xml:space="preserve">a todas las otras posibilidades. </w:t>
      </w:r>
      <w:r w:rsidR="00C549D4">
        <w:rPr>
          <w:lang w:val="es-AR"/>
        </w:rPr>
        <w:t xml:space="preserve">Así,  por ejemplo, como en el caso de la </w:t>
      </w:r>
      <w:r w:rsidR="0098540C" w:rsidRPr="00DA2229">
        <w:rPr>
          <w:lang w:val="es-AR"/>
        </w:rPr>
        <w:t xml:space="preserve"> presencia grandes cantidades de organismos vivos modificados autorizados para </w:t>
      </w:r>
      <w:r w:rsidR="00C549D4">
        <w:rPr>
          <w:lang w:val="es-AR"/>
        </w:rPr>
        <w:t>alimentación o ración</w:t>
      </w:r>
      <w:r w:rsidR="0098540C" w:rsidRPr="00DA2229">
        <w:rPr>
          <w:lang w:val="es-AR"/>
        </w:rPr>
        <w:t xml:space="preserve"> en por lo menos un país y no autorizada en el país importador; </w:t>
      </w:r>
      <w:r w:rsidR="00C549D4">
        <w:rPr>
          <w:lang w:val="es-AR"/>
        </w:rPr>
        <w:t xml:space="preserve"> o la </w:t>
      </w:r>
      <w:r w:rsidR="0098540C" w:rsidRPr="00DA2229">
        <w:rPr>
          <w:lang w:val="es-AR"/>
        </w:rPr>
        <w:t xml:space="preserve">presencia de cantidades pequeñas o grandes de </w:t>
      </w:r>
      <w:r w:rsidR="00C549D4">
        <w:rPr>
          <w:lang w:val="es-AR"/>
        </w:rPr>
        <w:t xml:space="preserve">un </w:t>
      </w:r>
      <w:r w:rsidR="00031032">
        <w:rPr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540C" w:rsidRPr="00DA2229">
        <w:rPr>
          <w:lang w:val="es-AR"/>
        </w:rPr>
        <w:t xml:space="preserve">OVM no autorizados para </w:t>
      </w:r>
      <w:r w:rsidR="00031032">
        <w:rPr>
          <w:lang w:val="es-AR"/>
        </w:rPr>
        <w:t>alimentación o ración</w:t>
      </w:r>
      <w:r w:rsidR="0098540C" w:rsidRPr="00DA2229">
        <w:rPr>
          <w:lang w:val="es-AR"/>
        </w:rPr>
        <w:t xml:space="preserve"> en </w:t>
      </w:r>
      <w:r w:rsidR="004263DB">
        <w:rPr>
          <w:lang w:val="es-AR"/>
        </w:rPr>
        <w:t xml:space="preserve">cualquier país. </w:t>
      </w:r>
      <w:r w:rsidR="0098540C" w:rsidRPr="00DA2229">
        <w:rPr>
          <w:lang w:val="es-AR"/>
        </w:rPr>
        <w:t>En todos estos casos, la</w:t>
      </w:r>
      <w:r w:rsidR="004263DB">
        <w:rPr>
          <w:lang w:val="es-AR"/>
        </w:rPr>
        <w:t>s</w:t>
      </w:r>
      <w:r w:rsidR="0098540C" w:rsidRPr="00DA2229">
        <w:rPr>
          <w:lang w:val="es-AR"/>
        </w:rPr>
        <w:t xml:space="preserve"> única</w:t>
      </w:r>
      <w:r w:rsidR="004263DB">
        <w:rPr>
          <w:lang w:val="es-AR"/>
        </w:rPr>
        <w:t>s</w:t>
      </w:r>
      <w:r w:rsidR="0098540C" w:rsidRPr="00DA2229">
        <w:rPr>
          <w:lang w:val="es-AR"/>
        </w:rPr>
        <w:t xml:space="preserve"> medida</w:t>
      </w:r>
      <w:r w:rsidR="004263DB">
        <w:rPr>
          <w:lang w:val="es-AR"/>
        </w:rPr>
        <w:t>s</w:t>
      </w:r>
      <w:r w:rsidR="0098540C" w:rsidRPr="00DA2229">
        <w:rPr>
          <w:lang w:val="es-AR"/>
        </w:rPr>
        <w:t xml:space="preserve"> </w:t>
      </w:r>
      <w:r w:rsidR="004263DB">
        <w:rPr>
          <w:lang w:val="es-AR"/>
        </w:rPr>
        <w:t>posibles</w:t>
      </w:r>
      <w:r w:rsidR="0098540C" w:rsidRPr="00DA2229">
        <w:rPr>
          <w:lang w:val="es-AR"/>
        </w:rPr>
        <w:t xml:space="preserve"> sería</w:t>
      </w:r>
      <w:r w:rsidR="004263DB">
        <w:rPr>
          <w:lang w:val="es-AR"/>
        </w:rPr>
        <w:t>n</w:t>
      </w:r>
      <w:r w:rsidR="0098540C" w:rsidRPr="00DA2229">
        <w:rPr>
          <w:lang w:val="es-AR"/>
        </w:rPr>
        <w:t xml:space="preserve"> el rechazo o la destrucción, según lo previsto en el</w:t>
      </w:r>
      <w:r w:rsidR="004263DB">
        <w:rPr>
          <w:lang w:val="es-AR"/>
        </w:rPr>
        <w:t xml:space="preserve"> mismo</w:t>
      </w:r>
      <w:r w:rsidR="0098540C" w:rsidRPr="00DA2229">
        <w:rPr>
          <w:lang w:val="es-AR"/>
        </w:rPr>
        <w:t xml:space="preserve"> artículo </w:t>
      </w:r>
      <w:r w:rsidR="005117BB" w:rsidRPr="00DA2229">
        <w:rPr>
          <w:lang w:val="es-AR"/>
        </w:rPr>
        <w:t>25.</w:t>
      </w:r>
    </w:p>
    <w:p w:rsidR="003A5938" w:rsidRPr="003A5938" w:rsidRDefault="0098540C" w:rsidP="003A5938">
      <w:pPr>
        <w:ind w:firstLine="708"/>
        <w:jc w:val="both"/>
        <w:rPr>
          <w:lang w:val="es-AR"/>
        </w:rPr>
      </w:pPr>
      <w:r w:rsidRPr="00DA2229">
        <w:rPr>
          <w:lang w:val="es-AR"/>
        </w:rPr>
        <w:t xml:space="preserve">También es importante tener en cuenta </w:t>
      </w:r>
      <w:r w:rsidR="000A6934">
        <w:rPr>
          <w:lang w:val="es-AR"/>
        </w:rPr>
        <w:t xml:space="preserve">que </w:t>
      </w:r>
      <w:r w:rsidRPr="00DA2229">
        <w:rPr>
          <w:lang w:val="es-AR"/>
        </w:rPr>
        <w:t xml:space="preserve"> las consecuencias prácticas de un movimie</w:t>
      </w:r>
      <w:r w:rsidR="00C43ABF">
        <w:rPr>
          <w:lang w:val="es-AR"/>
        </w:rPr>
        <w:t>nto transfronterizo clasificado</w:t>
      </w:r>
      <w:r w:rsidRPr="00DA2229">
        <w:rPr>
          <w:lang w:val="es-AR"/>
        </w:rPr>
        <w:t xml:space="preserve"> como "no intencional" </w:t>
      </w:r>
      <w:r w:rsidR="000A6934">
        <w:rPr>
          <w:lang w:val="es-AR"/>
        </w:rPr>
        <w:t>en comparación</w:t>
      </w:r>
      <w:r w:rsidRPr="00DA2229">
        <w:rPr>
          <w:lang w:val="es-AR"/>
        </w:rPr>
        <w:t xml:space="preserve"> </w:t>
      </w:r>
      <w:r w:rsidR="000A6934">
        <w:rPr>
          <w:lang w:val="es-AR"/>
        </w:rPr>
        <w:t>al clasificado</w:t>
      </w:r>
      <w:r w:rsidRPr="00DA2229">
        <w:rPr>
          <w:lang w:val="es-AR"/>
        </w:rPr>
        <w:t xml:space="preserve"> como "ilegal" p</w:t>
      </w:r>
      <w:r w:rsidR="003A5938">
        <w:rPr>
          <w:lang w:val="es-AR"/>
        </w:rPr>
        <w:t xml:space="preserve">odrán </w:t>
      </w:r>
      <w:r w:rsidRPr="00DA2229">
        <w:rPr>
          <w:lang w:val="es-AR"/>
        </w:rPr>
        <w:t>ser distinta</w:t>
      </w:r>
      <w:r w:rsidR="000A6934">
        <w:rPr>
          <w:lang w:val="es-AR"/>
        </w:rPr>
        <w:t>s</w:t>
      </w:r>
      <w:r w:rsidR="003A5938">
        <w:rPr>
          <w:lang w:val="es-AR"/>
        </w:rPr>
        <w:t xml:space="preserve"> conforme la definición de la implementación de los países </w:t>
      </w:r>
      <w:r w:rsidRPr="00DA2229">
        <w:rPr>
          <w:lang w:val="es-AR"/>
        </w:rPr>
        <w:t xml:space="preserve"> </w:t>
      </w:r>
      <w:r w:rsidR="003A5938">
        <w:rPr>
          <w:lang w:val="es-AR"/>
        </w:rPr>
        <w:t>d</w:t>
      </w:r>
      <w:r w:rsidRPr="00DA2229">
        <w:rPr>
          <w:lang w:val="es-AR"/>
        </w:rPr>
        <w:t>el artículo 3.3 del Protocolo Suplem</w:t>
      </w:r>
      <w:r w:rsidR="003A5938">
        <w:rPr>
          <w:lang w:val="es-AR"/>
        </w:rPr>
        <w:t xml:space="preserve">entario de Nagoya -Kuala Lumpur: </w:t>
      </w:r>
      <w:r w:rsidR="003A5938" w:rsidRPr="003A5938">
        <w:rPr>
          <w:lang w:val="es-AR"/>
        </w:rPr>
        <w:t>“</w:t>
      </w:r>
      <w:proofErr w:type="spellStart"/>
      <w:r w:rsidR="003A5938" w:rsidRPr="003A5938">
        <w:rPr>
          <w:i/>
          <w:lang w:val="es-AR"/>
        </w:rPr>
        <w:t>This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Supplementary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Protocol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also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applies</w:t>
      </w:r>
      <w:proofErr w:type="spellEnd"/>
      <w:r w:rsidR="003A5938" w:rsidRPr="003A5938">
        <w:rPr>
          <w:i/>
          <w:lang w:val="es-AR"/>
        </w:rPr>
        <w:t xml:space="preserve"> to </w:t>
      </w:r>
      <w:proofErr w:type="spellStart"/>
      <w:r w:rsidR="003A5938" w:rsidRPr="003A5938">
        <w:rPr>
          <w:i/>
          <w:lang w:val="es-AR"/>
        </w:rPr>
        <w:t>damage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resulting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from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unintentional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transboundary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movement</w:t>
      </w:r>
      <w:proofErr w:type="spellEnd"/>
      <w:r w:rsidR="003A5938" w:rsidRPr="003A5938">
        <w:rPr>
          <w:i/>
          <w:lang w:val="es-AR"/>
        </w:rPr>
        <w:t xml:space="preserve"> as </w:t>
      </w:r>
      <w:proofErr w:type="spellStart"/>
      <w:r w:rsidR="003A5938" w:rsidRPr="003A5938">
        <w:rPr>
          <w:i/>
          <w:lang w:val="es-AR"/>
        </w:rPr>
        <w:t>referred</w:t>
      </w:r>
      <w:proofErr w:type="spellEnd"/>
      <w:r w:rsidR="003A5938" w:rsidRPr="003A5938">
        <w:rPr>
          <w:i/>
          <w:lang w:val="es-AR"/>
        </w:rPr>
        <w:t xml:space="preserve"> to in </w:t>
      </w:r>
      <w:proofErr w:type="spellStart"/>
      <w:r w:rsidR="003A5938" w:rsidRPr="003A5938">
        <w:rPr>
          <w:i/>
          <w:lang w:val="es-AR"/>
        </w:rPr>
        <w:t>Article</w:t>
      </w:r>
      <w:proofErr w:type="spellEnd"/>
      <w:r w:rsidR="003A5938" w:rsidRPr="003A5938">
        <w:rPr>
          <w:i/>
          <w:lang w:val="es-AR"/>
        </w:rPr>
        <w:t xml:space="preserve"> 17 of </w:t>
      </w:r>
      <w:proofErr w:type="spellStart"/>
      <w:r w:rsidR="003A5938" w:rsidRPr="003A5938">
        <w:rPr>
          <w:i/>
          <w:lang w:val="es-AR"/>
        </w:rPr>
        <w:t>the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Protocol</w:t>
      </w:r>
      <w:proofErr w:type="spellEnd"/>
      <w:r w:rsidR="003A5938" w:rsidRPr="003A5938">
        <w:rPr>
          <w:i/>
          <w:lang w:val="es-AR"/>
        </w:rPr>
        <w:t xml:space="preserve"> as </w:t>
      </w:r>
      <w:proofErr w:type="spellStart"/>
      <w:r w:rsidR="003A5938" w:rsidRPr="003A5938">
        <w:rPr>
          <w:i/>
          <w:lang w:val="es-AR"/>
        </w:rPr>
        <w:t>well</w:t>
      </w:r>
      <w:proofErr w:type="spellEnd"/>
      <w:r w:rsidR="003A5938" w:rsidRPr="003A5938">
        <w:rPr>
          <w:i/>
          <w:lang w:val="es-AR"/>
        </w:rPr>
        <w:t xml:space="preserve"> as </w:t>
      </w:r>
      <w:proofErr w:type="spellStart"/>
      <w:r w:rsidR="003A5938" w:rsidRPr="003A5938">
        <w:rPr>
          <w:i/>
          <w:lang w:val="es-AR"/>
        </w:rPr>
        <w:t>damage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resu</w:t>
      </w:r>
      <w:r w:rsidR="003A5938">
        <w:rPr>
          <w:i/>
          <w:lang w:val="es-AR"/>
        </w:rPr>
        <w:t>l</w:t>
      </w:r>
      <w:r w:rsidR="003A5938" w:rsidRPr="003A5938">
        <w:rPr>
          <w:i/>
          <w:lang w:val="es-AR"/>
        </w:rPr>
        <w:t>ting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from</w:t>
      </w:r>
      <w:proofErr w:type="spellEnd"/>
      <w:r w:rsidR="003A5938" w:rsidRPr="003A5938">
        <w:rPr>
          <w:i/>
          <w:lang w:val="es-AR"/>
        </w:rPr>
        <w:t xml:space="preserve"> ilegal </w:t>
      </w:r>
      <w:proofErr w:type="spellStart"/>
      <w:r w:rsidR="003A5938" w:rsidRPr="003A5938">
        <w:rPr>
          <w:i/>
          <w:lang w:val="es-AR"/>
        </w:rPr>
        <w:t>transboundary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movements</w:t>
      </w:r>
      <w:proofErr w:type="spellEnd"/>
      <w:r w:rsidR="003A5938" w:rsidRPr="003A5938">
        <w:rPr>
          <w:i/>
          <w:lang w:val="es-AR"/>
        </w:rPr>
        <w:t xml:space="preserve"> as </w:t>
      </w:r>
      <w:proofErr w:type="spellStart"/>
      <w:r w:rsidR="003A5938" w:rsidRPr="003A5938">
        <w:rPr>
          <w:i/>
          <w:lang w:val="es-AR"/>
        </w:rPr>
        <w:t>referred</w:t>
      </w:r>
      <w:proofErr w:type="spellEnd"/>
      <w:r w:rsidR="003A5938" w:rsidRPr="003A5938">
        <w:rPr>
          <w:i/>
          <w:lang w:val="es-AR"/>
        </w:rPr>
        <w:t xml:space="preserve"> to in </w:t>
      </w:r>
      <w:proofErr w:type="spellStart"/>
      <w:r w:rsidR="003A5938" w:rsidRPr="003A5938">
        <w:rPr>
          <w:i/>
          <w:lang w:val="es-AR"/>
        </w:rPr>
        <w:t>Article</w:t>
      </w:r>
      <w:proofErr w:type="spellEnd"/>
      <w:r w:rsidR="003A5938" w:rsidRPr="003A5938">
        <w:rPr>
          <w:i/>
          <w:lang w:val="es-AR"/>
        </w:rPr>
        <w:t xml:space="preserve"> 25 of </w:t>
      </w:r>
      <w:proofErr w:type="spellStart"/>
      <w:r w:rsidR="003A5938" w:rsidRPr="003A5938">
        <w:rPr>
          <w:i/>
          <w:lang w:val="es-AR"/>
        </w:rPr>
        <w:t>the</w:t>
      </w:r>
      <w:proofErr w:type="spellEnd"/>
      <w:r w:rsidR="003A5938" w:rsidRPr="003A5938">
        <w:rPr>
          <w:i/>
          <w:lang w:val="es-AR"/>
        </w:rPr>
        <w:t xml:space="preserve"> </w:t>
      </w:r>
      <w:proofErr w:type="spellStart"/>
      <w:r w:rsidR="003A5938" w:rsidRPr="003A5938">
        <w:rPr>
          <w:i/>
          <w:lang w:val="es-AR"/>
        </w:rPr>
        <w:t>Protocol</w:t>
      </w:r>
      <w:proofErr w:type="spellEnd"/>
      <w:r w:rsidR="003A5938" w:rsidRPr="003A5938">
        <w:rPr>
          <w:lang w:val="es-AR"/>
        </w:rPr>
        <w:t>”.</w:t>
      </w:r>
    </w:p>
    <w:p w:rsidR="0098540C" w:rsidRPr="00DA2229" w:rsidRDefault="0098540C" w:rsidP="000A6934">
      <w:pPr>
        <w:spacing w:after="0"/>
        <w:ind w:firstLine="708"/>
        <w:jc w:val="both"/>
        <w:rPr>
          <w:lang w:val="es-AR"/>
        </w:rPr>
      </w:pPr>
    </w:p>
    <w:p w:rsidR="00804F83" w:rsidRPr="00804F83" w:rsidRDefault="00804F83" w:rsidP="00804F83">
      <w:pPr>
        <w:spacing w:after="0"/>
        <w:jc w:val="both"/>
        <w:rPr>
          <w:b/>
          <w:lang w:val="es-AR"/>
        </w:rPr>
      </w:pPr>
      <w:r w:rsidRPr="00804F83">
        <w:rPr>
          <w:b/>
          <w:lang w:val="es-AR"/>
        </w:rPr>
        <w:t>c) Información a  ser compartida en la BCH.</w:t>
      </w:r>
    </w:p>
    <w:p w:rsidR="00C20DF7" w:rsidRDefault="00C20DF7" w:rsidP="00804F83">
      <w:pPr>
        <w:spacing w:after="0"/>
        <w:ind w:firstLine="708"/>
        <w:jc w:val="both"/>
        <w:rPr>
          <w:lang w:val="es-AR"/>
        </w:rPr>
      </w:pPr>
    </w:p>
    <w:p w:rsidR="0098540C" w:rsidRPr="00DA2229" w:rsidRDefault="0098540C" w:rsidP="00804F83">
      <w:pPr>
        <w:spacing w:after="0"/>
        <w:ind w:firstLine="708"/>
        <w:jc w:val="both"/>
        <w:rPr>
          <w:lang w:val="es-AR"/>
        </w:rPr>
      </w:pPr>
      <w:r w:rsidRPr="00DA2229">
        <w:rPr>
          <w:lang w:val="es-AR"/>
        </w:rPr>
        <w:t xml:space="preserve">El hallazgo de </w:t>
      </w:r>
      <w:proofErr w:type="spellStart"/>
      <w:r w:rsidRPr="00DA2229">
        <w:rPr>
          <w:lang w:val="es-AR"/>
        </w:rPr>
        <w:t>OVM</w:t>
      </w:r>
      <w:r w:rsidR="00C20DF7">
        <w:rPr>
          <w:lang w:val="es-AR"/>
        </w:rPr>
        <w:t>s</w:t>
      </w:r>
      <w:proofErr w:type="spellEnd"/>
      <w:r w:rsidRPr="00DA2229">
        <w:rPr>
          <w:lang w:val="es-AR"/>
        </w:rPr>
        <w:t xml:space="preserve"> no intencionales / ilegales en el país exigen acciones específicas de la autoridad competente</w:t>
      </w:r>
      <w:r w:rsidR="00C20DF7">
        <w:rPr>
          <w:lang w:val="es-AR"/>
        </w:rPr>
        <w:t xml:space="preserve">. En ese sentido, </w:t>
      </w:r>
      <w:r w:rsidRPr="00DA2229">
        <w:rPr>
          <w:lang w:val="es-AR"/>
        </w:rPr>
        <w:t xml:space="preserve"> la disponibilidad de información y la </w:t>
      </w:r>
      <w:r w:rsidR="00C20DF7">
        <w:rPr>
          <w:lang w:val="es-AR"/>
        </w:rPr>
        <w:t xml:space="preserve">rapidez de </w:t>
      </w:r>
      <w:r w:rsidRPr="00DA2229">
        <w:rPr>
          <w:lang w:val="es-AR"/>
        </w:rPr>
        <w:t xml:space="preserve">acción </w:t>
      </w:r>
      <w:r w:rsidR="00C20DF7">
        <w:rPr>
          <w:lang w:val="es-AR"/>
        </w:rPr>
        <w:t>son</w:t>
      </w:r>
      <w:r w:rsidRPr="00DA2229">
        <w:rPr>
          <w:lang w:val="es-AR"/>
        </w:rPr>
        <w:t xml:space="preserve"> esencial</w:t>
      </w:r>
      <w:r w:rsidR="00C20DF7">
        <w:rPr>
          <w:lang w:val="es-AR"/>
        </w:rPr>
        <w:t>es</w:t>
      </w:r>
      <w:r w:rsidRPr="00DA2229">
        <w:rPr>
          <w:lang w:val="es-AR"/>
        </w:rPr>
        <w:t xml:space="preserve">. Teniendo en cuenta esta necesidad de "velocidad de la toma de decisiones y adopción de medidas", se sugiere que estén disponibles en el BCH </w:t>
      </w:r>
      <w:r w:rsidR="00C20DF7">
        <w:rPr>
          <w:lang w:val="es-AR"/>
        </w:rPr>
        <w:t>las notificaciones sobre</w:t>
      </w:r>
      <w:r w:rsidRPr="00DA2229">
        <w:rPr>
          <w:lang w:val="es-AR"/>
        </w:rPr>
        <w:t xml:space="preserve"> casos de movimientos no intencionales e ilegales </w:t>
      </w:r>
      <w:r w:rsidR="00C20DF7">
        <w:rPr>
          <w:lang w:val="es-AR"/>
        </w:rPr>
        <w:t>verificado</w:t>
      </w:r>
      <w:r w:rsidR="00804F83">
        <w:rPr>
          <w:lang w:val="es-AR"/>
        </w:rPr>
        <w:t xml:space="preserve">s </w:t>
      </w:r>
      <w:r w:rsidRPr="00DA2229">
        <w:rPr>
          <w:lang w:val="es-AR"/>
        </w:rPr>
        <w:t xml:space="preserve">por </w:t>
      </w:r>
      <w:r w:rsidR="00C20DF7">
        <w:rPr>
          <w:lang w:val="es-AR"/>
        </w:rPr>
        <w:t xml:space="preserve">los </w:t>
      </w:r>
      <w:r w:rsidRPr="00DA2229">
        <w:rPr>
          <w:lang w:val="es-AR"/>
        </w:rPr>
        <w:t xml:space="preserve">países, </w:t>
      </w:r>
      <w:r w:rsidR="00C20DF7">
        <w:rPr>
          <w:lang w:val="es-AR"/>
        </w:rPr>
        <w:t xml:space="preserve">con </w:t>
      </w:r>
      <w:r w:rsidRPr="00DA2229">
        <w:rPr>
          <w:lang w:val="es-AR"/>
        </w:rPr>
        <w:t xml:space="preserve"> información </w:t>
      </w:r>
      <w:r w:rsidR="00C20DF7">
        <w:rPr>
          <w:lang w:val="es-AR"/>
        </w:rPr>
        <w:t xml:space="preserve">específica </w:t>
      </w:r>
      <w:r w:rsidRPr="00DA2229">
        <w:rPr>
          <w:lang w:val="es-AR"/>
        </w:rPr>
        <w:t>sobre</w:t>
      </w:r>
      <w:r w:rsidR="00C20DF7">
        <w:rPr>
          <w:lang w:val="es-AR"/>
        </w:rPr>
        <w:t>, al menos</w:t>
      </w:r>
      <w:r w:rsidRPr="00DA2229">
        <w:rPr>
          <w:lang w:val="es-AR"/>
        </w:rPr>
        <w:t>: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- Fecha de la ocurrencia del incidente;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Evento detectado (con detalles sobre la </w:t>
      </w:r>
      <w:r w:rsidR="00C20DF7">
        <w:rPr>
          <w:lang w:val="es-AR"/>
        </w:rPr>
        <w:t>característica</w:t>
      </w:r>
      <w:r w:rsidRPr="00DA2229">
        <w:rPr>
          <w:lang w:val="es-AR"/>
        </w:rPr>
        <w:t xml:space="preserve">, descripción y secuencia de elementos genéticos presentes, </w:t>
      </w:r>
      <w:r w:rsidR="00C20DF7">
        <w:rPr>
          <w:lang w:val="es-AR"/>
        </w:rPr>
        <w:t xml:space="preserve">así como el </w:t>
      </w:r>
      <w:r w:rsidRPr="00DA2229">
        <w:rPr>
          <w:lang w:val="es-AR"/>
        </w:rPr>
        <w:t>método de detección);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lastRenderedPageBreak/>
        <w:t>- País de origen;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- Medidas de emergencia;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</w:t>
      </w:r>
      <w:r w:rsidR="00C20DF7">
        <w:rPr>
          <w:lang w:val="es-AR"/>
        </w:rPr>
        <w:t>A</w:t>
      </w:r>
      <w:r w:rsidRPr="00DA2229">
        <w:rPr>
          <w:lang w:val="es-AR"/>
        </w:rPr>
        <w:t>cciones de seguimiento; y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- Enlace</w:t>
      </w:r>
      <w:r w:rsidR="00C20DF7">
        <w:rPr>
          <w:lang w:val="es-AR"/>
        </w:rPr>
        <w:t xml:space="preserve"> para </w:t>
      </w:r>
      <w:r w:rsidRPr="00DA2229">
        <w:rPr>
          <w:lang w:val="es-AR"/>
        </w:rPr>
        <w:t xml:space="preserve"> la información sobre la evaluación del riesgo del evento, </w:t>
      </w:r>
      <w:r w:rsidR="00C20DF7">
        <w:rPr>
          <w:lang w:val="es-AR"/>
        </w:rPr>
        <w:t>cuando disponible</w:t>
      </w:r>
      <w:r w:rsidRPr="00DA2229">
        <w:rPr>
          <w:lang w:val="es-AR"/>
        </w:rPr>
        <w:t>.</w:t>
      </w:r>
      <w:r w:rsidR="00C20DF7">
        <w:rPr>
          <w:lang w:val="es-AR"/>
        </w:rPr>
        <w:t xml:space="preserve"> Así como</w:t>
      </w:r>
      <w:r w:rsidRPr="00DA2229">
        <w:rPr>
          <w:lang w:val="es-AR"/>
        </w:rPr>
        <w:t>,</w:t>
      </w:r>
      <w:r w:rsidR="00C20DF7">
        <w:rPr>
          <w:lang w:val="es-AR"/>
        </w:rPr>
        <w:t xml:space="preserve"> caso posible, dirección electrónica para</w:t>
      </w:r>
      <w:r w:rsidRPr="00DA2229">
        <w:rPr>
          <w:lang w:val="es-AR"/>
        </w:rPr>
        <w:t xml:space="preserve"> bases de datos y enlaces de interés para obtener información general sobre los métodos para la detección / cuantificación, análisis de riesgos y guías internacionales para la evaluación de riesgos de OVM en situaciones de p</w:t>
      </w:r>
      <w:r w:rsidR="00213E9A">
        <w:rPr>
          <w:lang w:val="es-AR"/>
        </w:rPr>
        <w:t xml:space="preserve">resencia de </w:t>
      </w:r>
      <w:proofErr w:type="spellStart"/>
      <w:r w:rsidR="00213E9A">
        <w:rPr>
          <w:lang w:val="es-AR"/>
        </w:rPr>
        <w:t>OVMs</w:t>
      </w:r>
      <w:proofErr w:type="spellEnd"/>
      <w:r w:rsidR="00213E9A">
        <w:rPr>
          <w:lang w:val="es-AR"/>
        </w:rPr>
        <w:t xml:space="preserve"> no autorizados.</w:t>
      </w:r>
    </w:p>
    <w:p w:rsidR="0098540C" w:rsidRPr="00DA2229" w:rsidRDefault="0098540C" w:rsidP="0098540C">
      <w:pPr>
        <w:spacing w:after="0"/>
        <w:jc w:val="both"/>
        <w:rPr>
          <w:lang w:val="es-AR"/>
        </w:rPr>
      </w:pPr>
    </w:p>
    <w:p w:rsidR="0091277F" w:rsidRPr="00DA2229" w:rsidRDefault="00213E9A" w:rsidP="0098540C">
      <w:pPr>
        <w:spacing w:after="0"/>
        <w:jc w:val="both"/>
        <w:rPr>
          <w:b/>
          <w:lang w:val="es-AR"/>
        </w:rPr>
      </w:pPr>
      <w:r>
        <w:rPr>
          <w:b/>
          <w:lang w:val="es-AR"/>
        </w:rPr>
        <w:t>Base de Datos para informaciones sobre Modificación</w:t>
      </w:r>
      <w:r w:rsidR="0091277F" w:rsidRPr="00DA2229">
        <w:rPr>
          <w:b/>
          <w:lang w:val="es-AR"/>
        </w:rPr>
        <w:t xml:space="preserve"> Genética:</w:t>
      </w:r>
    </w:p>
    <w:p w:rsidR="00247A6C" w:rsidRPr="00DA2229" w:rsidRDefault="00247A6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BCH </w:t>
      </w:r>
      <w:proofErr w:type="spellStart"/>
      <w:r w:rsidRPr="00DA2229">
        <w:rPr>
          <w:lang w:val="es-AR"/>
        </w:rPr>
        <w:t>DataBase</w:t>
      </w:r>
      <w:proofErr w:type="spellEnd"/>
    </w:p>
    <w:p w:rsidR="00247A6C" w:rsidRPr="00DA2229" w:rsidRDefault="00247A6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(</w:t>
      </w:r>
      <w:hyperlink r:id="rId6" w:history="1">
        <w:r w:rsidRPr="00DA2229">
          <w:rPr>
            <w:rStyle w:val="Hyperlink"/>
            <w:color w:val="auto"/>
            <w:u w:val="none"/>
            <w:lang w:val="es-AR"/>
          </w:rPr>
          <w:t>http://bch.cbd.int/database/organisms/</w:t>
        </w:r>
      </w:hyperlink>
      <w:r w:rsidRPr="00DA2229">
        <w:rPr>
          <w:lang w:val="es-AR"/>
        </w:rPr>
        <w:t>)</w:t>
      </w:r>
    </w:p>
    <w:p w:rsidR="00247A6C" w:rsidRPr="00DA2229" w:rsidRDefault="00247A6C" w:rsidP="0098540C">
      <w:pPr>
        <w:spacing w:after="0"/>
        <w:jc w:val="both"/>
        <w:rPr>
          <w:b/>
          <w:lang w:val="es-AR"/>
        </w:rPr>
      </w:pPr>
    </w:p>
    <w:p w:rsidR="00A3011E" w:rsidRPr="00DA2229" w:rsidRDefault="00A3011E" w:rsidP="0098540C">
      <w:pPr>
        <w:spacing w:after="0" w:line="240" w:lineRule="auto"/>
        <w:jc w:val="both"/>
        <w:rPr>
          <w:lang w:val="es-AR"/>
        </w:rPr>
      </w:pPr>
      <w:r w:rsidRPr="00DA2229">
        <w:rPr>
          <w:lang w:val="es-AR"/>
        </w:rPr>
        <w:t xml:space="preserve">- FAO GM </w:t>
      </w:r>
      <w:proofErr w:type="spellStart"/>
      <w:r w:rsidRPr="00DA2229">
        <w:rPr>
          <w:lang w:val="es-AR"/>
        </w:rPr>
        <w:t>Foods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Platform</w:t>
      </w:r>
      <w:proofErr w:type="spellEnd"/>
      <w:r w:rsidRPr="00DA2229">
        <w:rPr>
          <w:lang w:val="es-AR"/>
        </w:rPr>
        <w:t xml:space="preserve"> </w:t>
      </w:r>
    </w:p>
    <w:p w:rsidR="00A3011E" w:rsidRPr="00DA2229" w:rsidRDefault="00A3011E" w:rsidP="0098540C">
      <w:pPr>
        <w:spacing w:after="0" w:line="240" w:lineRule="auto"/>
        <w:jc w:val="both"/>
        <w:rPr>
          <w:rFonts w:cs="Helvetica"/>
          <w:lang w:val="es-AR"/>
        </w:rPr>
      </w:pPr>
      <w:r w:rsidRPr="00DA2229">
        <w:rPr>
          <w:lang w:val="es-AR"/>
        </w:rPr>
        <w:t xml:space="preserve"> (</w:t>
      </w:r>
      <w:hyperlink r:id="rId7" w:history="1">
        <w:r w:rsidRPr="00DA2229">
          <w:rPr>
            <w:rStyle w:val="Hyperlink"/>
            <w:rFonts w:cs="Helvetica"/>
            <w:color w:val="auto"/>
            <w:u w:val="none"/>
            <w:lang w:val="es-AR"/>
          </w:rPr>
          <w:t>http://www.fao.org/food/food-safety-quality/gm-foods-platform/en/</w:t>
        </w:r>
      </w:hyperlink>
      <w:r w:rsidRPr="00DA2229">
        <w:rPr>
          <w:rFonts w:cs="Helvetica"/>
          <w:lang w:val="es-AR"/>
        </w:rPr>
        <w:t>)</w:t>
      </w:r>
    </w:p>
    <w:p w:rsidR="00A3011E" w:rsidRPr="00DA2229" w:rsidRDefault="00A3011E" w:rsidP="0098540C">
      <w:pPr>
        <w:spacing w:after="0"/>
        <w:jc w:val="both"/>
        <w:rPr>
          <w:lang w:val="es-AR"/>
        </w:rPr>
      </w:pPr>
    </w:p>
    <w:p w:rsidR="00A3011E" w:rsidRPr="00DA2229" w:rsidRDefault="00A3011E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</w:t>
      </w:r>
      <w:proofErr w:type="spellStart"/>
      <w:r w:rsidRPr="00DA2229">
        <w:rPr>
          <w:lang w:val="es-AR"/>
        </w:rPr>
        <w:t>BioTrack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Product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DataBase</w:t>
      </w:r>
      <w:proofErr w:type="spellEnd"/>
    </w:p>
    <w:p w:rsidR="00A3011E" w:rsidRPr="00DA2229" w:rsidRDefault="00A3011E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(</w:t>
      </w:r>
      <w:hyperlink r:id="rId8" w:history="1">
        <w:r w:rsidRPr="00DA2229">
          <w:rPr>
            <w:rStyle w:val="Hyperlink"/>
            <w:color w:val="auto"/>
            <w:u w:val="none"/>
            <w:lang w:val="es-AR"/>
          </w:rPr>
          <w:t>http://www2.oecd.org/biotech/default.aspx</w:t>
        </w:r>
      </w:hyperlink>
      <w:r w:rsidRPr="00DA2229">
        <w:rPr>
          <w:lang w:val="es-AR"/>
        </w:rPr>
        <w:t>)</w:t>
      </w:r>
    </w:p>
    <w:p w:rsidR="00A3011E" w:rsidRPr="00DA2229" w:rsidRDefault="00A3011E" w:rsidP="0098540C">
      <w:pPr>
        <w:spacing w:after="0"/>
        <w:jc w:val="both"/>
        <w:rPr>
          <w:lang w:val="es-AR"/>
        </w:rPr>
      </w:pPr>
    </w:p>
    <w:p w:rsidR="00B142C7" w:rsidRPr="00DA2229" w:rsidRDefault="00B142C7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Center </w:t>
      </w:r>
      <w:proofErr w:type="spellStart"/>
      <w:r w:rsidRPr="00DA2229">
        <w:rPr>
          <w:lang w:val="es-AR"/>
        </w:rPr>
        <w:t>for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Environmental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Risk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Assessment</w:t>
      </w:r>
      <w:proofErr w:type="spellEnd"/>
      <w:r w:rsidRPr="00DA2229">
        <w:rPr>
          <w:lang w:val="es-AR"/>
        </w:rPr>
        <w:t xml:space="preserve"> </w:t>
      </w:r>
    </w:p>
    <w:p w:rsidR="00B17ECB" w:rsidRPr="00DA2229" w:rsidRDefault="00B17ECB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(</w:t>
      </w:r>
      <w:hyperlink r:id="rId9" w:history="1">
        <w:r w:rsidRPr="00DA2229">
          <w:rPr>
            <w:rStyle w:val="Hyperlink"/>
            <w:color w:val="auto"/>
            <w:u w:val="none"/>
            <w:lang w:val="es-AR"/>
          </w:rPr>
          <w:t>http://www.cera-gmc.org/GMCropDatabase</w:t>
        </w:r>
      </w:hyperlink>
      <w:r w:rsidRPr="00DA2229">
        <w:rPr>
          <w:lang w:val="es-AR"/>
        </w:rPr>
        <w:t>)</w:t>
      </w:r>
    </w:p>
    <w:p w:rsidR="00B17ECB" w:rsidRPr="00DA2229" w:rsidRDefault="00B17ECB" w:rsidP="0098540C">
      <w:pPr>
        <w:spacing w:after="0"/>
        <w:jc w:val="both"/>
        <w:rPr>
          <w:lang w:val="es-AR"/>
        </w:rPr>
      </w:pPr>
    </w:p>
    <w:p w:rsidR="00B142C7" w:rsidRPr="00DA2229" w:rsidRDefault="00B142C7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International </w:t>
      </w:r>
      <w:proofErr w:type="spellStart"/>
      <w:r w:rsidRPr="00DA2229">
        <w:rPr>
          <w:lang w:val="es-AR"/>
        </w:rPr>
        <w:t>Service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for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the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Acquisition</w:t>
      </w:r>
      <w:proofErr w:type="spellEnd"/>
      <w:r w:rsidRPr="00DA2229">
        <w:rPr>
          <w:lang w:val="es-AR"/>
        </w:rPr>
        <w:t xml:space="preserve"> of </w:t>
      </w:r>
      <w:proofErr w:type="spellStart"/>
      <w:r w:rsidRPr="00DA2229">
        <w:rPr>
          <w:lang w:val="es-AR"/>
        </w:rPr>
        <w:t>Agri-Biotech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Applications</w:t>
      </w:r>
      <w:proofErr w:type="spellEnd"/>
      <w:r w:rsidRPr="00DA2229">
        <w:rPr>
          <w:lang w:val="es-AR"/>
        </w:rPr>
        <w:t xml:space="preserve"> </w:t>
      </w:r>
    </w:p>
    <w:p w:rsidR="00B17ECB" w:rsidRPr="00DA2229" w:rsidRDefault="00B17ECB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(</w:t>
      </w:r>
      <w:hyperlink r:id="rId10" w:history="1">
        <w:r w:rsidRPr="00DA2229">
          <w:rPr>
            <w:rStyle w:val="Hyperlink"/>
            <w:color w:val="auto"/>
            <w:u w:val="none"/>
            <w:lang w:val="es-AR"/>
          </w:rPr>
          <w:t>http://www.isaaa.org/gmapprovaldatabase/default.asp</w:t>
        </w:r>
      </w:hyperlink>
      <w:r w:rsidRPr="00DA2229">
        <w:rPr>
          <w:lang w:val="es-AR"/>
        </w:rPr>
        <w:t>)</w:t>
      </w:r>
    </w:p>
    <w:p w:rsidR="0091277F" w:rsidRPr="00DA2229" w:rsidRDefault="0091277F" w:rsidP="0098540C">
      <w:pPr>
        <w:spacing w:after="0"/>
        <w:jc w:val="both"/>
        <w:rPr>
          <w:lang w:val="es-AR"/>
        </w:rPr>
      </w:pPr>
    </w:p>
    <w:p w:rsidR="00B17ECB" w:rsidRPr="00DA2229" w:rsidRDefault="00213E9A" w:rsidP="0098540C">
      <w:pPr>
        <w:spacing w:after="0"/>
        <w:jc w:val="both"/>
        <w:rPr>
          <w:rFonts w:cs="Helvetica"/>
          <w:b/>
          <w:lang w:val="es-AR"/>
        </w:rPr>
      </w:pPr>
      <w:r>
        <w:rPr>
          <w:rFonts w:cs="Helvetica"/>
          <w:b/>
          <w:lang w:val="es-AR"/>
        </w:rPr>
        <w:t>Banco de Dat</w:t>
      </w:r>
      <w:r w:rsidR="00A3011E" w:rsidRPr="00DA2229">
        <w:rPr>
          <w:rFonts w:cs="Helvetica"/>
          <w:b/>
          <w:lang w:val="es-AR"/>
        </w:rPr>
        <w:t>os sobre Métodos de Detec</w:t>
      </w:r>
      <w:r>
        <w:rPr>
          <w:rFonts w:cs="Helvetica"/>
          <w:b/>
          <w:lang w:val="es-AR"/>
        </w:rPr>
        <w:t>ción</w:t>
      </w:r>
      <w:r w:rsidR="00A3011E" w:rsidRPr="00DA2229">
        <w:rPr>
          <w:rFonts w:cs="Helvetica"/>
          <w:b/>
          <w:lang w:val="es-AR"/>
        </w:rPr>
        <w:t xml:space="preserve"> de OVM:</w:t>
      </w:r>
    </w:p>
    <w:p w:rsidR="00B142C7" w:rsidRPr="00DA2229" w:rsidRDefault="00B142C7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- </w:t>
      </w:r>
      <w:proofErr w:type="spellStart"/>
      <w:r w:rsidRPr="00DA2229">
        <w:rPr>
          <w:lang w:val="es-AR"/>
        </w:rPr>
        <w:t>Joint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Research</w:t>
      </w:r>
      <w:proofErr w:type="spellEnd"/>
      <w:r w:rsidRPr="00DA2229">
        <w:rPr>
          <w:lang w:val="es-AR"/>
        </w:rPr>
        <w:t xml:space="preserve"> Center (JRC)</w:t>
      </w:r>
    </w:p>
    <w:p w:rsidR="00B17ECB" w:rsidRPr="00DA2229" w:rsidRDefault="00B17ECB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(</w:t>
      </w:r>
      <w:hyperlink r:id="rId11" w:history="1">
        <w:r w:rsidRPr="00DA2229">
          <w:rPr>
            <w:rStyle w:val="Hyperlink"/>
            <w:color w:val="auto"/>
            <w:u w:val="none"/>
            <w:lang w:val="es-AR"/>
          </w:rPr>
          <w:t>http://gmo-crl.jrc.ec.europa.eu/gmomethods/</w:t>
        </w:r>
      </w:hyperlink>
      <w:r w:rsidRPr="00DA2229">
        <w:rPr>
          <w:lang w:val="es-AR"/>
        </w:rPr>
        <w:t>)</w:t>
      </w:r>
    </w:p>
    <w:p w:rsidR="00B17ECB" w:rsidRPr="00DA2229" w:rsidRDefault="00B17ECB" w:rsidP="0098540C">
      <w:pPr>
        <w:spacing w:after="0"/>
        <w:jc w:val="both"/>
        <w:rPr>
          <w:lang w:val="es-AR"/>
        </w:rPr>
      </w:pPr>
    </w:p>
    <w:p w:rsidR="001A32AF" w:rsidRPr="00DA2229" w:rsidRDefault="001A32AF" w:rsidP="0098540C">
      <w:pPr>
        <w:spacing w:after="0"/>
        <w:jc w:val="both"/>
        <w:rPr>
          <w:lang w:val="es-AR"/>
        </w:rPr>
      </w:pPr>
      <w:r w:rsidRPr="00DA2229">
        <w:rPr>
          <w:rFonts w:cs="Helvetica"/>
          <w:color w:val="505050"/>
          <w:lang w:val="es-AR"/>
        </w:rPr>
        <w:t xml:space="preserve">- </w:t>
      </w:r>
      <w:proofErr w:type="spellStart"/>
      <w:r w:rsidRPr="00DA2229">
        <w:rPr>
          <w:lang w:val="es-AR"/>
        </w:rPr>
        <w:t>Crop</w:t>
      </w:r>
      <w:proofErr w:type="spellEnd"/>
      <w:r w:rsidRPr="00DA2229">
        <w:rPr>
          <w:lang w:val="es-AR"/>
        </w:rPr>
        <w:t xml:space="preserve"> </w:t>
      </w:r>
      <w:proofErr w:type="spellStart"/>
      <w:r w:rsidRPr="00DA2229">
        <w:rPr>
          <w:lang w:val="es-AR"/>
        </w:rPr>
        <w:t>Life</w:t>
      </w:r>
      <w:proofErr w:type="spellEnd"/>
      <w:r w:rsidRPr="00DA2229">
        <w:rPr>
          <w:lang w:val="es-AR"/>
        </w:rPr>
        <w:t xml:space="preserve"> International </w:t>
      </w:r>
      <w:proofErr w:type="spellStart"/>
      <w:r w:rsidRPr="00DA2229">
        <w:rPr>
          <w:lang w:val="es-AR"/>
        </w:rPr>
        <w:t>Database</w:t>
      </w:r>
      <w:proofErr w:type="spellEnd"/>
      <w:r w:rsidRPr="00DA2229">
        <w:rPr>
          <w:lang w:val="es-AR"/>
        </w:rPr>
        <w:t xml:space="preserve"> </w:t>
      </w:r>
    </w:p>
    <w:p w:rsidR="001A32AF" w:rsidRPr="00DA2229" w:rsidRDefault="001A32AF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(</w:t>
      </w:r>
      <w:hyperlink r:id="rId12" w:history="1">
        <w:r w:rsidRPr="00DA2229">
          <w:rPr>
            <w:rStyle w:val="Hyperlink"/>
            <w:color w:val="auto"/>
            <w:u w:val="none"/>
            <w:lang w:val="es-AR"/>
          </w:rPr>
          <w:t>www.detection-methods.org</w:t>
        </w:r>
      </w:hyperlink>
      <w:r w:rsidRPr="00DA2229">
        <w:rPr>
          <w:lang w:val="es-AR"/>
        </w:rPr>
        <w:t xml:space="preserve">) </w:t>
      </w:r>
    </w:p>
    <w:p w:rsidR="001A32AF" w:rsidRPr="00DA2229" w:rsidRDefault="001A32AF" w:rsidP="0098540C">
      <w:pPr>
        <w:spacing w:after="0"/>
        <w:jc w:val="both"/>
        <w:rPr>
          <w:lang w:val="es-AR"/>
        </w:rPr>
      </w:pPr>
    </w:p>
    <w:p w:rsidR="00B17ECB" w:rsidRPr="00DA2229" w:rsidRDefault="00B142C7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- GM</w:t>
      </w:r>
      <w:r w:rsidR="00B17ECB" w:rsidRPr="00DA2229">
        <w:rPr>
          <w:lang w:val="es-AR"/>
        </w:rPr>
        <w:t xml:space="preserve">O </w:t>
      </w:r>
      <w:proofErr w:type="spellStart"/>
      <w:r w:rsidR="00B17ECB" w:rsidRPr="00DA2229">
        <w:rPr>
          <w:lang w:val="es-AR"/>
        </w:rPr>
        <w:t>Detection</w:t>
      </w:r>
      <w:proofErr w:type="spellEnd"/>
      <w:r w:rsidR="00B17ECB" w:rsidRPr="00DA2229">
        <w:rPr>
          <w:lang w:val="es-AR"/>
        </w:rPr>
        <w:t xml:space="preserve"> </w:t>
      </w:r>
      <w:proofErr w:type="spellStart"/>
      <w:r w:rsidR="00B17ECB" w:rsidRPr="00DA2229">
        <w:rPr>
          <w:lang w:val="es-AR"/>
        </w:rPr>
        <w:t>Method</w:t>
      </w:r>
      <w:proofErr w:type="spellEnd"/>
      <w:r w:rsidR="00B17ECB" w:rsidRPr="00DA2229">
        <w:rPr>
          <w:lang w:val="es-AR"/>
        </w:rPr>
        <w:t xml:space="preserve"> </w:t>
      </w:r>
      <w:proofErr w:type="spellStart"/>
      <w:r w:rsidR="00B17ECB" w:rsidRPr="00DA2229">
        <w:rPr>
          <w:lang w:val="es-AR"/>
        </w:rPr>
        <w:t>DataBase</w:t>
      </w:r>
      <w:proofErr w:type="spellEnd"/>
    </w:p>
    <w:p w:rsidR="001A32AF" w:rsidRPr="00DA2229" w:rsidRDefault="00B17ECB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 xml:space="preserve">(http://gmdd.shgmo.org/) </w:t>
      </w:r>
      <w:r w:rsidR="00B142C7" w:rsidRPr="00DA2229">
        <w:rPr>
          <w:lang w:val="es-AR"/>
        </w:rPr>
        <w:t xml:space="preserve"> </w:t>
      </w:r>
    </w:p>
    <w:p w:rsidR="00B17ECB" w:rsidRPr="00DA2229" w:rsidRDefault="00B17ECB" w:rsidP="0098540C">
      <w:pPr>
        <w:spacing w:after="0"/>
        <w:jc w:val="both"/>
        <w:rPr>
          <w:lang w:val="es-AR"/>
        </w:rPr>
      </w:pPr>
    </w:p>
    <w:p w:rsidR="00B142C7" w:rsidRPr="00213E9A" w:rsidRDefault="00A3011E" w:rsidP="0098540C">
      <w:pPr>
        <w:spacing w:after="0" w:line="240" w:lineRule="auto"/>
        <w:jc w:val="both"/>
        <w:rPr>
          <w:b/>
          <w:lang w:val="es-AR"/>
        </w:rPr>
      </w:pPr>
      <w:r w:rsidRPr="00213E9A">
        <w:rPr>
          <w:b/>
          <w:lang w:val="es-AR"/>
        </w:rPr>
        <w:t>Informa</w:t>
      </w:r>
      <w:r w:rsidR="00213E9A" w:rsidRPr="00213E9A">
        <w:rPr>
          <w:b/>
          <w:lang w:val="es-AR"/>
        </w:rPr>
        <w:t>ciones</w:t>
      </w:r>
      <w:r w:rsidRPr="00213E9A">
        <w:rPr>
          <w:b/>
          <w:lang w:val="es-AR"/>
        </w:rPr>
        <w:t xml:space="preserve"> sobre </w:t>
      </w:r>
      <w:r w:rsidR="00213E9A" w:rsidRPr="00213E9A">
        <w:rPr>
          <w:b/>
          <w:lang w:val="es-AR"/>
        </w:rPr>
        <w:t>evaluación</w:t>
      </w:r>
      <w:r w:rsidRPr="00213E9A">
        <w:rPr>
          <w:b/>
          <w:lang w:val="es-AR"/>
        </w:rPr>
        <w:t xml:space="preserve"> de ri</w:t>
      </w:r>
      <w:r w:rsidR="00213E9A" w:rsidRPr="00213E9A">
        <w:rPr>
          <w:b/>
          <w:lang w:val="es-AR"/>
        </w:rPr>
        <w:t>esgo para</w:t>
      </w:r>
      <w:r w:rsidRPr="00213E9A">
        <w:rPr>
          <w:b/>
          <w:lang w:val="es-AR"/>
        </w:rPr>
        <w:t xml:space="preserve"> OVM </w:t>
      </w:r>
      <w:proofErr w:type="spellStart"/>
      <w:r w:rsidR="00213E9A" w:rsidRPr="00213E9A">
        <w:rPr>
          <w:b/>
          <w:lang w:val="es-AR"/>
        </w:rPr>
        <w:t>em</w:t>
      </w:r>
      <w:proofErr w:type="spellEnd"/>
      <w:r w:rsidR="00213E9A" w:rsidRPr="00213E9A">
        <w:rPr>
          <w:b/>
          <w:lang w:val="es-AR"/>
        </w:rPr>
        <w:t xml:space="preserve"> situaciones de presencia no intencional</w:t>
      </w:r>
    </w:p>
    <w:p w:rsidR="00A3011E" w:rsidRPr="00DA2229" w:rsidRDefault="00A3011E" w:rsidP="0098540C">
      <w:pPr>
        <w:spacing w:after="0"/>
        <w:jc w:val="both"/>
        <w:rPr>
          <w:rFonts w:cs="Helvetica"/>
          <w:lang w:val="es-AR"/>
        </w:rPr>
      </w:pPr>
      <w:r w:rsidRPr="00DA2229">
        <w:rPr>
          <w:lang w:val="es-AR"/>
        </w:rPr>
        <w:t>- CODEX (</w:t>
      </w:r>
      <w:r w:rsidRPr="00DA2229">
        <w:rPr>
          <w:rFonts w:cs="Helvetica"/>
          <w:lang w:val="es-AR"/>
        </w:rPr>
        <w:t xml:space="preserve">CAC/GL 45-2003 </w:t>
      </w:r>
      <w:proofErr w:type="spellStart"/>
      <w:r w:rsidRPr="00DA2229">
        <w:rPr>
          <w:rFonts w:cs="Helvetica"/>
          <w:lang w:val="es-AR"/>
        </w:rPr>
        <w:t>Annex</w:t>
      </w:r>
      <w:proofErr w:type="spellEnd"/>
      <w:r w:rsidRPr="00DA2229">
        <w:rPr>
          <w:rFonts w:cs="Helvetica"/>
          <w:lang w:val="es-AR"/>
        </w:rPr>
        <w:t xml:space="preserve"> 3)</w:t>
      </w:r>
    </w:p>
    <w:p w:rsidR="00A3011E" w:rsidRPr="00DA2229" w:rsidRDefault="00A3011E" w:rsidP="0098540C">
      <w:pPr>
        <w:spacing w:after="0"/>
        <w:jc w:val="both"/>
        <w:rPr>
          <w:rStyle w:val="CitaoHTML"/>
          <w:rFonts w:cs="Arial"/>
          <w:color w:val="auto"/>
          <w:lang w:val="es-AR"/>
        </w:rPr>
      </w:pPr>
      <w:r w:rsidRPr="00DA2229">
        <w:rPr>
          <w:rStyle w:val="CitaoHTML"/>
          <w:rFonts w:cs="Arial"/>
          <w:color w:val="auto"/>
          <w:lang w:val="es-AR"/>
        </w:rPr>
        <w:t>(</w:t>
      </w:r>
      <w:hyperlink r:id="rId13" w:history="1">
        <w:r w:rsidRPr="00DA2229">
          <w:rPr>
            <w:rStyle w:val="Hyperlink"/>
            <w:rFonts w:cs="Arial"/>
            <w:color w:val="auto"/>
            <w:u w:val="none"/>
            <w:lang w:val="es-AR"/>
          </w:rPr>
          <w:t>www.codexalimentarius.net/input/download/standards/10021/CXG_04</w:t>
        </w:r>
      </w:hyperlink>
      <w:r w:rsidRPr="00DA2229">
        <w:rPr>
          <w:rStyle w:val="CitaoHTML"/>
          <w:rFonts w:cs="Arial"/>
          <w:color w:val="auto"/>
          <w:lang w:val="es-AR"/>
        </w:rPr>
        <w:t>)</w:t>
      </w:r>
    </w:p>
    <w:p w:rsidR="00A3011E" w:rsidRPr="00DA2229" w:rsidRDefault="00A3011E" w:rsidP="0098540C">
      <w:pPr>
        <w:spacing w:after="0"/>
        <w:jc w:val="both"/>
        <w:rPr>
          <w:lang w:val="es-AR"/>
        </w:rPr>
      </w:pPr>
    </w:p>
    <w:p w:rsidR="00A3011E" w:rsidRPr="006463D9" w:rsidRDefault="00A3011E" w:rsidP="0098540C">
      <w:pPr>
        <w:jc w:val="both"/>
        <w:rPr>
          <w:lang w:val="en-US"/>
        </w:rPr>
      </w:pPr>
      <w:r w:rsidRPr="006463D9">
        <w:rPr>
          <w:lang w:val="en-US"/>
        </w:rPr>
        <w:t>- Organisation for Economic Cooperation and Development (</w:t>
      </w:r>
      <w:r w:rsidRPr="006463D9">
        <w:rPr>
          <w:rFonts w:cs="Helvetica"/>
          <w:lang w:val="en-US"/>
        </w:rPr>
        <w:t>ENV/JM/</w:t>
      </w:r>
      <w:proofErr w:type="gramStart"/>
      <w:r w:rsidRPr="006463D9">
        <w:rPr>
          <w:rFonts w:cs="Helvetica"/>
          <w:lang w:val="en-US"/>
        </w:rPr>
        <w:t>MONO(</w:t>
      </w:r>
      <w:proofErr w:type="gramEnd"/>
      <w:r w:rsidRPr="006463D9">
        <w:rPr>
          <w:rFonts w:cs="Helvetica"/>
          <w:lang w:val="en-US"/>
        </w:rPr>
        <w:t xml:space="preserve">2013)19) </w:t>
      </w:r>
      <w:r w:rsidRPr="006463D9">
        <w:rPr>
          <w:lang w:val="en-US"/>
        </w:rPr>
        <w:t xml:space="preserve">(http://www.oecd.org/env/ehs/biotrack/latestdocuments/ ) </w:t>
      </w:r>
    </w:p>
    <w:p w:rsidR="0014093C" w:rsidRPr="00DA2229" w:rsidRDefault="00B142C7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- FAO</w:t>
      </w:r>
      <w:r w:rsidR="0014093C" w:rsidRPr="00DA2229">
        <w:rPr>
          <w:lang w:val="es-AR"/>
        </w:rPr>
        <w:t xml:space="preserve"> </w:t>
      </w:r>
    </w:p>
    <w:p w:rsidR="00B142C7" w:rsidRPr="00DA2229" w:rsidRDefault="0014093C" w:rsidP="0098540C">
      <w:pPr>
        <w:spacing w:after="0"/>
        <w:jc w:val="both"/>
        <w:rPr>
          <w:lang w:val="es-AR"/>
        </w:rPr>
      </w:pPr>
      <w:r w:rsidRPr="00DA2229">
        <w:rPr>
          <w:lang w:val="es-AR"/>
        </w:rPr>
        <w:t>(</w:t>
      </w:r>
      <w:hyperlink r:id="rId14" w:history="1">
        <w:r w:rsidRPr="00DA2229">
          <w:rPr>
            <w:rStyle w:val="Hyperlink"/>
            <w:color w:val="auto"/>
            <w:u w:val="none"/>
            <w:lang w:val="es-AR"/>
          </w:rPr>
          <w:t>http://www.fao.org/food/food-safety-quality/a-z-index/biotechnology/llp/en/</w:t>
        </w:r>
      </w:hyperlink>
      <w:r w:rsidRPr="00DA2229">
        <w:rPr>
          <w:lang w:val="es-AR"/>
        </w:rPr>
        <w:t>)</w:t>
      </w:r>
    </w:p>
    <w:p w:rsidR="00B142C7" w:rsidRPr="00DA2229" w:rsidRDefault="00B142C7" w:rsidP="0098540C">
      <w:pPr>
        <w:jc w:val="both"/>
        <w:rPr>
          <w:b/>
          <w:lang w:val="es-AR"/>
        </w:rPr>
      </w:pPr>
    </w:p>
    <w:sectPr w:rsidR="00B142C7" w:rsidRPr="00DA2229" w:rsidSect="00667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E51"/>
    <w:multiLevelType w:val="hybridMultilevel"/>
    <w:tmpl w:val="6A76C04E"/>
    <w:lvl w:ilvl="0" w:tplc="B43E382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4A4308"/>
    <w:multiLevelType w:val="hybridMultilevel"/>
    <w:tmpl w:val="A3384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2922"/>
    <w:multiLevelType w:val="hybridMultilevel"/>
    <w:tmpl w:val="46604500"/>
    <w:lvl w:ilvl="0" w:tplc="6B7865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F"/>
    <w:rsid w:val="0001281D"/>
    <w:rsid w:val="00031032"/>
    <w:rsid w:val="000331AD"/>
    <w:rsid w:val="00041AD3"/>
    <w:rsid w:val="000769F8"/>
    <w:rsid w:val="00077D61"/>
    <w:rsid w:val="00090E90"/>
    <w:rsid w:val="000A6934"/>
    <w:rsid w:val="000E207E"/>
    <w:rsid w:val="000F1158"/>
    <w:rsid w:val="0010629A"/>
    <w:rsid w:val="00111E13"/>
    <w:rsid w:val="0012400B"/>
    <w:rsid w:val="0014093C"/>
    <w:rsid w:val="0014323C"/>
    <w:rsid w:val="00151DFE"/>
    <w:rsid w:val="001A32AF"/>
    <w:rsid w:val="001D78E5"/>
    <w:rsid w:val="001E5F84"/>
    <w:rsid w:val="00213E9A"/>
    <w:rsid w:val="00214BE5"/>
    <w:rsid w:val="00247A6C"/>
    <w:rsid w:val="002552C3"/>
    <w:rsid w:val="00272001"/>
    <w:rsid w:val="00277D95"/>
    <w:rsid w:val="00297360"/>
    <w:rsid w:val="002B12E7"/>
    <w:rsid w:val="002B73AE"/>
    <w:rsid w:val="002D563A"/>
    <w:rsid w:val="0030078E"/>
    <w:rsid w:val="00337092"/>
    <w:rsid w:val="00365C7E"/>
    <w:rsid w:val="0037217A"/>
    <w:rsid w:val="00376D08"/>
    <w:rsid w:val="003A5938"/>
    <w:rsid w:val="003F1633"/>
    <w:rsid w:val="004263DB"/>
    <w:rsid w:val="00436012"/>
    <w:rsid w:val="00436C31"/>
    <w:rsid w:val="004624B1"/>
    <w:rsid w:val="0047369C"/>
    <w:rsid w:val="004E4D40"/>
    <w:rsid w:val="005117B0"/>
    <w:rsid w:val="005117BB"/>
    <w:rsid w:val="00572EEB"/>
    <w:rsid w:val="005944C6"/>
    <w:rsid w:val="005B4490"/>
    <w:rsid w:val="005B6D29"/>
    <w:rsid w:val="005D0D85"/>
    <w:rsid w:val="006108C1"/>
    <w:rsid w:val="00612D80"/>
    <w:rsid w:val="006463D9"/>
    <w:rsid w:val="00667479"/>
    <w:rsid w:val="006B5001"/>
    <w:rsid w:val="006E5183"/>
    <w:rsid w:val="00706B99"/>
    <w:rsid w:val="00724A27"/>
    <w:rsid w:val="0073251C"/>
    <w:rsid w:val="00734B73"/>
    <w:rsid w:val="007678E8"/>
    <w:rsid w:val="00786C77"/>
    <w:rsid w:val="00790493"/>
    <w:rsid w:val="007A69E8"/>
    <w:rsid w:val="007B22D4"/>
    <w:rsid w:val="007B5BAB"/>
    <w:rsid w:val="007D1662"/>
    <w:rsid w:val="00804F83"/>
    <w:rsid w:val="00806B06"/>
    <w:rsid w:val="008172CB"/>
    <w:rsid w:val="00831A35"/>
    <w:rsid w:val="008C2CC8"/>
    <w:rsid w:val="008F4C95"/>
    <w:rsid w:val="0091277F"/>
    <w:rsid w:val="00915CAF"/>
    <w:rsid w:val="00984DB0"/>
    <w:rsid w:val="0098540C"/>
    <w:rsid w:val="0099784D"/>
    <w:rsid w:val="009E4436"/>
    <w:rsid w:val="009E5D51"/>
    <w:rsid w:val="00A21F9D"/>
    <w:rsid w:val="00A3011E"/>
    <w:rsid w:val="00A47EF5"/>
    <w:rsid w:val="00A55D52"/>
    <w:rsid w:val="00A9419D"/>
    <w:rsid w:val="00A97357"/>
    <w:rsid w:val="00AB20D6"/>
    <w:rsid w:val="00AB4798"/>
    <w:rsid w:val="00AF243C"/>
    <w:rsid w:val="00AF37C2"/>
    <w:rsid w:val="00B06E5E"/>
    <w:rsid w:val="00B142C7"/>
    <w:rsid w:val="00B17ECB"/>
    <w:rsid w:val="00B626C2"/>
    <w:rsid w:val="00B709F2"/>
    <w:rsid w:val="00BF6C28"/>
    <w:rsid w:val="00C048CF"/>
    <w:rsid w:val="00C1747C"/>
    <w:rsid w:val="00C20DF7"/>
    <w:rsid w:val="00C265C3"/>
    <w:rsid w:val="00C34B4E"/>
    <w:rsid w:val="00C431BE"/>
    <w:rsid w:val="00C43ABF"/>
    <w:rsid w:val="00C549D4"/>
    <w:rsid w:val="00CA2510"/>
    <w:rsid w:val="00CB36EE"/>
    <w:rsid w:val="00D23318"/>
    <w:rsid w:val="00D95079"/>
    <w:rsid w:val="00DA17BF"/>
    <w:rsid w:val="00DA2229"/>
    <w:rsid w:val="00DA5560"/>
    <w:rsid w:val="00DB1F99"/>
    <w:rsid w:val="00DC02F4"/>
    <w:rsid w:val="00DE318E"/>
    <w:rsid w:val="00E02733"/>
    <w:rsid w:val="00E30FDD"/>
    <w:rsid w:val="00E40C17"/>
    <w:rsid w:val="00E965BF"/>
    <w:rsid w:val="00EA0F1F"/>
    <w:rsid w:val="00EA7084"/>
    <w:rsid w:val="00EB1F37"/>
    <w:rsid w:val="00EC754B"/>
    <w:rsid w:val="00ED096D"/>
    <w:rsid w:val="00F05057"/>
    <w:rsid w:val="00F05F11"/>
    <w:rsid w:val="00F51F3D"/>
    <w:rsid w:val="00F56BC9"/>
    <w:rsid w:val="00F666B9"/>
    <w:rsid w:val="00FA1447"/>
    <w:rsid w:val="00FC5CF1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43C"/>
    <w:pPr>
      <w:ind w:left="720"/>
      <w:contextualSpacing/>
    </w:pPr>
  </w:style>
  <w:style w:type="paragraph" w:customStyle="1" w:styleId="Default">
    <w:name w:val="Default"/>
    <w:rsid w:val="00AF2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6D08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5944C6"/>
    <w:rPr>
      <w:i w:val="0"/>
      <w:iCs w:val="0"/>
      <w:color w:val="009030"/>
    </w:rPr>
  </w:style>
  <w:style w:type="character" w:styleId="Forte">
    <w:name w:val="Strong"/>
    <w:basedOn w:val="Fontepargpadro"/>
    <w:uiPriority w:val="22"/>
    <w:qFormat/>
    <w:rsid w:val="005944C6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36012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3601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43C"/>
    <w:pPr>
      <w:ind w:left="720"/>
      <w:contextualSpacing/>
    </w:pPr>
  </w:style>
  <w:style w:type="paragraph" w:customStyle="1" w:styleId="Default">
    <w:name w:val="Default"/>
    <w:rsid w:val="00AF2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6D08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5944C6"/>
    <w:rPr>
      <w:i w:val="0"/>
      <w:iCs w:val="0"/>
      <w:color w:val="009030"/>
    </w:rPr>
  </w:style>
  <w:style w:type="character" w:styleId="Forte">
    <w:name w:val="Strong"/>
    <w:basedOn w:val="Fontepargpadro"/>
    <w:uiPriority w:val="22"/>
    <w:qFormat/>
    <w:rsid w:val="005944C6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36012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360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ecd.org/biotech/default.aspx" TargetMode="External"/><Relationship Id="rId13" Type="http://schemas.openxmlformats.org/officeDocument/2006/relationships/hyperlink" Target="http://www.codexalimentarius.net/input/download/standards/10021/CXG_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o.org/food/food-safety-quality/gm-foods-platform/en/" TargetMode="External"/><Relationship Id="rId12" Type="http://schemas.openxmlformats.org/officeDocument/2006/relationships/hyperlink" Target="http://www.detection-method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ch.cbd.int/database/organisms/" TargetMode="External"/><Relationship Id="rId11" Type="http://schemas.openxmlformats.org/officeDocument/2006/relationships/hyperlink" Target="http://gmo-crl.jrc.ec.europa.eu/gmometho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aaa.org/gmapprovaldatabase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a-gmc.org/GMCropDatabase" TargetMode="External"/><Relationship Id="rId14" Type="http://schemas.openxmlformats.org/officeDocument/2006/relationships/hyperlink" Target="http://www.fao.org/food/food-safety-quality/a-z-index/biotechnology/llp/e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Ministério das Relações Exteriores</cp:lastModifiedBy>
  <cp:revision>2</cp:revision>
  <dcterms:created xsi:type="dcterms:W3CDTF">2015-07-31T15:10:00Z</dcterms:created>
  <dcterms:modified xsi:type="dcterms:W3CDTF">2015-07-31T15:10:00Z</dcterms:modified>
</cp:coreProperties>
</file>