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7EB22" w14:textId="77777777" w:rsidR="0087263E" w:rsidRDefault="00F17640" w:rsidP="00B3061D">
      <w:pPr>
        <w:spacing w:after="0" w:line="240" w:lineRule="auto"/>
        <w:jc w:val="center"/>
        <w:rPr>
          <w:b/>
          <w:lang w:val="en-GB"/>
        </w:rPr>
      </w:pPr>
      <w:bookmarkStart w:id="0" w:name="_GoBack"/>
      <w:bookmarkEnd w:id="0"/>
      <w:r w:rsidRPr="00B3061D">
        <w:rPr>
          <w:b/>
          <w:lang w:val="en-GB"/>
        </w:rPr>
        <w:t xml:space="preserve">The contribution of </w:t>
      </w:r>
      <w:r w:rsidR="0087263E">
        <w:rPr>
          <w:b/>
          <w:lang w:val="en-GB"/>
        </w:rPr>
        <w:t>indigenous peoples and local communities</w:t>
      </w:r>
    </w:p>
    <w:p w14:paraId="48CA7C57" w14:textId="0165D721" w:rsidR="00F17640" w:rsidRPr="00B3061D" w:rsidRDefault="00F17640" w:rsidP="00B3061D">
      <w:pPr>
        <w:spacing w:after="0" w:line="240" w:lineRule="auto"/>
        <w:jc w:val="center"/>
        <w:rPr>
          <w:b/>
          <w:lang w:val="en-GB"/>
        </w:rPr>
      </w:pPr>
      <w:r w:rsidRPr="00B3061D">
        <w:rPr>
          <w:b/>
          <w:lang w:val="en-GB"/>
        </w:rPr>
        <w:t xml:space="preserve"> </w:t>
      </w:r>
      <w:proofErr w:type="gramStart"/>
      <w:r w:rsidRPr="00B3061D">
        <w:rPr>
          <w:b/>
          <w:lang w:val="en-GB"/>
        </w:rPr>
        <w:t>to</w:t>
      </w:r>
      <w:proofErr w:type="gramEnd"/>
      <w:r w:rsidRPr="00B3061D">
        <w:rPr>
          <w:b/>
          <w:lang w:val="en-GB"/>
        </w:rPr>
        <w:t xml:space="preserve"> the implementation of the Strategic Plan</w:t>
      </w:r>
      <w:r w:rsidR="0087263E">
        <w:rPr>
          <w:b/>
          <w:lang w:val="en-GB"/>
        </w:rPr>
        <w:t xml:space="preserve"> for Biodiversity </w:t>
      </w:r>
      <w:r w:rsidR="0087263E" w:rsidRPr="00B3061D">
        <w:rPr>
          <w:b/>
          <w:lang w:val="en-GB"/>
        </w:rPr>
        <w:t>2011-2020</w:t>
      </w:r>
      <w:r w:rsidR="00E94314" w:rsidRPr="00B3061D">
        <w:rPr>
          <w:b/>
          <w:lang w:val="en-GB"/>
        </w:rPr>
        <w:t>:</w:t>
      </w:r>
      <w:r w:rsidRPr="00B3061D">
        <w:rPr>
          <w:b/>
          <w:lang w:val="en-GB"/>
        </w:rPr>
        <w:t xml:space="preserve"> </w:t>
      </w:r>
    </w:p>
    <w:p w14:paraId="1B10EB40" w14:textId="77777777" w:rsidR="00E94314" w:rsidRPr="00B3061D" w:rsidRDefault="00E94314" w:rsidP="00B3061D">
      <w:pPr>
        <w:spacing w:after="0" w:line="240" w:lineRule="auto"/>
        <w:rPr>
          <w:b/>
          <w:lang w:val="en-GB"/>
        </w:rPr>
      </w:pPr>
    </w:p>
    <w:p w14:paraId="731DC153" w14:textId="32FDD1DF" w:rsidR="00E94314" w:rsidRPr="00B3061D" w:rsidRDefault="00E94314" w:rsidP="00B3061D">
      <w:pPr>
        <w:spacing w:after="0" w:line="240" w:lineRule="auto"/>
        <w:rPr>
          <w:b/>
          <w:lang w:val="en-GB"/>
        </w:rPr>
      </w:pPr>
      <w:r w:rsidRPr="00B3061D">
        <w:rPr>
          <w:b/>
          <w:lang w:val="en-GB"/>
        </w:rPr>
        <w:t xml:space="preserve">The relevance of </w:t>
      </w:r>
      <w:r w:rsidR="00890CAC">
        <w:rPr>
          <w:b/>
          <w:lang w:val="en-GB"/>
        </w:rPr>
        <w:t>local</w:t>
      </w:r>
      <w:r w:rsidRPr="00B3061D">
        <w:rPr>
          <w:b/>
          <w:lang w:val="en-GB"/>
        </w:rPr>
        <w:t xml:space="preserve"> </w:t>
      </w:r>
      <w:r w:rsidR="0087263E">
        <w:rPr>
          <w:b/>
          <w:lang w:val="en-GB"/>
        </w:rPr>
        <w:t>integrated</w:t>
      </w:r>
      <w:r w:rsidRPr="00B3061D">
        <w:rPr>
          <w:b/>
          <w:lang w:val="en-GB"/>
        </w:rPr>
        <w:t xml:space="preserve"> management systems and </w:t>
      </w:r>
      <w:r w:rsidR="0087263E">
        <w:rPr>
          <w:b/>
          <w:lang w:val="en-GB"/>
        </w:rPr>
        <w:t xml:space="preserve">the </w:t>
      </w:r>
      <w:proofErr w:type="gramStart"/>
      <w:r w:rsidRPr="00B3061D">
        <w:rPr>
          <w:b/>
          <w:lang w:val="en-GB"/>
        </w:rPr>
        <w:t>cross-cutting</w:t>
      </w:r>
      <w:proofErr w:type="gramEnd"/>
      <w:r w:rsidRPr="00B3061D">
        <w:rPr>
          <w:b/>
          <w:lang w:val="en-GB"/>
        </w:rPr>
        <w:t xml:space="preserve"> nature of Target 18</w:t>
      </w:r>
    </w:p>
    <w:p w14:paraId="578E8D81" w14:textId="77777777" w:rsidR="00E94314" w:rsidRPr="00B3061D" w:rsidRDefault="00E94314" w:rsidP="00B3061D">
      <w:pPr>
        <w:spacing w:after="0" w:line="240" w:lineRule="auto"/>
        <w:rPr>
          <w:lang w:val="en-GB"/>
        </w:rPr>
      </w:pPr>
    </w:p>
    <w:p w14:paraId="0B5C81BE" w14:textId="77777777" w:rsidR="002823DD" w:rsidRPr="00B3061D" w:rsidRDefault="002823DD" w:rsidP="00B3061D">
      <w:pPr>
        <w:spacing w:after="0" w:line="240" w:lineRule="auto"/>
        <w:jc w:val="center"/>
        <w:rPr>
          <w:i/>
          <w:lang w:val="en-GB"/>
        </w:rPr>
      </w:pPr>
    </w:p>
    <w:p w14:paraId="254520AD" w14:textId="082CD426" w:rsidR="00E94314" w:rsidRDefault="00360A65" w:rsidP="00B3061D">
      <w:pPr>
        <w:spacing w:after="0" w:line="240" w:lineRule="auto"/>
        <w:jc w:val="center"/>
        <w:rPr>
          <w:i/>
          <w:lang w:val="en-GB"/>
        </w:rPr>
      </w:pPr>
      <w:r w:rsidRPr="00B3061D">
        <w:rPr>
          <w:i/>
          <w:lang w:val="en-GB"/>
        </w:rPr>
        <w:t xml:space="preserve">DRAFT </w:t>
      </w:r>
      <w:r w:rsidR="0087263E">
        <w:rPr>
          <w:i/>
          <w:lang w:val="en-GB"/>
        </w:rPr>
        <w:t>publication</w:t>
      </w:r>
    </w:p>
    <w:p w14:paraId="176567F5" w14:textId="2F3BAC66" w:rsidR="0087263E" w:rsidRPr="00B3061D" w:rsidRDefault="00D66534" w:rsidP="00B3061D">
      <w:pPr>
        <w:spacing w:after="0" w:line="240" w:lineRule="auto"/>
        <w:jc w:val="center"/>
        <w:rPr>
          <w:i/>
          <w:lang w:val="en-GB"/>
        </w:rPr>
      </w:pPr>
      <w:r>
        <w:rPr>
          <w:i/>
          <w:lang w:val="en-GB"/>
        </w:rPr>
        <w:t>October</w:t>
      </w:r>
      <w:r w:rsidR="0087263E">
        <w:rPr>
          <w:i/>
          <w:lang w:val="en-GB"/>
        </w:rPr>
        <w:t xml:space="preserve"> 2014</w:t>
      </w:r>
    </w:p>
    <w:p w14:paraId="68035201" w14:textId="77777777" w:rsidR="00F17640" w:rsidRPr="00B3061D" w:rsidRDefault="00F17640" w:rsidP="00B3061D">
      <w:pPr>
        <w:spacing w:after="0" w:line="240" w:lineRule="auto"/>
        <w:rPr>
          <w:lang w:val="en-GB"/>
        </w:rPr>
      </w:pPr>
    </w:p>
    <w:p w14:paraId="626DE34D" w14:textId="77777777" w:rsidR="00736355" w:rsidRPr="00B3061D" w:rsidRDefault="00736355" w:rsidP="00B3061D">
      <w:pPr>
        <w:spacing w:after="0" w:line="240" w:lineRule="auto"/>
        <w:rPr>
          <w:b/>
          <w:lang w:val="en-GB"/>
        </w:rPr>
      </w:pPr>
    </w:p>
    <w:p w14:paraId="2CB5F33D" w14:textId="28957E29" w:rsidR="00E94314" w:rsidRPr="00B3061D" w:rsidRDefault="0047159A" w:rsidP="00626832">
      <w:pPr>
        <w:pStyle w:val="ListParagraph"/>
        <w:numPr>
          <w:ilvl w:val="0"/>
          <w:numId w:val="3"/>
        </w:numPr>
        <w:pBdr>
          <w:bottom w:val="single" w:sz="4" w:space="1" w:color="auto"/>
        </w:pBdr>
        <w:ind w:left="0"/>
        <w:rPr>
          <w:b/>
          <w:color w:val="0070C0"/>
          <w:sz w:val="22"/>
          <w:szCs w:val="22"/>
          <w:lang w:val="en-GB"/>
        </w:rPr>
      </w:pPr>
      <w:r w:rsidRPr="00B3061D">
        <w:rPr>
          <w:b/>
          <w:color w:val="0070C0"/>
          <w:sz w:val="22"/>
          <w:szCs w:val="22"/>
          <w:lang w:val="en-GB"/>
        </w:rPr>
        <w:t>Introduction</w:t>
      </w:r>
    </w:p>
    <w:p w14:paraId="4CF769D7" w14:textId="77777777" w:rsidR="005720F6" w:rsidRPr="00B3061D" w:rsidRDefault="005720F6" w:rsidP="00B3061D">
      <w:pPr>
        <w:pStyle w:val="ListParagraph"/>
        <w:ind w:left="0"/>
        <w:rPr>
          <w:sz w:val="22"/>
          <w:szCs w:val="22"/>
          <w:lang w:val="en-GB"/>
        </w:rPr>
      </w:pPr>
    </w:p>
    <w:p w14:paraId="0CC8F470" w14:textId="3A88A778" w:rsidR="00D8347C" w:rsidRPr="00B3061D" w:rsidRDefault="00CF09C6" w:rsidP="00B3061D">
      <w:pPr>
        <w:spacing w:after="0" w:line="240" w:lineRule="auto"/>
        <w:rPr>
          <w:lang w:val="en-GB"/>
        </w:rPr>
      </w:pPr>
      <w:r>
        <w:rPr>
          <w:lang w:val="en-GB"/>
        </w:rPr>
        <w:t>The fourth edition of the Global Biodiversity Outlook (</w:t>
      </w:r>
      <w:r w:rsidR="00D8347C" w:rsidRPr="00B3061D">
        <w:rPr>
          <w:lang w:val="en-GB"/>
        </w:rPr>
        <w:t>GBO4</w:t>
      </w:r>
      <w:r>
        <w:rPr>
          <w:lang w:val="en-GB"/>
        </w:rPr>
        <w:t>)</w:t>
      </w:r>
      <w:r w:rsidR="00D8347C" w:rsidRPr="00B3061D">
        <w:rPr>
          <w:lang w:val="en-GB"/>
        </w:rPr>
        <w:t xml:space="preserve"> provide</w:t>
      </w:r>
      <w:r w:rsidR="00C353ED" w:rsidRPr="00B3061D">
        <w:rPr>
          <w:lang w:val="en-GB"/>
        </w:rPr>
        <w:t xml:space="preserve">s </w:t>
      </w:r>
      <w:r w:rsidR="00D8347C" w:rsidRPr="00B3061D">
        <w:rPr>
          <w:lang w:val="en-GB"/>
        </w:rPr>
        <w:t xml:space="preserve">a general updated picture of the progress towards the 20 Aichi Biodiversity Targets. This </w:t>
      </w:r>
      <w:r w:rsidR="00411ADF" w:rsidRPr="00411ADF">
        <w:rPr>
          <w:lang w:val="en-GB"/>
        </w:rPr>
        <w:t>complementary</w:t>
      </w:r>
      <w:r w:rsidR="00D8347C" w:rsidRPr="00411ADF">
        <w:rPr>
          <w:lang w:val="en-GB"/>
        </w:rPr>
        <w:t xml:space="preserve"> publication</w:t>
      </w:r>
      <w:r w:rsidR="00D8347C" w:rsidRPr="00B3061D">
        <w:rPr>
          <w:lang w:val="en-GB"/>
        </w:rPr>
        <w:t xml:space="preserve"> presents a cross-section of indigenous peoples and local communities’ contributions to the objectives of the </w:t>
      </w:r>
      <w:proofErr w:type="gramStart"/>
      <w:r w:rsidR="00D8347C" w:rsidRPr="00B3061D">
        <w:rPr>
          <w:lang w:val="en-GB"/>
        </w:rPr>
        <w:t>Convention  and</w:t>
      </w:r>
      <w:proofErr w:type="gramEnd"/>
      <w:r w:rsidR="00D8347C" w:rsidRPr="00B3061D">
        <w:rPr>
          <w:lang w:val="en-GB"/>
        </w:rPr>
        <w:t xml:space="preserve"> the implementation of the Strategic Plan in various respects. </w:t>
      </w:r>
    </w:p>
    <w:p w14:paraId="21D6D5A0" w14:textId="77777777" w:rsidR="00B914F8" w:rsidRPr="00B3061D" w:rsidRDefault="00B914F8" w:rsidP="00B3061D">
      <w:pPr>
        <w:spacing w:after="0" w:line="240" w:lineRule="auto"/>
        <w:rPr>
          <w:rFonts w:eastAsia="Times New Roman" w:cs="Times New Roman"/>
          <w:color w:val="000000"/>
          <w:lang w:val="en-GB" w:eastAsia="nl-NL"/>
        </w:rPr>
      </w:pPr>
    </w:p>
    <w:p w14:paraId="2481C7B3" w14:textId="699AA6C7" w:rsidR="00B914F8" w:rsidRPr="00B3061D" w:rsidRDefault="00B914F8" w:rsidP="00B3061D">
      <w:pPr>
        <w:spacing w:after="0" w:line="240" w:lineRule="auto"/>
        <w:rPr>
          <w:rFonts w:eastAsia="Times New Roman" w:cs="Times New Roman"/>
          <w:color w:val="000000"/>
          <w:lang w:val="en-GB" w:eastAsia="nl-NL"/>
        </w:rPr>
      </w:pPr>
      <w:r w:rsidRPr="00B3061D">
        <w:rPr>
          <w:rFonts w:eastAsia="Times New Roman" w:cs="Times New Roman"/>
          <w:color w:val="000000"/>
          <w:lang w:val="en-GB" w:eastAsia="nl-NL"/>
        </w:rPr>
        <w:t>GBO4 (advance draft) contains a section about the interact</w:t>
      </w:r>
      <w:r w:rsidR="00031285">
        <w:rPr>
          <w:rFonts w:eastAsia="Times New Roman" w:cs="Times New Roman"/>
          <w:color w:val="000000"/>
          <w:lang w:val="en-GB" w:eastAsia="nl-NL"/>
        </w:rPr>
        <w:t xml:space="preserve">ions between the Aichi Targets </w:t>
      </w:r>
      <w:r w:rsidRPr="00B3061D">
        <w:rPr>
          <w:rFonts w:eastAsia="Times New Roman" w:cs="Times New Roman"/>
          <w:color w:val="000000"/>
          <w:lang w:val="en-GB" w:eastAsia="nl-NL"/>
        </w:rPr>
        <w:t>and uses a matrix to explain and indicate how each target impacts on, or is impacted by, other targets</w:t>
      </w:r>
      <w:r w:rsidR="00031285">
        <w:rPr>
          <w:rStyle w:val="FootnoteReference"/>
          <w:rFonts w:eastAsia="Times New Roman" w:cs="Times New Roman"/>
          <w:color w:val="000000"/>
          <w:lang w:val="en-GB" w:eastAsia="nl-NL"/>
        </w:rPr>
        <w:footnoteReference w:id="1"/>
      </w:r>
      <w:r w:rsidRPr="00B3061D">
        <w:rPr>
          <w:rFonts w:eastAsia="Times New Roman" w:cs="Times New Roman"/>
          <w:color w:val="000000"/>
          <w:lang w:val="en-GB" w:eastAsia="nl-NL"/>
        </w:rPr>
        <w:t xml:space="preserve">. </w:t>
      </w:r>
      <w:r w:rsidR="00411ADF">
        <w:rPr>
          <w:rFonts w:eastAsia="Times New Roman" w:cs="Times New Roman"/>
          <w:color w:val="000000"/>
          <w:lang w:val="en-GB" w:eastAsia="nl-NL"/>
        </w:rPr>
        <w:t xml:space="preserve">To complement this section of the GBO, this report specifically addresses the </w:t>
      </w:r>
      <w:r w:rsidRPr="00B3061D">
        <w:rPr>
          <w:rFonts w:eastAsia="Times New Roman" w:cs="Times New Roman"/>
          <w:color w:val="000000"/>
          <w:lang w:val="en-GB" w:eastAsia="nl-NL"/>
        </w:rPr>
        <w:t>contribution of T</w:t>
      </w:r>
      <w:r w:rsidR="00C53C6D">
        <w:rPr>
          <w:rFonts w:eastAsia="Times New Roman" w:cs="Times New Roman"/>
          <w:color w:val="000000"/>
          <w:lang w:val="en-GB" w:eastAsia="nl-NL"/>
        </w:rPr>
        <w:t xml:space="preserve">arget </w:t>
      </w:r>
      <w:r w:rsidRPr="00B3061D">
        <w:rPr>
          <w:rFonts w:eastAsia="Times New Roman" w:cs="Times New Roman"/>
          <w:color w:val="000000"/>
          <w:lang w:val="en-GB" w:eastAsia="nl-NL"/>
        </w:rPr>
        <w:t xml:space="preserve">18 to </w:t>
      </w:r>
      <w:r w:rsidR="00C53C6D">
        <w:rPr>
          <w:rFonts w:eastAsia="Times New Roman" w:cs="Times New Roman"/>
          <w:color w:val="000000"/>
          <w:lang w:val="en-GB" w:eastAsia="nl-NL"/>
        </w:rPr>
        <w:t>various other</w:t>
      </w:r>
      <w:r w:rsidRPr="00B3061D">
        <w:rPr>
          <w:rFonts w:eastAsia="Times New Roman" w:cs="Times New Roman"/>
          <w:color w:val="000000"/>
          <w:lang w:val="en-GB" w:eastAsia="nl-NL"/>
        </w:rPr>
        <w:t xml:space="preserve"> key targets and, maybe more importantly, how strongly T</w:t>
      </w:r>
      <w:r w:rsidR="00C53C6D">
        <w:rPr>
          <w:rFonts w:eastAsia="Times New Roman" w:cs="Times New Roman"/>
          <w:color w:val="000000"/>
          <w:lang w:val="en-GB" w:eastAsia="nl-NL"/>
        </w:rPr>
        <w:t xml:space="preserve">raditional </w:t>
      </w:r>
      <w:r w:rsidRPr="00B3061D">
        <w:rPr>
          <w:rFonts w:eastAsia="Times New Roman" w:cs="Times New Roman"/>
          <w:color w:val="000000"/>
          <w:lang w:val="en-GB" w:eastAsia="nl-NL"/>
        </w:rPr>
        <w:t>K</w:t>
      </w:r>
      <w:r w:rsidR="00C53C6D">
        <w:rPr>
          <w:rFonts w:eastAsia="Times New Roman" w:cs="Times New Roman"/>
          <w:color w:val="000000"/>
          <w:lang w:val="en-GB" w:eastAsia="nl-NL"/>
        </w:rPr>
        <w:t>nowledge (TK)</w:t>
      </w:r>
      <w:r w:rsidRPr="00B3061D">
        <w:rPr>
          <w:rFonts w:eastAsia="Times New Roman" w:cs="Times New Roman"/>
          <w:color w:val="000000"/>
          <w:lang w:val="en-GB" w:eastAsia="nl-NL"/>
        </w:rPr>
        <w:t xml:space="preserve"> and </w:t>
      </w:r>
      <w:r w:rsidR="00C53C6D">
        <w:rPr>
          <w:rFonts w:eastAsia="Times New Roman" w:cs="Times New Roman"/>
          <w:color w:val="000000"/>
          <w:lang w:val="en-GB" w:eastAsia="nl-NL"/>
        </w:rPr>
        <w:t>Customary Sustainable Use (</w:t>
      </w:r>
      <w:r w:rsidRPr="00B3061D">
        <w:rPr>
          <w:rFonts w:eastAsia="Times New Roman" w:cs="Times New Roman"/>
          <w:color w:val="000000"/>
          <w:lang w:val="en-GB" w:eastAsia="nl-NL"/>
        </w:rPr>
        <w:t>CSU</w:t>
      </w:r>
      <w:r w:rsidR="00C53C6D">
        <w:rPr>
          <w:rFonts w:eastAsia="Times New Roman" w:cs="Times New Roman"/>
          <w:color w:val="000000"/>
          <w:lang w:val="en-GB" w:eastAsia="nl-NL"/>
        </w:rPr>
        <w:t>)</w:t>
      </w:r>
      <w:r w:rsidRPr="00B3061D">
        <w:rPr>
          <w:rFonts w:eastAsia="Times New Roman" w:cs="Times New Roman"/>
          <w:color w:val="000000"/>
          <w:lang w:val="en-GB" w:eastAsia="nl-NL"/>
        </w:rPr>
        <w:t xml:space="preserve"> are or can be impacted (negatively or positively) by other </w:t>
      </w:r>
      <w:proofErr w:type="gramStart"/>
      <w:r w:rsidRPr="00B3061D">
        <w:rPr>
          <w:rFonts w:eastAsia="Times New Roman" w:cs="Times New Roman"/>
          <w:color w:val="000000"/>
          <w:lang w:val="en-GB" w:eastAsia="nl-NL"/>
        </w:rPr>
        <w:t>targets which</w:t>
      </w:r>
      <w:proofErr w:type="gramEnd"/>
      <w:r w:rsidRPr="00B3061D">
        <w:rPr>
          <w:rFonts w:eastAsia="Times New Roman" w:cs="Times New Roman"/>
          <w:color w:val="000000"/>
          <w:lang w:val="en-GB" w:eastAsia="nl-NL"/>
        </w:rPr>
        <w:t xml:space="preserve"> relate to the environments</w:t>
      </w:r>
      <w:r w:rsidR="00C53C6D">
        <w:rPr>
          <w:rFonts w:eastAsia="Times New Roman" w:cs="Times New Roman"/>
          <w:color w:val="000000"/>
          <w:lang w:val="en-GB" w:eastAsia="nl-NL"/>
        </w:rPr>
        <w:t xml:space="preserve"> of the knowledge holders and practitioners</w:t>
      </w:r>
      <w:r w:rsidRPr="00B3061D">
        <w:rPr>
          <w:rFonts w:eastAsia="Times New Roman" w:cs="Times New Roman"/>
          <w:color w:val="000000"/>
          <w:lang w:val="en-GB" w:eastAsia="nl-NL"/>
        </w:rPr>
        <w:t xml:space="preserve">. </w:t>
      </w:r>
    </w:p>
    <w:p w14:paraId="14562303" w14:textId="77777777" w:rsidR="00D8347C" w:rsidRPr="00B3061D" w:rsidRDefault="00D8347C" w:rsidP="00B3061D">
      <w:pPr>
        <w:spacing w:after="0" w:line="240" w:lineRule="auto"/>
        <w:rPr>
          <w:lang w:val="en-GB"/>
        </w:rPr>
      </w:pPr>
    </w:p>
    <w:p w14:paraId="4789F804" w14:textId="588B42C2" w:rsidR="00D8347C" w:rsidRPr="00B3061D" w:rsidRDefault="00D8347C" w:rsidP="00B3061D">
      <w:pPr>
        <w:spacing w:after="0" w:line="240" w:lineRule="auto"/>
        <w:rPr>
          <w:lang w:val="en-GB"/>
        </w:rPr>
      </w:pPr>
      <w:r w:rsidRPr="00B3061D">
        <w:rPr>
          <w:lang w:val="en-GB"/>
        </w:rPr>
        <w:t>The publication explains about the</w:t>
      </w:r>
      <w:r w:rsidR="00C53C6D">
        <w:rPr>
          <w:lang w:val="en-GB"/>
        </w:rPr>
        <w:t xml:space="preserve"> </w:t>
      </w:r>
      <w:r w:rsidRPr="00B3061D">
        <w:rPr>
          <w:lang w:val="en-GB"/>
        </w:rPr>
        <w:t>integrated management systems</w:t>
      </w:r>
      <w:r w:rsidR="00C53C6D">
        <w:rPr>
          <w:lang w:val="en-GB"/>
        </w:rPr>
        <w:t xml:space="preserve"> of indigenous peoples and local communities (IPLCs)</w:t>
      </w:r>
      <w:r w:rsidRPr="00B3061D">
        <w:rPr>
          <w:lang w:val="en-GB"/>
        </w:rPr>
        <w:t>, which contribute to many Aichi targets that aspire to achieve sustainable use and conservation of ecosystems and species</w:t>
      </w:r>
      <w:r w:rsidR="00C53C6D">
        <w:rPr>
          <w:lang w:val="en-GB"/>
        </w:rPr>
        <w:t>,</w:t>
      </w:r>
      <w:r w:rsidRPr="00B3061D">
        <w:rPr>
          <w:lang w:val="en-GB"/>
        </w:rPr>
        <w:t xml:space="preserve"> and mitigate climate change effects. It also shares examples of their own initiatives and advances at the local and sometimes </w:t>
      </w:r>
      <w:proofErr w:type="gramStart"/>
      <w:r w:rsidRPr="00B3061D">
        <w:rPr>
          <w:lang w:val="en-GB"/>
        </w:rPr>
        <w:t>national  level</w:t>
      </w:r>
      <w:proofErr w:type="gramEnd"/>
      <w:r w:rsidRPr="00B3061D">
        <w:rPr>
          <w:lang w:val="en-GB"/>
        </w:rPr>
        <w:t xml:space="preserve"> to enhance implementation of CBD targets and decisions. The publication also focuses on IPLC’s active engagement in the development and testing of indicators relevant for biodiversity and </w:t>
      </w:r>
      <w:proofErr w:type="gramStart"/>
      <w:r w:rsidRPr="00B3061D">
        <w:rPr>
          <w:lang w:val="en-GB"/>
        </w:rPr>
        <w:t>well-being</w:t>
      </w:r>
      <w:proofErr w:type="gramEnd"/>
      <w:r w:rsidRPr="00B3061D">
        <w:rPr>
          <w:lang w:val="en-GB"/>
        </w:rPr>
        <w:t xml:space="preserve">, as well as to the monitoring of the </w:t>
      </w:r>
      <w:r w:rsidR="00C53C6D">
        <w:rPr>
          <w:lang w:val="en-GB"/>
        </w:rPr>
        <w:t>2015/2020 targets</w:t>
      </w:r>
      <w:r w:rsidRPr="00B3061D">
        <w:rPr>
          <w:lang w:val="en-GB"/>
        </w:rPr>
        <w:t xml:space="preserve">. The information is drawn from the many community-based case studies and stories, as well as other </w:t>
      </w:r>
      <w:proofErr w:type="gramStart"/>
      <w:r w:rsidRPr="00B3061D">
        <w:rPr>
          <w:lang w:val="en-GB"/>
        </w:rPr>
        <w:t>sources ,</w:t>
      </w:r>
      <w:proofErr w:type="gramEnd"/>
      <w:r w:rsidRPr="00B3061D">
        <w:rPr>
          <w:lang w:val="en-GB"/>
        </w:rPr>
        <w:t xml:space="preserve"> including </w:t>
      </w:r>
      <w:r w:rsidR="00C353ED" w:rsidRPr="00B3061D">
        <w:rPr>
          <w:lang w:val="en-GB"/>
        </w:rPr>
        <w:t xml:space="preserve">reports, research </w:t>
      </w:r>
      <w:r w:rsidRPr="00B3061D">
        <w:rPr>
          <w:lang w:val="en-GB"/>
        </w:rPr>
        <w:t>publications</w:t>
      </w:r>
      <w:r w:rsidR="00C353ED" w:rsidRPr="00B3061D">
        <w:rPr>
          <w:lang w:val="en-GB"/>
        </w:rPr>
        <w:t xml:space="preserve">, </w:t>
      </w:r>
      <w:r w:rsidRPr="00B3061D">
        <w:rPr>
          <w:lang w:val="en-GB"/>
        </w:rPr>
        <w:t xml:space="preserve">articles and videos.  </w:t>
      </w:r>
      <w:r w:rsidR="00047E4C" w:rsidRPr="00C53C6D">
        <w:rPr>
          <w:highlight w:val="yellow"/>
          <w:lang w:val="en-GB"/>
        </w:rPr>
        <w:t>Each of the sections contain</w:t>
      </w:r>
      <w:r w:rsidR="00C353ED" w:rsidRPr="00C53C6D">
        <w:rPr>
          <w:highlight w:val="yellow"/>
          <w:lang w:val="en-GB"/>
        </w:rPr>
        <w:t>s</w:t>
      </w:r>
      <w:r w:rsidR="00047E4C" w:rsidRPr="00C53C6D">
        <w:rPr>
          <w:highlight w:val="yellow"/>
          <w:lang w:val="en-GB"/>
        </w:rPr>
        <w:t xml:space="preserve"> relevant references and recommendations for further reading or viewing</w:t>
      </w:r>
      <w:r w:rsidR="00047E4C" w:rsidRPr="00B3061D">
        <w:rPr>
          <w:lang w:val="en-GB"/>
        </w:rPr>
        <w:t xml:space="preserve">. </w:t>
      </w:r>
    </w:p>
    <w:p w14:paraId="12FC87B3" w14:textId="77777777" w:rsidR="00D8347C" w:rsidRPr="00B3061D" w:rsidRDefault="00D8347C" w:rsidP="00B3061D">
      <w:pPr>
        <w:spacing w:after="0" w:line="240" w:lineRule="auto"/>
        <w:rPr>
          <w:lang w:val="en-GB"/>
        </w:rPr>
      </w:pPr>
    </w:p>
    <w:p w14:paraId="7CEE941F" w14:textId="122321A1" w:rsidR="00D8347C" w:rsidRPr="00B3061D" w:rsidRDefault="00D8347C" w:rsidP="00B3061D">
      <w:pPr>
        <w:spacing w:after="0" w:line="240" w:lineRule="auto"/>
        <w:rPr>
          <w:lang w:val="en-GB"/>
        </w:rPr>
      </w:pPr>
      <w:r w:rsidRPr="00B3061D">
        <w:rPr>
          <w:lang w:val="en-GB"/>
        </w:rPr>
        <w:t>The key message of the report is that the role of I</w:t>
      </w:r>
      <w:r w:rsidR="00C53C6D">
        <w:rPr>
          <w:lang w:val="en-GB"/>
        </w:rPr>
        <w:t>P</w:t>
      </w:r>
      <w:r w:rsidRPr="00B3061D">
        <w:rPr>
          <w:lang w:val="en-GB"/>
        </w:rPr>
        <w:t>LC</w:t>
      </w:r>
      <w:r w:rsidR="00B14BE8" w:rsidRPr="00B3061D">
        <w:rPr>
          <w:lang w:val="en-GB"/>
        </w:rPr>
        <w:t>s</w:t>
      </w:r>
      <w:r w:rsidRPr="00B3061D">
        <w:rPr>
          <w:lang w:val="en-GB"/>
        </w:rPr>
        <w:t xml:space="preserve"> in the CBD goes much beyond Target 18 on traditional knowledge, </w:t>
      </w:r>
      <w:r w:rsidR="00C53C6D">
        <w:rPr>
          <w:lang w:val="en-GB"/>
        </w:rPr>
        <w:t>and</w:t>
      </w:r>
      <w:r w:rsidRPr="00B3061D">
        <w:rPr>
          <w:lang w:val="en-GB"/>
        </w:rPr>
        <w:t xml:space="preserve"> that rather indigenous knowledge and customary practices are a centrally important and cross-cutting theme that can potentially have a major impact in terms of implementation of </w:t>
      </w:r>
      <w:r w:rsidR="00C353ED" w:rsidRPr="00B3061D">
        <w:rPr>
          <w:lang w:val="en-GB"/>
        </w:rPr>
        <w:t xml:space="preserve">(nearly) </w:t>
      </w:r>
      <w:r w:rsidRPr="00B3061D">
        <w:rPr>
          <w:lang w:val="en-GB"/>
        </w:rPr>
        <w:t>all of the 20 targets.</w:t>
      </w:r>
    </w:p>
    <w:p w14:paraId="7ED670DC" w14:textId="77777777" w:rsidR="00683740" w:rsidRPr="00B3061D" w:rsidRDefault="00683740" w:rsidP="00B3061D">
      <w:pPr>
        <w:spacing w:after="0" w:line="240" w:lineRule="auto"/>
        <w:rPr>
          <w:lang w:val="en-GB"/>
        </w:rPr>
      </w:pPr>
    </w:p>
    <w:p w14:paraId="2F6BDF51" w14:textId="49CE2C6C" w:rsidR="001F359F" w:rsidRPr="00B3061D" w:rsidRDefault="00D8347C" w:rsidP="00B3061D">
      <w:pPr>
        <w:spacing w:after="0" w:line="240" w:lineRule="auto"/>
        <w:rPr>
          <w:lang w:val="en-GB"/>
        </w:rPr>
      </w:pPr>
      <w:r w:rsidRPr="00B3061D">
        <w:rPr>
          <w:lang w:val="en-GB"/>
        </w:rPr>
        <w:t xml:space="preserve">The report </w:t>
      </w:r>
      <w:r w:rsidR="00B914F8" w:rsidRPr="00B3061D">
        <w:rPr>
          <w:lang w:val="en-GB"/>
        </w:rPr>
        <w:t xml:space="preserve">also </w:t>
      </w:r>
      <w:r w:rsidRPr="00B3061D">
        <w:rPr>
          <w:lang w:val="en-GB"/>
        </w:rPr>
        <w:t xml:space="preserve">provides </w:t>
      </w:r>
      <w:r w:rsidR="00B14BE8" w:rsidRPr="00B3061D">
        <w:rPr>
          <w:lang w:val="en-GB"/>
        </w:rPr>
        <w:t xml:space="preserve">observations and concerns on </w:t>
      </w:r>
      <w:r w:rsidR="00A50577" w:rsidRPr="00B3061D">
        <w:rPr>
          <w:lang w:val="en-GB"/>
        </w:rPr>
        <w:t xml:space="preserve">relevant </w:t>
      </w:r>
      <w:r w:rsidR="00B14BE8" w:rsidRPr="00B3061D">
        <w:rPr>
          <w:lang w:val="en-GB"/>
        </w:rPr>
        <w:t xml:space="preserve">key conclusions from GBO4, and </w:t>
      </w:r>
      <w:proofErr w:type="gramStart"/>
      <w:r w:rsidR="00B14BE8" w:rsidRPr="00B3061D">
        <w:rPr>
          <w:lang w:val="en-GB"/>
        </w:rPr>
        <w:t>shar</w:t>
      </w:r>
      <w:r w:rsidR="00047E4C" w:rsidRPr="00B3061D">
        <w:rPr>
          <w:lang w:val="en-GB"/>
        </w:rPr>
        <w:t xml:space="preserve">es </w:t>
      </w:r>
      <w:r w:rsidR="00B14BE8" w:rsidRPr="00B3061D">
        <w:rPr>
          <w:lang w:val="en-GB"/>
        </w:rPr>
        <w:t xml:space="preserve"> recommendations</w:t>
      </w:r>
      <w:proofErr w:type="gramEnd"/>
      <w:r w:rsidR="00B14BE8" w:rsidRPr="00B3061D">
        <w:rPr>
          <w:lang w:val="en-GB"/>
        </w:rPr>
        <w:t xml:space="preserve"> about what needs to happen to move towards achievement of the various targets</w:t>
      </w:r>
      <w:r w:rsidR="001F359F" w:rsidRPr="00B3061D">
        <w:rPr>
          <w:lang w:val="en-GB"/>
        </w:rPr>
        <w:t>.</w:t>
      </w:r>
    </w:p>
    <w:p w14:paraId="66FD1A2B" w14:textId="77777777" w:rsidR="001F359F" w:rsidRPr="00B3061D" w:rsidRDefault="001F359F" w:rsidP="00B3061D">
      <w:pPr>
        <w:spacing w:after="0" w:line="240" w:lineRule="auto"/>
        <w:rPr>
          <w:lang w:val="en-GB"/>
        </w:rPr>
      </w:pPr>
    </w:p>
    <w:p w14:paraId="36708268" w14:textId="377C1E8E" w:rsidR="00D8347C" w:rsidRDefault="001F359F" w:rsidP="00B3061D">
      <w:pPr>
        <w:spacing w:after="0" w:line="240" w:lineRule="auto"/>
        <w:rPr>
          <w:lang w:val="en-GB"/>
        </w:rPr>
      </w:pPr>
      <w:r w:rsidRPr="00C53C6D">
        <w:rPr>
          <w:highlight w:val="yellow"/>
          <w:lang w:val="en-GB"/>
        </w:rPr>
        <w:t xml:space="preserve">It is designed together with an online publication/reference site that will continue to be updated and expanded to track progress beyond the Strategic Plan mid-term review. </w:t>
      </w:r>
      <w:r w:rsidR="00B14BE8" w:rsidRPr="00C53C6D">
        <w:rPr>
          <w:highlight w:val="yellow"/>
          <w:lang w:val="en-GB"/>
        </w:rPr>
        <w:t xml:space="preserve"> </w:t>
      </w:r>
      <w:r w:rsidR="00C53C6D" w:rsidRPr="00C53C6D">
        <w:rPr>
          <w:highlight w:val="yellow"/>
          <w:lang w:val="en-GB"/>
        </w:rPr>
        <w:t>A ‘library’ of relevant material will be kept here with tags of relevant targets, as well as the most important issues addressed by the materials</w:t>
      </w:r>
      <w:proofErr w:type="gramStart"/>
      <w:r w:rsidR="00C53C6D" w:rsidRPr="00C53C6D">
        <w:rPr>
          <w:highlight w:val="yellow"/>
          <w:lang w:val="en-GB"/>
        </w:rPr>
        <w:t>.</w:t>
      </w:r>
      <w:r w:rsidR="00C53C6D">
        <w:rPr>
          <w:lang w:val="en-GB"/>
        </w:rPr>
        <w:t>[</w:t>
      </w:r>
      <w:proofErr w:type="gramEnd"/>
      <w:r w:rsidR="0099713E">
        <w:rPr>
          <w:lang w:val="en-GB"/>
        </w:rPr>
        <w:t xml:space="preserve">will be after </w:t>
      </w:r>
      <w:r w:rsidR="00C53C6D">
        <w:rPr>
          <w:lang w:val="en-GB"/>
        </w:rPr>
        <w:t xml:space="preserve">COP12] </w:t>
      </w:r>
    </w:p>
    <w:p w14:paraId="640F474D" w14:textId="77777777" w:rsidR="00125663" w:rsidRPr="00B3061D" w:rsidRDefault="00125663" w:rsidP="00B3061D">
      <w:pPr>
        <w:spacing w:after="0" w:line="240" w:lineRule="auto"/>
        <w:rPr>
          <w:lang w:val="en-GB"/>
        </w:rPr>
      </w:pPr>
    </w:p>
    <w:p w14:paraId="5C3EE111" w14:textId="1D982D12" w:rsidR="00FB18A4" w:rsidRPr="00B3061D" w:rsidRDefault="00F17640" w:rsidP="00626832">
      <w:pPr>
        <w:pStyle w:val="ListParagraph"/>
        <w:numPr>
          <w:ilvl w:val="0"/>
          <w:numId w:val="3"/>
        </w:numPr>
        <w:pBdr>
          <w:bottom w:val="single" w:sz="4" w:space="1" w:color="auto"/>
        </w:pBdr>
        <w:ind w:left="0"/>
        <w:rPr>
          <w:rFonts w:cs="Arial"/>
          <w:b/>
          <w:bCs/>
          <w:color w:val="0070C0"/>
          <w:sz w:val="22"/>
          <w:szCs w:val="22"/>
          <w:lang w:val="en-GB"/>
        </w:rPr>
      </w:pPr>
      <w:r w:rsidRPr="00B3061D">
        <w:rPr>
          <w:b/>
          <w:color w:val="0070C0"/>
          <w:sz w:val="22"/>
          <w:szCs w:val="22"/>
          <w:lang w:val="en-GB"/>
        </w:rPr>
        <w:lastRenderedPageBreak/>
        <w:t>I</w:t>
      </w:r>
      <w:r w:rsidR="007E5883" w:rsidRPr="00B3061D">
        <w:rPr>
          <w:b/>
          <w:color w:val="0070C0"/>
          <w:sz w:val="22"/>
          <w:szCs w:val="22"/>
          <w:lang w:val="en-GB"/>
        </w:rPr>
        <w:t xml:space="preserve">ntegrated </w:t>
      </w:r>
      <w:r w:rsidRPr="00B3061D">
        <w:rPr>
          <w:b/>
          <w:color w:val="0070C0"/>
          <w:sz w:val="22"/>
          <w:szCs w:val="22"/>
          <w:lang w:val="en-GB"/>
        </w:rPr>
        <w:t>natu</w:t>
      </w:r>
      <w:r w:rsidR="00E916D2" w:rsidRPr="00B3061D">
        <w:rPr>
          <w:b/>
          <w:color w:val="0070C0"/>
          <w:sz w:val="22"/>
          <w:szCs w:val="22"/>
          <w:lang w:val="en-GB"/>
        </w:rPr>
        <w:t>ral resource management systems</w:t>
      </w:r>
      <w:r w:rsidR="007E5883" w:rsidRPr="00B3061D">
        <w:rPr>
          <w:b/>
          <w:color w:val="0070C0"/>
          <w:sz w:val="22"/>
          <w:szCs w:val="22"/>
          <w:lang w:val="en-GB"/>
        </w:rPr>
        <w:t xml:space="preserve"> of indigenous peoples and local communities</w:t>
      </w:r>
      <w:r w:rsidR="007E7A25" w:rsidRPr="00B3061D">
        <w:rPr>
          <w:b/>
          <w:color w:val="0070C0"/>
          <w:sz w:val="22"/>
          <w:szCs w:val="22"/>
          <w:lang w:val="en-GB"/>
        </w:rPr>
        <w:t>: effective for ecosystems and livelihoods</w:t>
      </w:r>
      <w:r w:rsidR="007E5883" w:rsidRPr="00B3061D">
        <w:rPr>
          <w:b/>
          <w:color w:val="0070C0"/>
          <w:sz w:val="22"/>
          <w:szCs w:val="22"/>
          <w:lang w:val="en-GB"/>
        </w:rPr>
        <w:t xml:space="preserve"> </w:t>
      </w:r>
    </w:p>
    <w:p w14:paraId="4AA435BF" w14:textId="77777777" w:rsidR="005720F6" w:rsidRPr="00B3061D" w:rsidRDefault="005720F6" w:rsidP="00B3061D">
      <w:pPr>
        <w:pStyle w:val="ListParagraph"/>
        <w:shd w:val="clear" w:color="auto" w:fill="FFFFFF"/>
        <w:ind w:left="0"/>
        <w:rPr>
          <w:rFonts w:cs="Arial"/>
          <w:color w:val="333333"/>
          <w:sz w:val="22"/>
          <w:szCs w:val="22"/>
          <w:lang w:val="en-GB"/>
        </w:rPr>
      </w:pPr>
    </w:p>
    <w:p w14:paraId="734D3A64" w14:textId="0AD97071" w:rsidR="0042362A" w:rsidRPr="00B3061D" w:rsidRDefault="00365EC7" w:rsidP="00B3061D">
      <w:pPr>
        <w:shd w:val="clear" w:color="auto" w:fill="FFFFFF"/>
        <w:spacing w:after="0" w:line="240" w:lineRule="auto"/>
        <w:rPr>
          <w:rFonts w:cs="Arial"/>
          <w:b/>
          <w:color w:val="333333"/>
          <w:lang w:val="en-GB"/>
        </w:rPr>
      </w:pPr>
      <w:r w:rsidRPr="00B3061D">
        <w:rPr>
          <w:rFonts w:cs="Arial"/>
          <w:b/>
          <w:color w:val="333333"/>
          <w:lang w:val="en-GB"/>
        </w:rPr>
        <w:t xml:space="preserve">What are </w:t>
      </w:r>
      <w:r w:rsidR="0042362A" w:rsidRPr="00B3061D">
        <w:rPr>
          <w:rFonts w:cs="Arial"/>
          <w:b/>
          <w:color w:val="333333"/>
          <w:lang w:val="en-GB"/>
        </w:rPr>
        <w:t>integrated management</w:t>
      </w:r>
      <w:r w:rsidR="001474FD" w:rsidRPr="00B3061D">
        <w:rPr>
          <w:rFonts w:cs="Arial"/>
          <w:b/>
          <w:color w:val="333333"/>
          <w:lang w:val="en-GB"/>
        </w:rPr>
        <w:t xml:space="preserve"> </w:t>
      </w:r>
      <w:r w:rsidR="00B54FCF" w:rsidRPr="00B3061D">
        <w:rPr>
          <w:rFonts w:cs="Arial"/>
          <w:b/>
          <w:color w:val="333333"/>
          <w:lang w:val="en-GB"/>
        </w:rPr>
        <w:t xml:space="preserve">systems </w:t>
      </w:r>
      <w:r w:rsidR="001474FD" w:rsidRPr="00B3061D">
        <w:rPr>
          <w:rFonts w:cs="Arial"/>
          <w:b/>
          <w:color w:val="333333"/>
          <w:lang w:val="en-GB"/>
        </w:rPr>
        <w:t xml:space="preserve">and </w:t>
      </w:r>
      <w:r w:rsidRPr="00B3061D">
        <w:rPr>
          <w:rFonts w:cs="Arial"/>
          <w:b/>
          <w:color w:val="333333"/>
          <w:lang w:val="en-GB"/>
        </w:rPr>
        <w:t>how are they linked to the CBD ecosystem approach?</w:t>
      </w:r>
    </w:p>
    <w:p w14:paraId="3A8C45B6" w14:textId="5D1F6834" w:rsidR="00B54FCF" w:rsidRPr="00B3061D" w:rsidRDefault="00B54FCF" w:rsidP="00B3061D">
      <w:pPr>
        <w:shd w:val="clear" w:color="auto" w:fill="FFFFFF"/>
        <w:spacing w:after="0" w:line="240" w:lineRule="auto"/>
        <w:rPr>
          <w:rFonts w:cs="Arial"/>
          <w:lang w:val="en-GB"/>
        </w:rPr>
      </w:pPr>
      <w:r w:rsidRPr="00B3061D">
        <w:rPr>
          <w:rFonts w:cs="Arial"/>
          <w:color w:val="333333"/>
          <w:lang w:val="en-GB"/>
        </w:rPr>
        <w:t xml:space="preserve">The ecosystem approach, one of the CBD’s guiding principles, is defined as  </w:t>
      </w:r>
      <w:r w:rsidRPr="00B3061D">
        <w:rPr>
          <w:rFonts w:cs="Arial"/>
          <w:iCs/>
          <w:color w:val="333333"/>
          <w:lang w:val="en-GB"/>
        </w:rPr>
        <w:t>‘a strategy for the integrated management of land, water and living resources that promotes conservation and sustainable use in an equitable way’</w:t>
      </w:r>
      <w:r w:rsidR="0023345A" w:rsidRPr="00B3061D">
        <w:rPr>
          <w:rFonts w:cs="Arial"/>
          <w:iCs/>
          <w:color w:val="333333"/>
          <w:lang w:val="en-GB"/>
        </w:rPr>
        <w:t xml:space="preserve"> </w:t>
      </w:r>
      <w:r w:rsidRPr="00B3061D">
        <w:rPr>
          <w:rFonts w:cs="Arial"/>
          <w:iCs/>
          <w:color w:val="333333"/>
          <w:lang w:val="en-GB"/>
        </w:rPr>
        <w:t xml:space="preserve">and recognizes that </w:t>
      </w:r>
      <w:r w:rsidR="0023345A" w:rsidRPr="00B3061D">
        <w:rPr>
          <w:rFonts w:cs="Arial"/>
          <w:iCs/>
          <w:color w:val="333333"/>
          <w:lang w:val="en-GB"/>
        </w:rPr>
        <w:t>‘</w:t>
      </w:r>
      <w:r w:rsidRPr="00B3061D">
        <w:rPr>
          <w:rFonts w:cs="Arial"/>
          <w:iCs/>
          <w:color w:val="333333"/>
          <w:lang w:val="en-GB"/>
        </w:rPr>
        <w:t>humans, with their cultural diversity, are an integral component of many ecosystems’</w:t>
      </w:r>
      <w:r w:rsidRPr="00B3061D">
        <w:rPr>
          <w:rFonts w:cs="Arial"/>
          <w:color w:val="333333"/>
          <w:lang w:val="en-GB"/>
        </w:rPr>
        <w:t xml:space="preserve">. </w:t>
      </w:r>
      <w:r w:rsidRPr="00B3061D">
        <w:rPr>
          <w:rStyle w:val="FootnoteReference"/>
          <w:rFonts w:cs="Arial"/>
          <w:color w:val="333333"/>
          <w:lang w:val="en-GB"/>
        </w:rPr>
        <w:footnoteReference w:id="2"/>
      </w:r>
      <w:r w:rsidR="0023345A" w:rsidRPr="00B3061D">
        <w:rPr>
          <w:rFonts w:cs="Arial"/>
          <w:color w:val="333333"/>
          <w:lang w:val="en-GB"/>
        </w:rPr>
        <w:t xml:space="preserve"> </w:t>
      </w:r>
      <w:r w:rsidRPr="00B3061D">
        <w:rPr>
          <w:rFonts w:cs="Arial"/>
          <w:bCs/>
          <w:lang w:val="en-GB"/>
        </w:rPr>
        <w:t xml:space="preserve">The ecosystem approach takes as its starting point the fact that an ecosystem is one entity.  </w:t>
      </w:r>
      <w:r w:rsidRPr="00B3061D">
        <w:rPr>
          <w:rFonts w:cs="Arial"/>
          <w:lang w:val="en-GB"/>
        </w:rPr>
        <w:t xml:space="preserve">Recognising that in an ecosystem all living and non-living parts are </w:t>
      </w:r>
      <w:r w:rsidRPr="00B3061D">
        <w:rPr>
          <w:rFonts w:cs="Arial"/>
          <w:color w:val="333333"/>
          <w:lang w:val="en-GB"/>
        </w:rPr>
        <w:t xml:space="preserve">connected, interacting and </w:t>
      </w:r>
      <w:r w:rsidRPr="00B3061D">
        <w:rPr>
          <w:rFonts w:cs="Arial"/>
          <w:lang w:val="en-GB"/>
        </w:rPr>
        <w:t xml:space="preserve">interdependent, it looks not just at certain species or at a part of the ecosystem, but instead approaches it as one functional unit. </w:t>
      </w:r>
      <w:r w:rsidRPr="00B3061D">
        <w:rPr>
          <w:rFonts w:cs="Arial"/>
          <w:color w:val="333333"/>
          <w:lang w:val="en-GB"/>
        </w:rPr>
        <w:t xml:space="preserve">Crucially this includes the people who live within it depending on the ecosystem for their survival and for their livelihoods. </w:t>
      </w:r>
      <w:r w:rsidRPr="00B3061D">
        <w:rPr>
          <w:rFonts w:cs="Arial"/>
          <w:bCs/>
          <w:lang w:val="en-GB"/>
        </w:rPr>
        <w:t xml:space="preserve">The ecosystem approach does not focus merely on conservation, but instead places human needs at the centre of biodiversity management.  </w:t>
      </w:r>
      <w:r w:rsidRPr="00B3061D">
        <w:rPr>
          <w:rFonts w:cs="Arial"/>
          <w:lang w:val="en-GB"/>
        </w:rPr>
        <w:t xml:space="preserve">By doing so it makes a strong link between the livelihoods of people and better management of the </w:t>
      </w:r>
      <w:proofErr w:type="gramStart"/>
      <w:r w:rsidRPr="00B3061D">
        <w:rPr>
          <w:rFonts w:cs="Arial"/>
          <w:lang w:val="en-GB"/>
        </w:rPr>
        <w:t>Earth’s  ecosystems</w:t>
      </w:r>
      <w:proofErr w:type="gramEnd"/>
      <w:r w:rsidRPr="00B3061D">
        <w:rPr>
          <w:rFonts w:cs="Arial"/>
          <w:lang w:val="en-GB"/>
        </w:rPr>
        <w:t>.</w:t>
      </w:r>
    </w:p>
    <w:p w14:paraId="325B2797" w14:textId="77777777" w:rsidR="00B54FCF" w:rsidRPr="00B3061D" w:rsidRDefault="00B54FCF" w:rsidP="00B3061D">
      <w:pPr>
        <w:widowControl w:val="0"/>
        <w:autoSpaceDE w:val="0"/>
        <w:autoSpaceDN w:val="0"/>
        <w:adjustRightInd w:val="0"/>
        <w:spacing w:after="0" w:line="240" w:lineRule="auto"/>
        <w:rPr>
          <w:rFonts w:cs="Arial"/>
          <w:lang w:val="en-GB"/>
        </w:rPr>
      </w:pPr>
    </w:p>
    <w:p w14:paraId="13744B0D" w14:textId="1E0F0F7F" w:rsidR="00B36112" w:rsidRPr="00B3061D" w:rsidRDefault="00B54FCF" w:rsidP="00B3061D">
      <w:pPr>
        <w:widowControl w:val="0"/>
        <w:autoSpaceDE w:val="0"/>
        <w:autoSpaceDN w:val="0"/>
        <w:adjustRightInd w:val="0"/>
        <w:spacing w:after="0" w:line="240" w:lineRule="auto"/>
        <w:rPr>
          <w:rFonts w:cs="Arial"/>
          <w:bCs/>
          <w:lang w:val="en-GB"/>
        </w:rPr>
      </w:pPr>
      <w:r w:rsidRPr="00B3061D">
        <w:rPr>
          <w:rFonts w:cs="Arial"/>
          <w:color w:val="333333"/>
          <w:lang w:val="en-GB"/>
        </w:rPr>
        <w:t>This interpretation is extremely close to the cos</w:t>
      </w:r>
      <w:r w:rsidR="00F02F1E">
        <w:rPr>
          <w:rFonts w:cs="Arial"/>
          <w:color w:val="333333"/>
          <w:lang w:val="en-GB"/>
        </w:rPr>
        <w:t>mology and way of life of many i</w:t>
      </w:r>
      <w:r w:rsidRPr="00B3061D">
        <w:rPr>
          <w:rFonts w:cs="Arial"/>
          <w:color w:val="333333"/>
          <w:lang w:val="en-GB"/>
        </w:rPr>
        <w:t xml:space="preserve">ndigenous </w:t>
      </w:r>
      <w:r w:rsidR="00F02F1E">
        <w:rPr>
          <w:rFonts w:cs="Arial"/>
          <w:color w:val="333333"/>
          <w:lang w:val="en-GB"/>
        </w:rPr>
        <w:t>p</w:t>
      </w:r>
      <w:r w:rsidRPr="00B3061D">
        <w:rPr>
          <w:rFonts w:cs="Arial"/>
          <w:color w:val="333333"/>
          <w:lang w:val="en-GB"/>
        </w:rPr>
        <w:t>eoples and local communities across the planet.</w:t>
      </w:r>
      <w:r w:rsidR="00F83020" w:rsidRPr="00B3061D">
        <w:rPr>
          <w:rStyle w:val="FootnoteReference"/>
          <w:rFonts w:cs="Arial"/>
          <w:color w:val="333333"/>
          <w:lang w:val="en-GB"/>
        </w:rPr>
        <w:footnoteReference w:id="3"/>
      </w:r>
      <w:r w:rsidRPr="00B3061D">
        <w:rPr>
          <w:rFonts w:cs="Arial"/>
          <w:color w:val="333333"/>
          <w:lang w:val="en-GB"/>
        </w:rPr>
        <w:t xml:space="preserve">  They have been </w:t>
      </w:r>
      <w:r w:rsidRPr="00B3061D">
        <w:rPr>
          <w:rFonts w:cs="Arial"/>
          <w:lang w:val="en-US"/>
        </w:rPr>
        <w:t xml:space="preserve">practicing holistic, integrated management systems for hundreds or thousands of years. </w:t>
      </w:r>
      <w:r w:rsidRPr="00B3061D">
        <w:rPr>
          <w:rFonts w:cs="Arial"/>
          <w:bCs/>
          <w:lang w:val="en-GB"/>
        </w:rPr>
        <w:t xml:space="preserve">For many indigenous peoples and local communities this approach is simple logic. </w:t>
      </w:r>
      <w:r w:rsidRPr="00B3061D">
        <w:rPr>
          <w:rFonts w:cs="Arial"/>
          <w:lang w:val="en-GB"/>
        </w:rPr>
        <w:t xml:space="preserve"> The management systems are based on the understanding and respect for the fact that all parts of the natural environment need the other parts and that a balance must be maintained </w:t>
      </w:r>
      <w:proofErr w:type="gramStart"/>
      <w:r w:rsidRPr="00B3061D">
        <w:rPr>
          <w:rFonts w:cs="Arial"/>
          <w:lang w:val="en-GB"/>
        </w:rPr>
        <w:t>between  conservation</w:t>
      </w:r>
      <w:proofErr w:type="gramEnd"/>
      <w:r w:rsidRPr="00B3061D">
        <w:rPr>
          <w:rFonts w:cs="Arial"/>
          <w:lang w:val="en-GB"/>
        </w:rPr>
        <w:t xml:space="preserve"> and exploitation.  The ecosystem is their source of living and sustainable use is key to the sustainability of their communities.  </w:t>
      </w:r>
      <w:r w:rsidR="00427399" w:rsidRPr="00B3061D">
        <w:rPr>
          <w:rFonts w:cs="Arial"/>
          <w:bCs/>
          <w:lang w:val="en-GB"/>
        </w:rPr>
        <w:t>Our evolving but still inadequate knowledge of complex and dynamic ecosystems</w:t>
      </w:r>
      <w:r w:rsidR="00427399" w:rsidRPr="00B3061D">
        <w:rPr>
          <w:rStyle w:val="FootnoteReference"/>
          <w:rFonts w:cs="Arial"/>
          <w:bCs/>
          <w:lang w:val="en-GB"/>
        </w:rPr>
        <w:footnoteReference w:id="4"/>
      </w:r>
      <w:r w:rsidR="00427399" w:rsidRPr="00B3061D">
        <w:rPr>
          <w:rFonts w:cs="Arial"/>
          <w:bCs/>
          <w:lang w:val="en-GB"/>
        </w:rPr>
        <w:t xml:space="preserve"> means that the traditional knowledge and adaptive management of indigenous peoples and local communities is vital.  </w:t>
      </w:r>
      <w:r w:rsidR="00B36112" w:rsidRPr="00B3061D">
        <w:rPr>
          <w:rFonts w:cs="Arial"/>
          <w:lang w:val="en-GB"/>
        </w:rPr>
        <w:t>Research (backed up by case studies in the CBD online sourcebook</w:t>
      </w:r>
      <w:r w:rsidR="00B36112" w:rsidRPr="00B3061D">
        <w:rPr>
          <w:rStyle w:val="FootnoteReference"/>
          <w:rFonts w:cs="Arial"/>
          <w:lang w:val="en-GB"/>
        </w:rPr>
        <w:footnoteReference w:id="5"/>
      </w:r>
      <w:r w:rsidR="00B36112" w:rsidRPr="00B3061D">
        <w:rPr>
          <w:rFonts w:cs="Arial"/>
          <w:lang w:val="en-GB"/>
        </w:rPr>
        <w:t xml:space="preserve">) proves that </w:t>
      </w:r>
      <w:r w:rsidR="00B36112" w:rsidRPr="00B3061D">
        <w:rPr>
          <w:rFonts w:cs="Arial"/>
          <w:i/>
          <w:iCs/>
          <w:lang w:val="en-GB"/>
        </w:rPr>
        <w:t>the “clearest applications of the ecosystem approach occur at the local level, where communities can participate more directly”</w:t>
      </w:r>
      <w:r w:rsidR="00B36112" w:rsidRPr="00B3061D">
        <w:rPr>
          <w:rStyle w:val="FootnoteReference"/>
          <w:rFonts w:cs="Arial"/>
          <w:i/>
          <w:iCs/>
          <w:lang w:val="en-GB"/>
        </w:rPr>
        <w:footnoteReference w:id="6"/>
      </w:r>
      <w:proofErr w:type="gramStart"/>
      <w:r w:rsidR="00B36112" w:rsidRPr="00B3061D">
        <w:rPr>
          <w:rFonts w:cs="Arial"/>
          <w:i/>
          <w:iCs/>
          <w:lang w:val="en-GB"/>
        </w:rPr>
        <w:t xml:space="preserve"> .</w:t>
      </w:r>
      <w:proofErr w:type="gramEnd"/>
      <w:r w:rsidR="00B36112" w:rsidRPr="00B3061D">
        <w:rPr>
          <w:rFonts w:cs="Arial"/>
          <w:lang w:val="en-US"/>
        </w:rPr>
        <w:t xml:space="preserve"> This is no</w:t>
      </w:r>
      <w:r w:rsidR="00F02F1E">
        <w:rPr>
          <w:rFonts w:cs="Arial"/>
          <w:lang w:val="en-US"/>
        </w:rPr>
        <w:t>t surprising, given indigenous p</w:t>
      </w:r>
      <w:r w:rsidR="00B36112" w:rsidRPr="00B3061D">
        <w:rPr>
          <w:rFonts w:cs="Arial"/>
          <w:lang w:val="en-US"/>
        </w:rPr>
        <w:t xml:space="preserve">eoples’ </w:t>
      </w:r>
      <w:r w:rsidR="00B36112" w:rsidRPr="00B3061D">
        <w:rPr>
          <w:rFonts w:cs="Arial"/>
          <w:lang w:val="en-GB"/>
        </w:rPr>
        <w:t>knowledge and experience of the complex functions of ecosystems.</w:t>
      </w:r>
    </w:p>
    <w:p w14:paraId="499E49F5" w14:textId="77777777" w:rsidR="00DD0A17" w:rsidRPr="00B3061D" w:rsidRDefault="00DD0A17" w:rsidP="00B3061D">
      <w:pPr>
        <w:spacing w:after="0" w:line="240" w:lineRule="auto"/>
        <w:rPr>
          <w:rFonts w:eastAsia="Times New Roman" w:cs="Tahoma"/>
          <w:color w:val="000000"/>
          <w:lang w:val="en-GB" w:eastAsia="nl-NL"/>
        </w:rPr>
      </w:pPr>
    </w:p>
    <w:p w14:paraId="3945FCAC" w14:textId="480B3CF3" w:rsidR="00BB2FFD" w:rsidRDefault="00BB2FFD" w:rsidP="00BB2FFD">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70C0"/>
          <w:lang w:val="en-GB" w:eastAsia="nl-NL"/>
        </w:rPr>
      </w:pPr>
      <w:r>
        <w:rPr>
          <w:rFonts w:eastAsia="Times New Roman" w:cs="Tahoma"/>
          <w:color w:val="0070C0"/>
          <w:lang w:val="en-GB" w:eastAsia="nl-NL"/>
        </w:rPr>
        <w:t>Box</w:t>
      </w:r>
      <w:r w:rsidR="00DD0A17" w:rsidRPr="00B3061D">
        <w:rPr>
          <w:rFonts w:eastAsia="Times New Roman" w:cs="Tahoma"/>
          <w:color w:val="0070C0"/>
          <w:lang w:val="en-GB" w:eastAsia="nl-NL"/>
        </w:rPr>
        <w:t xml:space="preserve">: </w:t>
      </w:r>
    </w:p>
    <w:p w14:paraId="11681218" w14:textId="4CFB31DE" w:rsidR="00DD0A17" w:rsidRDefault="00DD0A17" w:rsidP="00BB2FFD">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lang w:val="en-GB" w:eastAsia="nl-NL"/>
        </w:rPr>
      </w:pPr>
      <w:r w:rsidRPr="00B3061D">
        <w:rPr>
          <w:rFonts w:eastAsia="Times New Roman" w:cs="Tahoma"/>
          <w:color w:val="000000"/>
          <w:lang w:val="en-GB" w:eastAsia="nl-NL"/>
        </w:rPr>
        <w:t>IFAD released an analysis of 1095 proposals for solutions to rural poverty that were submitted to them by indigenous peoples and their organisations. Most of these proposals had a holistic perspective, with a strong focus on sustainability, and many of the proposed activities included integrated approaches.</w:t>
      </w:r>
      <w:r w:rsidRPr="00B3061D">
        <w:rPr>
          <w:rStyle w:val="FootnoteReference"/>
          <w:rFonts w:eastAsia="Times New Roman" w:cs="Tahoma"/>
          <w:color w:val="000000"/>
          <w:lang w:val="en-GB" w:eastAsia="nl-NL"/>
        </w:rPr>
        <w:footnoteReference w:id="7"/>
      </w:r>
      <w:r w:rsidRPr="00B3061D">
        <w:rPr>
          <w:rFonts w:eastAsia="Times New Roman" w:cs="Tahoma"/>
          <w:color w:val="000000"/>
          <w:lang w:val="en-GB" w:eastAsia="nl-NL"/>
        </w:rPr>
        <w:t xml:space="preserve">  </w:t>
      </w:r>
      <w:proofErr w:type="gramStart"/>
      <w:r w:rsidRPr="00B3061D">
        <w:rPr>
          <w:rFonts w:eastAsia="Times New Roman" w:cs="Tahoma"/>
          <w:color w:val="000000"/>
          <w:highlight w:val="yellow"/>
          <w:lang w:val="en-GB" w:eastAsia="nl-NL"/>
        </w:rPr>
        <w:t>Add  some</w:t>
      </w:r>
      <w:proofErr w:type="gramEnd"/>
      <w:r w:rsidRPr="00B3061D">
        <w:rPr>
          <w:rFonts w:eastAsia="Times New Roman" w:cs="Tahoma"/>
          <w:color w:val="000000"/>
          <w:highlight w:val="yellow"/>
          <w:lang w:val="en-GB" w:eastAsia="nl-NL"/>
        </w:rPr>
        <w:t xml:space="preserve"> examples</w:t>
      </w:r>
      <w:r w:rsidRPr="00B3061D">
        <w:rPr>
          <w:rFonts w:eastAsia="Times New Roman" w:cs="Tahoma"/>
          <w:color w:val="000000"/>
          <w:lang w:val="en-GB" w:eastAsia="nl-NL"/>
        </w:rPr>
        <w:t xml:space="preserve">. </w:t>
      </w:r>
    </w:p>
    <w:p w14:paraId="3B0FE4BA" w14:textId="77777777" w:rsidR="00BB2FFD" w:rsidRPr="00B3061D" w:rsidRDefault="00BB2FFD" w:rsidP="00BB2FFD">
      <w:pPr>
        <w:pBdr>
          <w:top w:val="single" w:sz="4" w:space="1" w:color="auto"/>
          <w:left w:val="single" w:sz="4" w:space="4" w:color="auto"/>
          <w:bottom w:val="single" w:sz="4" w:space="1" w:color="auto"/>
          <w:right w:val="single" w:sz="4" w:space="4" w:color="auto"/>
        </w:pBdr>
        <w:spacing w:after="0" w:line="240" w:lineRule="auto"/>
        <w:rPr>
          <w:rFonts w:cs="Arial"/>
          <w:lang w:val="en-US"/>
        </w:rPr>
      </w:pPr>
    </w:p>
    <w:p w14:paraId="49E06F0A" w14:textId="0E2099D4" w:rsidR="00B54FCF" w:rsidRPr="00B3061D" w:rsidRDefault="00B54FCF" w:rsidP="00B3061D">
      <w:pPr>
        <w:shd w:val="clear" w:color="auto" w:fill="FFFFFF"/>
        <w:spacing w:after="0" w:line="240" w:lineRule="auto"/>
        <w:rPr>
          <w:rFonts w:cs="Arial"/>
          <w:color w:val="333333"/>
          <w:lang w:val="en-GB"/>
        </w:rPr>
      </w:pPr>
    </w:p>
    <w:p w14:paraId="0DC0A296" w14:textId="2402E1AB" w:rsidR="00CD53EA" w:rsidRPr="00B3061D" w:rsidRDefault="007E7A25" w:rsidP="00B3061D">
      <w:pPr>
        <w:spacing w:after="0" w:line="240" w:lineRule="auto"/>
        <w:rPr>
          <w:rFonts w:cs="Arial"/>
          <w:b/>
          <w:color w:val="222222"/>
          <w:lang w:val="en-GB"/>
        </w:rPr>
      </w:pPr>
      <w:r w:rsidRPr="00B3061D">
        <w:rPr>
          <w:rFonts w:cs="Arial"/>
          <w:b/>
          <w:color w:val="222222"/>
          <w:lang w:val="en-GB"/>
        </w:rPr>
        <w:t>What is the</w:t>
      </w:r>
      <w:r w:rsidR="00BA3F65" w:rsidRPr="00B3061D">
        <w:rPr>
          <w:rFonts w:cs="Arial"/>
          <w:b/>
          <w:color w:val="222222"/>
          <w:lang w:val="en-GB"/>
        </w:rPr>
        <w:t xml:space="preserve"> e</w:t>
      </w:r>
      <w:r w:rsidR="00CD53EA" w:rsidRPr="00B3061D">
        <w:rPr>
          <w:rFonts w:cs="Arial"/>
          <w:b/>
          <w:color w:val="222222"/>
          <w:lang w:val="en-GB"/>
        </w:rPr>
        <w:t xml:space="preserve">vidence </w:t>
      </w:r>
      <w:r w:rsidR="00BA3F65" w:rsidRPr="00B3061D">
        <w:rPr>
          <w:rFonts w:cs="Arial"/>
          <w:b/>
          <w:color w:val="222222"/>
          <w:lang w:val="en-GB"/>
        </w:rPr>
        <w:t xml:space="preserve">that integrated management systems of indigenous peoples and local communities are effective and successful? </w:t>
      </w:r>
      <w:r w:rsidR="00CD53EA" w:rsidRPr="00B3061D">
        <w:rPr>
          <w:rFonts w:cs="Arial"/>
          <w:b/>
          <w:color w:val="222222"/>
          <w:lang w:val="en-GB"/>
        </w:rPr>
        <w:t xml:space="preserve"> </w:t>
      </w:r>
    </w:p>
    <w:p w14:paraId="17E2A3BC" w14:textId="5A30B76B" w:rsidR="00A31702" w:rsidRPr="00B3061D" w:rsidRDefault="00BA3F65" w:rsidP="00A31702">
      <w:pPr>
        <w:spacing w:after="0" w:line="240" w:lineRule="auto"/>
        <w:rPr>
          <w:rFonts w:eastAsia="Times New Roman" w:cs="Tahoma"/>
          <w:color w:val="000000"/>
          <w:lang w:val="en-GB" w:eastAsia="nl-NL"/>
        </w:rPr>
      </w:pPr>
      <w:r w:rsidRPr="00B3061D">
        <w:rPr>
          <w:lang w:val="en-GB"/>
        </w:rPr>
        <w:t xml:space="preserve">While </w:t>
      </w:r>
      <w:r w:rsidR="004344BA" w:rsidRPr="00B3061D">
        <w:rPr>
          <w:lang w:val="en-GB"/>
        </w:rPr>
        <w:t>this report does not assert</w:t>
      </w:r>
      <w:r w:rsidRPr="00B3061D">
        <w:rPr>
          <w:lang w:val="en-GB"/>
        </w:rPr>
        <w:t xml:space="preserve"> that indigenous peoples and local communities management systems are universally successful </w:t>
      </w:r>
      <w:r w:rsidR="008E2F90" w:rsidRPr="00B3061D">
        <w:rPr>
          <w:lang w:val="en-GB"/>
        </w:rPr>
        <w:t xml:space="preserve">(all of them and everywhere in the world) </w:t>
      </w:r>
      <w:r w:rsidRPr="00B3061D">
        <w:rPr>
          <w:lang w:val="en-GB"/>
        </w:rPr>
        <w:t xml:space="preserve">and that are not </w:t>
      </w:r>
      <w:proofErr w:type="gramStart"/>
      <w:r w:rsidRPr="00B3061D">
        <w:rPr>
          <w:lang w:val="en-GB"/>
        </w:rPr>
        <w:t>facing  problems</w:t>
      </w:r>
      <w:proofErr w:type="gramEnd"/>
      <w:r w:rsidRPr="00B3061D">
        <w:rPr>
          <w:lang w:val="en-GB"/>
        </w:rPr>
        <w:t xml:space="preserve"> </w:t>
      </w:r>
      <w:r w:rsidR="008E2F90" w:rsidRPr="00B3061D">
        <w:rPr>
          <w:lang w:val="en-GB"/>
        </w:rPr>
        <w:t xml:space="preserve">and challenges and are sometimes under pressures and changes </w:t>
      </w:r>
      <w:r w:rsidRPr="00B3061D">
        <w:rPr>
          <w:lang w:val="en-GB"/>
        </w:rPr>
        <w:t>(</w:t>
      </w:r>
      <w:r w:rsidR="004344BA" w:rsidRPr="00B3061D">
        <w:rPr>
          <w:lang w:val="en-GB"/>
        </w:rPr>
        <w:t xml:space="preserve">they are: </w:t>
      </w:r>
      <w:r w:rsidRPr="00B3061D">
        <w:rPr>
          <w:lang w:val="en-GB"/>
        </w:rPr>
        <w:t xml:space="preserve">see further </w:t>
      </w:r>
      <w:r w:rsidR="004344BA" w:rsidRPr="00B3061D">
        <w:rPr>
          <w:lang w:val="en-GB"/>
        </w:rPr>
        <w:t>below</w:t>
      </w:r>
      <w:r w:rsidRPr="00B3061D">
        <w:rPr>
          <w:lang w:val="en-GB"/>
        </w:rPr>
        <w:t xml:space="preserve"> in this section), a</w:t>
      </w:r>
      <w:r w:rsidRPr="00B3061D">
        <w:rPr>
          <w:rFonts w:cs="Arial"/>
          <w:color w:val="222222"/>
          <w:lang w:val="en-GB"/>
        </w:rPr>
        <w:t xml:space="preserve">n increasing number of </w:t>
      </w:r>
      <w:r w:rsidR="008E2F90" w:rsidRPr="00B3061D">
        <w:rPr>
          <w:rFonts w:cs="Arial"/>
          <w:color w:val="222222"/>
          <w:lang w:val="en-GB"/>
        </w:rPr>
        <w:t xml:space="preserve">independent studies and research reports have pointed at the exceptionally high rates of biodiversity in areas that have historically been inhabited </w:t>
      </w:r>
      <w:r w:rsidR="008E2F90" w:rsidRPr="00B3061D">
        <w:rPr>
          <w:rFonts w:cs="Arial"/>
          <w:color w:val="222222"/>
          <w:lang w:val="en-GB"/>
        </w:rPr>
        <w:lastRenderedPageBreak/>
        <w:t xml:space="preserve">and managed by indigenous peoples. </w:t>
      </w:r>
      <w:r w:rsidR="0033506D" w:rsidRPr="00B3061D">
        <w:rPr>
          <w:rFonts w:cs="Arial"/>
          <w:color w:val="222222"/>
          <w:lang w:val="en-GB"/>
        </w:rPr>
        <w:t>In various regions in the world researchers (both from communities as well as external researchers) have documented o</w:t>
      </w:r>
      <w:r w:rsidR="0033506D" w:rsidRPr="00B3061D">
        <w:rPr>
          <w:lang w:val="en-GB"/>
        </w:rPr>
        <w:t xml:space="preserve">verlap between biodiversity ‘hotspots’ and indigenous territories. </w:t>
      </w:r>
      <w:r w:rsidR="00A31702" w:rsidRPr="00B3061D">
        <w:rPr>
          <w:rFonts w:eastAsia="Times New Roman" w:cs="Tahoma"/>
          <w:color w:val="000000"/>
          <w:lang w:val="en-GB" w:eastAsia="nl-NL"/>
        </w:rPr>
        <w:t xml:space="preserve">CIFOR </w:t>
      </w:r>
      <w:r w:rsidR="00A31702">
        <w:rPr>
          <w:rFonts w:eastAsia="Times New Roman" w:cs="Tahoma"/>
          <w:color w:val="000000"/>
          <w:lang w:val="en-GB" w:eastAsia="nl-NL"/>
        </w:rPr>
        <w:t xml:space="preserve">for instance has </w:t>
      </w:r>
      <w:r w:rsidR="00A31702" w:rsidRPr="00B3061D">
        <w:rPr>
          <w:rFonts w:eastAsia="Times New Roman" w:cs="Tahoma"/>
          <w:color w:val="000000"/>
          <w:lang w:val="en-GB" w:eastAsia="nl-NL"/>
        </w:rPr>
        <w:t xml:space="preserve">done research </w:t>
      </w:r>
      <w:r w:rsidR="00A31702">
        <w:rPr>
          <w:rFonts w:eastAsia="Times New Roman" w:cs="Tahoma"/>
          <w:color w:val="000000"/>
          <w:lang w:val="en-GB" w:eastAsia="nl-NL"/>
        </w:rPr>
        <w:t xml:space="preserve">that demonstrated that </w:t>
      </w:r>
      <w:r w:rsidR="00A31702" w:rsidRPr="00B3061D">
        <w:rPr>
          <w:rFonts w:eastAsia="Times New Roman" w:cs="Tahoma"/>
          <w:color w:val="000000"/>
          <w:lang w:val="en-GB" w:eastAsia="nl-NL"/>
        </w:rPr>
        <w:t>‘</w:t>
      </w:r>
      <w:r w:rsidR="00050058">
        <w:rPr>
          <w:rFonts w:eastAsia="Times New Roman" w:cs="Tahoma"/>
          <w:color w:val="000000"/>
          <w:lang w:val="en-GB" w:eastAsia="nl-NL"/>
        </w:rPr>
        <w:t>the</w:t>
      </w:r>
      <w:r w:rsidR="00A31702" w:rsidRPr="00B3061D">
        <w:rPr>
          <w:rFonts w:eastAsia="Times New Roman" w:cs="Tahoma"/>
          <w:color w:val="000000"/>
          <w:lang w:val="en-GB" w:eastAsia="nl-NL"/>
        </w:rPr>
        <w:t xml:space="preserve"> worlds’ best-kept forest and ecosystems tend to be in indigenous peoples’ territories’</w:t>
      </w:r>
      <w:r w:rsidR="00050058">
        <w:rPr>
          <w:rFonts w:eastAsia="Times New Roman" w:cs="Tahoma"/>
          <w:color w:val="000000"/>
          <w:lang w:val="en-GB" w:eastAsia="nl-NL"/>
        </w:rPr>
        <w:t>.</w:t>
      </w:r>
      <w:r w:rsidR="00A31702">
        <w:rPr>
          <w:rStyle w:val="FootnoteReference"/>
          <w:rFonts w:eastAsia="Times New Roman" w:cs="Tahoma"/>
          <w:color w:val="000000"/>
          <w:lang w:val="en-GB" w:eastAsia="nl-NL"/>
        </w:rPr>
        <w:footnoteReference w:id="8"/>
      </w:r>
      <w:r w:rsidR="00050058">
        <w:rPr>
          <w:rFonts w:eastAsia="Times New Roman" w:cs="Tahoma"/>
          <w:color w:val="000000"/>
          <w:lang w:val="en-GB" w:eastAsia="nl-NL"/>
        </w:rPr>
        <w:t xml:space="preserve"> </w:t>
      </w:r>
      <w:r w:rsidR="00A31702" w:rsidRPr="00B3061D">
        <w:rPr>
          <w:rFonts w:eastAsia="Times New Roman" w:cs="Tahoma"/>
          <w:color w:val="000000"/>
          <w:lang w:val="en-GB" w:eastAsia="nl-NL"/>
        </w:rPr>
        <w:t xml:space="preserve"> </w:t>
      </w:r>
    </w:p>
    <w:p w14:paraId="5BD35851" w14:textId="6B9163F9" w:rsidR="0033506D" w:rsidRPr="00B3061D" w:rsidRDefault="0033506D" w:rsidP="00B3061D">
      <w:pPr>
        <w:spacing w:after="0" w:line="240" w:lineRule="auto"/>
        <w:rPr>
          <w:b/>
          <w:lang w:val="en-GB"/>
        </w:rPr>
      </w:pPr>
    </w:p>
    <w:p w14:paraId="1ED4CF8C" w14:textId="77777777" w:rsidR="004344BA" w:rsidRPr="00B3061D" w:rsidRDefault="004344BA" w:rsidP="00B3061D">
      <w:pPr>
        <w:spacing w:after="0" w:line="240" w:lineRule="auto"/>
        <w:rPr>
          <w:lang w:val="en-GB"/>
        </w:rPr>
      </w:pPr>
    </w:p>
    <w:p w14:paraId="1526812E" w14:textId="07476562" w:rsidR="003F0DDA" w:rsidRPr="003F0DDA" w:rsidRDefault="003F0DDA" w:rsidP="003F0DDA">
      <w:pPr>
        <w:pBdr>
          <w:top w:val="single" w:sz="4" w:space="1" w:color="auto"/>
          <w:left w:val="single" w:sz="4" w:space="4" w:color="auto"/>
          <w:bottom w:val="single" w:sz="4" w:space="1" w:color="auto"/>
          <w:right w:val="single" w:sz="4" w:space="4" w:color="auto"/>
        </w:pBdr>
        <w:rPr>
          <w:szCs w:val="20"/>
          <w:lang w:val="en-GB"/>
        </w:rPr>
      </w:pPr>
      <w:r w:rsidRPr="003F0DDA">
        <w:rPr>
          <w:szCs w:val="20"/>
          <w:lang w:val="en-GB"/>
        </w:rPr>
        <w:t xml:space="preserve">Box: Claudia </w:t>
      </w:r>
      <w:proofErr w:type="spellStart"/>
      <w:r w:rsidRPr="003F0DDA">
        <w:rPr>
          <w:szCs w:val="20"/>
          <w:lang w:val="en-GB"/>
        </w:rPr>
        <w:t>Sobrevila</w:t>
      </w:r>
      <w:proofErr w:type="spellEnd"/>
      <w:proofErr w:type="gramStart"/>
      <w:r w:rsidRPr="003F0DDA">
        <w:rPr>
          <w:szCs w:val="20"/>
          <w:lang w:val="en-GB"/>
        </w:rPr>
        <w:t>,  The</w:t>
      </w:r>
      <w:proofErr w:type="gramEnd"/>
      <w:r w:rsidRPr="003F0DDA">
        <w:rPr>
          <w:szCs w:val="20"/>
          <w:lang w:val="en-GB"/>
        </w:rPr>
        <w:t xml:space="preserve"> Role of Indigenous Peoples in Biodiversity Conservation (2008).</w:t>
      </w:r>
    </w:p>
    <w:p w14:paraId="5AEF5E2E" w14:textId="77777777" w:rsidR="00050058" w:rsidRPr="003F0DDA" w:rsidRDefault="00FC364A" w:rsidP="00A3170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sidRPr="003F0DDA">
        <w:rPr>
          <w:sz w:val="20"/>
          <w:szCs w:val="20"/>
          <w:lang w:val="en-GB"/>
        </w:rPr>
        <w:t xml:space="preserve">2008 senior Biodiversity Specialist Claudia </w:t>
      </w:r>
      <w:proofErr w:type="spellStart"/>
      <w:r w:rsidRPr="003F0DDA">
        <w:rPr>
          <w:sz w:val="20"/>
          <w:szCs w:val="20"/>
          <w:lang w:val="en-GB"/>
        </w:rPr>
        <w:t>Sobrevila</w:t>
      </w:r>
      <w:proofErr w:type="spellEnd"/>
      <w:r w:rsidRPr="003F0DDA">
        <w:rPr>
          <w:sz w:val="20"/>
          <w:szCs w:val="20"/>
          <w:lang w:val="en-GB"/>
        </w:rPr>
        <w:t xml:space="preserve"> developed a paper for the World Bank to inform them about what they needed to know in order to engage Indigenous Peoples (IPs) more effectively in biodiversity conservation projects and programs. </w:t>
      </w:r>
      <w:r w:rsidR="0033506D" w:rsidRPr="003F0DDA">
        <w:rPr>
          <w:sz w:val="20"/>
          <w:szCs w:val="20"/>
          <w:lang w:val="en-GB"/>
        </w:rPr>
        <w:t>In this report she</w:t>
      </w:r>
      <w:r w:rsidRPr="003F0DDA">
        <w:rPr>
          <w:sz w:val="20"/>
          <w:szCs w:val="20"/>
          <w:lang w:val="en-GB"/>
        </w:rPr>
        <w:t xml:space="preserve"> presents figures and data to demonstrate that many areas inhabited by Indigenous Peoples coincide with some of the world’s remaining major concentrations of biodiversity. </w:t>
      </w:r>
    </w:p>
    <w:p w14:paraId="2259D4E2" w14:textId="77777777" w:rsidR="00050058" w:rsidRPr="003F0DDA" w:rsidRDefault="00050058" w:rsidP="00050058">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358862A7" w14:textId="042B0B2C" w:rsidR="00FC364A" w:rsidRPr="003F0DDA" w:rsidRDefault="008E76A9" w:rsidP="00050058">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sidRPr="003F0DDA">
        <w:rPr>
          <w:sz w:val="20"/>
          <w:szCs w:val="20"/>
          <w:lang w:val="en-GB"/>
        </w:rPr>
        <w:t>“</w:t>
      </w:r>
      <w:r w:rsidR="00FC364A" w:rsidRPr="003F0DDA">
        <w:rPr>
          <w:sz w:val="20"/>
          <w:szCs w:val="20"/>
          <w:lang w:val="en-GB"/>
        </w:rPr>
        <w:t xml:space="preserve">Traditional indigenous territories encompass up to 22 percent of the world’s land surface and they coincide with areas that hold 80 percent of the planet’s biodiversity (WRI 2005). Also, the greatest diversity of indigenous groups coincides with the world’s largest tropical forest wilderness areas in the Americas (including Amazon), Africa, and Asia, and 11 percent of world </w:t>
      </w:r>
      <w:proofErr w:type="gramStart"/>
      <w:r w:rsidR="00FC364A" w:rsidRPr="003F0DDA">
        <w:rPr>
          <w:sz w:val="20"/>
          <w:szCs w:val="20"/>
          <w:lang w:val="en-GB"/>
        </w:rPr>
        <w:t>forest lands</w:t>
      </w:r>
      <w:proofErr w:type="gramEnd"/>
      <w:r w:rsidR="00FC364A" w:rsidRPr="003F0DDA">
        <w:rPr>
          <w:sz w:val="20"/>
          <w:szCs w:val="20"/>
          <w:lang w:val="en-GB"/>
        </w:rPr>
        <w:t xml:space="preserve"> are legally owned by Indigenous Peoples and communities (White et al. 2004). Recent efforts to map </w:t>
      </w:r>
      <w:proofErr w:type="spellStart"/>
      <w:r w:rsidR="00FC364A" w:rsidRPr="003F0DDA">
        <w:rPr>
          <w:sz w:val="20"/>
          <w:szCs w:val="20"/>
          <w:lang w:val="en-GB"/>
        </w:rPr>
        <w:t>centers</w:t>
      </w:r>
      <w:proofErr w:type="spellEnd"/>
      <w:r w:rsidR="00FC364A" w:rsidRPr="003F0DDA">
        <w:rPr>
          <w:sz w:val="20"/>
          <w:szCs w:val="20"/>
          <w:lang w:val="en-GB"/>
        </w:rPr>
        <w:t xml:space="preserve"> of biodiversity in the Brazilian Amazon reveal a high degree of overlap between indigenous territories and areas of exceptionally high biodiversity. This correlation is also notable in montane areas rich in biodiversity, such as the Andes and Himalayas. Even in biomes less rich in biodiversity, such as the boreal forests of the Northern Hemisphere, the most pristine habitats tend to be occupied by native populations. This convergence of biodiversity-significant areas with indigenous territories presents an enormous opportunity to expand biodiversity conservation efforts beyond national parks and reserves</w:t>
      </w:r>
      <w:r w:rsidRPr="003F0DDA">
        <w:rPr>
          <w:sz w:val="20"/>
          <w:szCs w:val="20"/>
          <w:lang w:val="en-GB"/>
        </w:rPr>
        <w:t>”</w:t>
      </w:r>
      <w:r w:rsidR="00FC364A" w:rsidRPr="003F0DDA">
        <w:rPr>
          <w:sz w:val="20"/>
          <w:szCs w:val="20"/>
          <w:lang w:val="en-GB"/>
        </w:rPr>
        <w:t>.</w:t>
      </w:r>
      <w:r w:rsidRPr="003F0DDA">
        <w:rPr>
          <w:rStyle w:val="FootnoteReference"/>
          <w:sz w:val="20"/>
          <w:szCs w:val="20"/>
          <w:lang w:val="en-GB"/>
        </w:rPr>
        <w:footnoteReference w:id="9"/>
      </w:r>
    </w:p>
    <w:p w14:paraId="6B48A1A3" w14:textId="77777777" w:rsidR="00050058" w:rsidRPr="003F0DDA" w:rsidRDefault="00050058" w:rsidP="00A3170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703EFB6B" w14:textId="61D1501D" w:rsidR="008E76A9" w:rsidRPr="003F0DDA" w:rsidRDefault="00050058" w:rsidP="00A3170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roofErr w:type="spellStart"/>
      <w:r w:rsidRPr="003F0DDA">
        <w:rPr>
          <w:sz w:val="20"/>
          <w:szCs w:val="20"/>
          <w:lang w:val="en-GB"/>
        </w:rPr>
        <w:t>Sob</w:t>
      </w:r>
      <w:r w:rsidR="003F0DDA">
        <w:rPr>
          <w:sz w:val="20"/>
          <w:szCs w:val="20"/>
          <w:lang w:val="en-GB"/>
        </w:rPr>
        <w:t>re</w:t>
      </w:r>
      <w:r w:rsidRPr="003F0DDA">
        <w:rPr>
          <w:sz w:val="20"/>
          <w:szCs w:val="20"/>
          <w:lang w:val="en-GB"/>
        </w:rPr>
        <w:t>vila</w:t>
      </w:r>
      <w:proofErr w:type="spellEnd"/>
      <w:r w:rsidRPr="003F0DDA">
        <w:rPr>
          <w:sz w:val="20"/>
          <w:szCs w:val="20"/>
          <w:lang w:val="en-GB"/>
        </w:rPr>
        <w:t xml:space="preserve"> presents </w:t>
      </w:r>
      <w:r w:rsidR="008E76A9" w:rsidRPr="003F0DDA">
        <w:rPr>
          <w:sz w:val="20"/>
          <w:szCs w:val="20"/>
          <w:lang w:val="en-GB"/>
        </w:rPr>
        <w:t>maps from researchers from the Brazilian Institute for the Environment and Renewable Natural Resources and the World Wildlife Fund overlaid indigenous territories onto a map showing forest cover. The result reveals a strong correlation between indigenous presence and the protection of natural ecosystems. A similar map of the indigenous territories, forests, and marine resources of Central America and southern Mexico was produced showing the same results.</w:t>
      </w:r>
    </w:p>
    <w:p w14:paraId="3E79C3BF" w14:textId="77777777" w:rsidR="004344BA" w:rsidRPr="00B3061D" w:rsidRDefault="004344BA" w:rsidP="00B3061D">
      <w:pPr>
        <w:spacing w:after="0" w:line="240" w:lineRule="auto"/>
        <w:rPr>
          <w:rFonts w:eastAsia="Times New Roman" w:cs="Tahoma"/>
          <w:color w:val="000000"/>
          <w:lang w:val="en-GB" w:eastAsia="nl-NL"/>
        </w:rPr>
      </w:pPr>
    </w:p>
    <w:p w14:paraId="60575B77" w14:textId="77777777" w:rsidR="004344BA" w:rsidRPr="00B3061D" w:rsidRDefault="004344BA" w:rsidP="00B3061D">
      <w:pPr>
        <w:spacing w:after="0" w:line="240" w:lineRule="auto"/>
        <w:rPr>
          <w:rFonts w:eastAsia="Times New Roman" w:cs="Tahoma"/>
          <w:color w:val="000000"/>
          <w:lang w:val="en-GB" w:eastAsia="nl-NL"/>
        </w:rPr>
      </w:pPr>
    </w:p>
    <w:p w14:paraId="10FE2D0D" w14:textId="35EDE69D" w:rsidR="003E1913" w:rsidRDefault="00050058"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lang w:val="en-GB" w:eastAsia="nl-NL"/>
        </w:rPr>
      </w:pPr>
      <w:r>
        <w:rPr>
          <w:rFonts w:eastAsia="Times New Roman" w:cs="Tahoma"/>
          <w:color w:val="000000"/>
          <w:lang w:val="en-GB" w:eastAsia="nl-NL"/>
        </w:rPr>
        <w:t xml:space="preserve">Box: </w:t>
      </w:r>
      <w:r w:rsidR="00F02F1E" w:rsidRPr="00F02F1E">
        <w:rPr>
          <w:rFonts w:eastAsia="Times New Roman" w:cs="Tahoma"/>
          <w:color w:val="000000"/>
          <w:lang w:val="en-GB" w:eastAsia="nl-NL"/>
        </w:rPr>
        <w:t>Victor M. Toledo</w:t>
      </w:r>
      <w:r w:rsidR="00F02F1E">
        <w:rPr>
          <w:rFonts w:eastAsia="Times New Roman" w:cs="Tahoma"/>
          <w:color w:val="000000"/>
          <w:lang w:val="en-GB" w:eastAsia="nl-NL"/>
        </w:rPr>
        <w:t>,</w:t>
      </w:r>
      <w:r w:rsidR="00F02F1E" w:rsidRPr="00F02F1E">
        <w:rPr>
          <w:rFonts w:eastAsia="Times New Roman" w:cs="Tahoma"/>
          <w:color w:val="000000"/>
          <w:lang w:val="en-GB" w:eastAsia="nl-NL"/>
        </w:rPr>
        <w:t xml:space="preserve"> INDI</w:t>
      </w:r>
      <w:r w:rsidR="00F02F1E">
        <w:rPr>
          <w:rFonts w:eastAsia="Times New Roman" w:cs="Tahoma"/>
          <w:color w:val="000000"/>
          <w:lang w:val="en-GB" w:eastAsia="nl-NL"/>
        </w:rPr>
        <w:t>GENOUS PEOPLES AND BIODIVERSITY (2007)</w:t>
      </w:r>
      <w:r w:rsidR="00A31702">
        <w:rPr>
          <w:rFonts w:eastAsia="Times New Roman" w:cs="Tahoma"/>
          <w:color w:val="000000"/>
          <w:lang w:val="en-GB" w:eastAsia="nl-NL"/>
        </w:rPr>
        <w:t>.</w:t>
      </w:r>
      <w:r w:rsidR="00F02F1E">
        <w:rPr>
          <w:rFonts w:eastAsia="Times New Roman" w:cs="Tahoma"/>
          <w:color w:val="000000"/>
          <w:lang w:val="en-GB" w:eastAsia="nl-NL"/>
        </w:rPr>
        <w:t xml:space="preserve"> </w:t>
      </w:r>
    </w:p>
    <w:p w14:paraId="13927372" w14:textId="77777777" w:rsidR="00F02F1E" w:rsidRDefault="00F02F1E"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lang w:val="en-GB" w:eastAsia="nl-NL"/>
        </w:rPr>
      </w:pPr>
    </w:p>
    <w:p w14:paraId="6C89FB04" w14:textId="77777777" w:rsidR="00050058" w:rsidRPr="003F0DDA" w:rsidRDefault="00050058"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3F0DDA">
        <w:rPr>
          <w:rFonts w:eastAsia="Times New Roman" w:cs="Tahoma"/>
          <w:color w:val="000000"/>
          <w:sz w:val="20"/>
          <w:szCs w:val="20"/>
          <w:lang w:val="en-GB" w:eastAsia="nl-NL"/>
        </w:rPr>
        <w:t>Victor M. Toledo of the Institute of Ecology National University of Mexico (UNAM</w:t>
      </w:r>
      <w:proofErr w:type="gramStart"/>
      <w:r w:rsidRPr="003F0DDA">
        <w:rPr>
          <w:rFonts w:eastAsia="Times New Roman" w:cs="Tahoma"/>
          <w:color w:val="000000"/>
          <w:sz w:val="20"/>
          <w:szCs w:val="20"/>
          <w:lang w:val="en-GB" w:eastAsia="nl-NL"/>
        </w:rPr>
        <w:t>),</w:t>
      </w:r>
      <w:proofErr w:type="gramEnd"/>
      <w:r w:rsidRPr="003F0DDA">
        <w:rPr>
          <w:rFonts w:eastAsia="Times New Roman" w:cs="Tahoma"/>
          <w:color w:val="000000"/>
          <w:sz w:val="20"/>
          <w:szCs w:val="20"/>
          <w:lang w:val="en-GB" w:eastAsia="nl-NL"/>
        </w:rPr>
        <w:t xml:space="preserve"> writes in his chapter on indigenous peoples and biodiversity:</w:t>
      </w:r>
    </w:p>
    <w:p w14:paraId="47F9478B" w14:textId="046FC058" w:rsidR="00050058" w:rsidRPr="003F0DDA" w:rsidRDefault="00050058"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3F0DDA">
        <w:rPr>
          <w:rFonts w:eastAsia="Times New Roman" w:cs="Tahoma"/>
          <w:color w:val="000000"/>
          <w:sz w:val="20"/>
          <w:szCs w:val="20"/>
          <w:lang w:val="en-GB" w:eastAsia="nl-NL"/>
        </w:rPr>
        <w:t xml:space="preserve"> </w:t>
      </w:r>
    </w:p>
    <w:p w14:paraId="42A8F95E" w14:textId="413A8B51" w:rsidR="00F02F1E" w:rsidRPr="003F0DDA" w:rsidRDefault="00A31702"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3F0DDA">
        <w:rPr>
          <w:rFonts w:eastAsia="Times New Roman" w:cs="Tahoma"/>
          <w:color w:val="000000"/>
          <w:sz w:val="20"/>
          <w:szCs w:val="20"/>
          <w:lang w:val="en-GB" w:eastAsia="nl-NL"/>
        </w:rPr>
        <w:t>I</w:t>
      </w:r>
      <w:r w:rsidR="00F02F1E" w:rsidRPr="003F0DDA">
        <w:rPr>
          <w:rFonts w:eastAsia="Times New Roman" w:cs="Tahoma"/>
          <w:color w:val="000000"/>
          <w:sz w:val="20"/>
          <w:szCs w:val="20"/>
          <w:lang w:val="en-GB" w:eastAsia="nl-NL"/>
        </w:rPr>
        <w:t xml:space="preserve">ndigenous peoples control, legally or not, immense areas of natural resources. Among the most remarkable examples are the cases of the Inuit people (formerly known as Eskimo) who govern a region covering one fifth of the territory of Canada (222 million hectares), the indigenous communities of Papua New Guinea whose lands represent 97 % of the national territory, and the tribes of Australia with nearly 90 million hectares (Figure 1). Although numbering only above 250,000, the </w:t>
      </w:r>
      <w:proofErr w:type="spellStart"/>
      <w:proofErr w:type="gramStart"/>
      <w:r w:rsidR="00F02F1E" w:rsidRPr="003F0DDA">
        <w:rPr>
          <w:rFonts w:eastAsia="Times New Roman" w:cs="Tahoma"/>
          <w:color w:val="000000"/>
          <w:sz w:val="20"/>
          <w:szCs w:val="20"/>
          <w:lang w:val="en-GB" w:eastAsia="nl-NL"/>
        </w:rPr>
        <w:t>indians</w:t>
      </w:r>
      <w:proofErr w:type="spellEnd"/>
      <w:proofErr w:type="gramEnd"/>
      <w:r w:rsidR="00F02F1E" w:rsidRPr="003F0DDA">
        <w:rPr>
          <w:rFonts w:eastAsia="Times New Roman" w:cs="Tahoma"/>
          <w:color w:val="000000"/>
          <w:sz w:val="20"/>
          <w:szCs w:val="20"/>
          <w:lang w:val="en-GB" w:eastAsia="nl-NL"/>
        </w:rPr>
        <w:t xml:space="preserve"> of Brazil possess an area of over 100 million hectares, mainly in the Amazon basin, distributed in 565 territories (Figure 2 and Table V). </w:t>
      </w:r>
      <w:proofErr w:type="gramStart"/>
      <w:r w:rsidR="00F02F1E" w:rsidRPr="003F0DDA">
        <w:rPr>
          <w:rFonts w:eastAsia="Times New Roman" w:cs="Tahoma"/>
          <w:color w:val="000000"/>
          <w:sz w:val="20"/>
          <w:szCs w:val="20"/>
          <w:lang w:val="en-GB" w:eastAsia="nl-NL"/>
        </w:rPr>
        <w:t>Nearly 60% of the priority areas on central and southern Mexico recommended for protection are also inhabited by indigenous peoples</w:t>
      </w:r>
      <w:proofErr w:type="gramEnd"/>
      <w:r w:rsidR="00F02F1E" w:rsidRPr="003F0DDA">
        <w:rPr>
          <w:rFonts w:eastAsia="Times New Roman" w:cs="Tahoma"/>
          <w:color w:val="000000"/>
          <w:sz w:val="20"/>
          <w:szCs w:val="20"/>
          <w:lang w:val="en-GB" w:eastAsia="nl-NL"/>
        </w:rPr>
        <w:t xml:space="preserve"> (Figure 3), and half of the 30,000 rural communities are distributed in the ten most biologically rich states of the Mexican territory. In summary, on the global scale it is estimated that the total </w:t>
      </w:r>
      <w:proofErr w:type="gramStart"/>
      <w:r w:rsidR="00F02F1E" w:rsidRPr="003F0DDA">
        <w:rPr>
          <w:rFonts w:eastAsia="Times New Roman" w:cs="Tahoma"/>
          <w:color w:val="000000"/>
          <w:sz w:val="20"/>
          <w:szCs w:val="20"/>
          <w:lang w:val="en-GB" w:eastAsia="nl-NL"/>
        </w:rPr>
        <w:t>area under indigenous control probably reach</w:t>
      </w:r>
      <w:proofErr w:type="gramEnd"/>
      <w:r w:rsidR="00F02F1E" w:rsidRPr="003F0DDA">
        <w:rPr>
          <w:rFonts w:eastAsia="Times New Roman" w:cs="Tahoma"/>
          <w:color w:val="000000"/>
          <w:sz w:val="20"/>
          <w:szCs w:val="20"/>
          <w:lang w:val="en-GB" w:eastAsia="nl-NL"/>
        </w:rPr>
        <w:t xml:space="preserve"> between 12 and 20 percent of the earth's land surface. </w:t>
      </w:r>
    </w:p>
    <w:p w14:paraId="6773703A" w14:textId="77777777" w:rsidR="00F02F1E" w:rsidRPr="003F0DDA" w:rsidRDefault="00F02F1E"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3F0DDA">
        <w:rPr>
          <w:rFonts w:eastAsia="Times New Roman" w:cs="Tahoma"/>
          <w:color w:val="000000"/>
          <w:sz w:val="20"/>
          <w:szCs w:val="20"/>
          <w:lang w:val="en-GB" w:eastAsia="nl-NL"/>
        </w:rPr>
        <w:t xml:space="preserve">The best example of notable overlaps between indigenous peoples and biological rich areas is the case of tropical humid forests, In fact, there is a clear correspondence between areas of remaining tropical forests and </w:t>
      </w:r>
      <w:r w:rsidRPr="003F0DDA">
        <w:rPr>
          <w:rFonts w:eastAsia="Times New Roman" w:cs="Tahoma"/>
          <w:color w:val="000000"/>
          <w:sz w:val="20"/>
          <w:szCs w:val="20"/>
          <w:lang w:val="en-GB" w:eastAsia="nl-NL"/>
        </w:rPr>
        <w:lastRenderedPageBreak/>
        <w:t xml:space="preserve">the presence of indigenous peoples in Latin America, the Congo Basin in Africa, and several countries of tropical Asia such as Philippines, Indonesia and New Guinea, The strong presence of indigenous peoples in Brazil, Indonesia and Zaire alone, which accounts for the 60 per cent of all the tropical forest of the world, is remarkable. </w:t>
      </w:r>
    </w:p>
    <w:p w14:paraId="5CD53D50" w14:textId="77777777" w:rsidR="003F0DDA" w:rsidRPr="003F0DDA" w:rsidRDefault="003F0DDA"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p>
    <w:p w14:paraId="14E887FC" w14:textId="1260D5B0" w:rsidR="00F02F1E" w:rsidRPr="003F0DDA" w:rsidRDefault="00F02F1E" w:rsidP="00A31702">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3F0DDA">
        <w:rPr>
          <w:rFonts w:eastAsia="Times New Roman" w:cs="Tahoma"/>
          <w:color w:val="000000"/>
          <w:sz w:val="20"/>
          <w:szCs w:val="20"/>
          <w:lang w:val="en-GB" w:eastAsia="nl-NL"/>
        </w:rPr>
        <w:t xml:space="preserve">In Latin America, this geographical relationship has been strikingly verified for the Central American countries by a National Geographic Society map produced by a project headed by Mac Chapin in 1992. The same pattern can be found in the tropical humid areas of Mexico inhabited by 1.6 million of indigenous people, and for many regions of the Amazonia basin (see the case of Brazil in Figure 2). It has been estimated that in Amazonia above 1 million indigenous people of eight countries posses over 135 million hectares of tropical forests (Davis &amp; Wall, 1994). Many temperate forests of the world also overlap with indigenous territories as for example in India (see Figure 4), </w:t>
      </w:r>
      <w:proofErr w:type="spellStart"/>
      <w:r w:rsidRPr="003F0DDA">
        <w:rPr>
          <w:rFonts w:eastAsia="Times New Roman" w:cs="Tahoma"/>
          <w:color w:val="000000"/>
          <w:sz w:val="20"/>
          <w:szCs w:val="20"/>
          <w:lang w:val="en-GB" w:eastAsia="nl-NL"/>
        </w:rPr>
        <w:t>Mynamar</w:t>
      </w:r>
      <w:proofErr w:type="spellEnd"/>
      <w:r w:rsidRPr="003F0DDA">
        <w:rPr>
          <w:rFonts w:eastAsia="Times New Roman" w:cs="Tahoma"/>
          <w:color w:val="000000"/>
          <w:sz w:val="20"/>
          <w:szCs w:val="20"/>
          <w:lang w:val="en-GB" w:eastAsia="nl-NL"/>
        </w:rPr>
        <w:t>, Nepal, Guatemala, the Andean countries (Ecuador, Peru and Bolivia) and Canada. On the other hand, over two million of islanders of the South Pacific, most of whom are indigenous peoples, continue fishing and harvesting marine resources in high biodiversity areas (as coral reefs).</w:t>
      </w:r>
      <w:r w:rsidR="00050058" w:rsidRPr="003F0DDA">
        <w:rPr>
          <w:rStyle w:val="FootnoteReference"/>
          <w:rFonts w:eastAsia="Times New Roman" w:cs="Tahoma"/>
          <w:color w:val="000000"/>
          <w:sz w:val="20"/>
          <w:szCs w:val="20"/>
          <w:lang w:val="en-GB" w:eastAsia="nl-NL"/>
        </w:rPr>
        <w:footnoteReference w:id="10"/>
      </w:r>
    </w:p>
    <w:p w14:paraId="083E1B08" w14:textId="77777777" w:rsidR="003B3ECA" w:rsidRPr="00B3061D" w:rsidRDefault="003B3ECA" w:rsidP="00B3061D">
      <w:pPr>
        <w:pStyle w:val="ListParagraph"/>
        <w:ind w:left="0"/>
        <w:rPr>
          <w:rFonts w:eastAsia="Times New Roman" w:cs="Tahoma"/>
          <w:color w:val="000000"/>
          <w:sz w:val="22"/>
          <w:szCs w:val="22"/>
          <w:lang w:val="en-GB" w:eastAsia="nl-NL"/>
        </w:rPr>
      </w:pPr>
    </w:p>
    <w:p w14:paraId="2A2B749D" w14:textId="46337C0A" w:rsidR="0076439B" w:rsidRPr="009B5CBA" w:rsidRDefault="005543AB" w:rsidP="00B3061D">
      <w:pPr>
        <w:spacing w:after="0" w:line="240" w:lineRule="auto"/>
        <w:rPr>
          <w:rFonts w:cs="Arial"/>
          <w:b/>
          <w:lang w:val="en-GB"/>
        </w:rPr>
      </w:pPr>
      <w:r w:rsidRPr="009B5CBA">
        <w:rPr>
          <w:rFonts w:cs="Arial"/>
          <w:b/>
          <w:iCs/>
          <w:lang w:val="en-GB"/>
        </w:rPr>
        <w:t xml:space="preserve">Why </w:t>
      </w:r>
      <w:r w:rsidR="001154E3" w:rsidRPr="009B5CBA">
        <w:rPr>
          <w:rFonts w:cs="Arial"/>
          <w:b/>
          <w:iCs/>
          <w:lang w:val="en-GB"/>
        </w:rPr>
        <w:t xml:space="preserve">are </w:t>
      </w:r>
      <w:r w:rsidRPr="009B5CBA">
        <w:rPr>
          <w:rFonts w:cs="Arial"/>
          <w:b/>
          <w:iCs/>
          <w:lang w:val="en-GB"/>
        </w:rPr>
        <w:t>integrated management systems important to the achievement of Aichi targets</w:t>
      </w:r>
      <w:r w:rsidR="001154E3" w:rsidRPr="009B5CBA">
        <w:rPr>
          <w:rFonts w:cs="Arial"/>
          <w:b/>
          <w:iCs/>
          <w:lang w:val="en-GB"/>
        </w:rPr>
        <w:t xml:space="preserve">? </w:t>
      </w:r>
    </w:p>
    <w:p w14:paraId="136CE5A4" w14:textId="64F8D0DA" w:rsidR="00033186" w:rsidRPr="00B3061D" w:rsidRDefault="00A50577" w:rsidP="00B3061D">
      <w:pPr>
        <w:spacing w:after="0" w:line="240" w:lineRule="auto"/>
        <w:rPr>
          <w:rFonts w:cs="Arial"/>
          <w:color w:val="333333"/>
          <w:lang w:val="en"/>
        </w:rPr>
      </w:pPr>
      <w:r w:rsidRPr="00B3061D">
        <w:rPr>
          <w:rFonts w:cs="Arial"/>
          <w:color w:val="333333"/>
          <w:lang w:val="en"/>
        </w:rPr>
        <w:t>T</w:t>
      </w:r>
      <w:r w:rsidR="00540E82" w:rsidRPr="00B3061D">
        <w:rPr>
          <w:rFonts w:cs="Arial"/>
          <w:color w:val="333333"/>
          <w:lang w:val="en"/>
        </w:rPr>
        <w:t>he Aichi targets are not designed in isolation of each other</w:t>
      </w:r>
      <w:r w:rsidRPr="00B3061D">
        <w:rPr>
          <w:rFonts w:cs="Arial"/>
          <w:color w:val="333333"/>
          <w:lang w:val="en"/>
        </w:rPr>
        <w:t>. GBO4 (advance draft) acknowledges that the Aichi Targets are deeply inter-connected</w:t>
      </w:r>
      <w:r w:rsidR="00033186" w:rsidRPr="00B3061D">
        <w:rPr>
          <w:rFonts w:cs="Arial"/>
          <w:color w:val="333333"/>
          <w:lang w:val="en"/>
        </w:rPr>
        <w:t>. While the report goes target by target, it makes efforts to indicate cross-fertilization between proposed actions to enhance progress of the various targets. “Coordinated actions that maximize the positive interactions amongst targets can potentially reduce the overall costs of implementation of a NBSAP and optimize its implementation and execution time”.</w:t>
      </w:r>
      <w:r w:rsidR="00077A1C">
        <w:rPr>
          <w:rStyle w:val="FootnoteReference"/>
          <w:rFonts w:cs="Arial"/>
          <w:color w:val="333333"/>
          <w:lang w:val="en"/>
        </w:rPr>
        <w:footnoteReference w:id="11"/>
      </w:r>
    </w:p>
    <w:p w14:paraId="1634EAFA" w14:textId="77777777" w:rsidR="00A50577" w:rsidRPr="00B3061D" w:rsidRDefault="00A50577" w:rsidP="00B3061D">
      <w:pPr>
        <w:spacing w:after="0" w:line="240" w:lineRule="auto"/>
        <w:rPr>
          <w:rFonts w:cs="Arial"/>
          <w:color w:val="333333"/>
          <w:lang w:val="en"/>
        </w:rPr>
      </w:pPr>
    </w:p>
    <w:p w14:paraId="3D47C450" w14:textId="799F31B2" w:rsidR="00540E82" w:rsidRPr="00B3061D" w:rsidRDefault="00B36112" w:rsidP="00B3061D">
      <w:pPr>
        <w:spacing w:after="0" w:line="240" w:lineRule="auto"/>
        <w:rPr>
          <w:rFonts w:cs="Arial"/>
          <w:color w:val="333333"/>
          <w:lang w:val="en"/>
        </w:rPr>
      </w:pPr>
      <w:r w:rsidRPr="00B3061D">
        <w:rPr>
          <w:rFonts w:cs="Arial"/>
          <w:color w:val="333333"/>
          <w:lang w:val="en"/>
        </w:rPr>
        <w:t xml:space="preserve">Community-based initiatives can provide inspiring examples of doing so. Looking at examples of integrated management processes, </w:t>
      </w:r>
      <w:r w:rsidR="00540E82" w:rsidRPr="00B3061D">
        <w:rPr>
          <w:rFonts w:cs="Arial"/>
          <w:color w:val="333333"/>
          <w:lang w:val="en"/>
        </w:rPr>
        <w:t>it is</w:t>
      </w:r>
      <w:r w:rsidRPr="00B3061D">
        <w:rPr>
          <w:rFonts w:cs="Arial"/>
          <w:color w:val="333333"/>
          <w:lang w:val="en"/>
        </w:rPr>
        <w:t xml:space="preserve"> sometimes</w:t>
      </w:r>
      <w:r w:rsidR="00540E82" w:rsidRPr="00B3061D">
        <w:rPr>
          <w:rFonts w:cs="Arial"/>
          <w:color w:val="333333"/>
          <w:lang w:val="en"/>
        </w:rPr>
        <w:t xml:space="preserve"> nearly impossible to </w:t>
      </w:r>
      <w:r w:rsidR="005F13D2" w:rsidRPr="00B3061D">
        <w:rPr>
          <w:rFonts w:cs="Arial"/>
          <w:color w:val="333333"/>
          <w:lang w:val="en"/>
        </w:rPr>
        <w:t>single out the various elements and allocate them to a specific target – or sometimes even a specific strategic goal. The</w:t>
      </w:r>
      <w:r w:rsidR="00715BD7" w:rsidRPr="00B3061D">
        <w:rPr>
          <w:rFonts w:cs="Arial"/>
          <w:color w:val="333333"/>
          <w:lang w:val="en"/>
        </w:rPr>
        <w:t xml:space="preserve"> integrated management strategies don’t distinguish consciously between them. </w:t>
      </w:r>
    </w:p>
    <w:p w14:paraId="0350ECE2" w14:textId="77777777" w:rsidR="00AF2436" w:rsidRPr="00B3061D" w:rsidRDefault="00AF2436" w:rsidP="00B3061D">
      <w:pPr>
        <w:spacing w:after="0" w:line="240" w:lineRule="auto"/>
        <w:rPr>
          <w:rFonts w:cs="Arial"/>
          <w:lang w:val="en-GB"/>
        </w:rPr>
      </w:pPr>
    </w:p>
    <w:p w14:paraId="181FD14E" w14:textId="735B8ECB" w:rsidR="0076439B" w:rsidRPr="00B3061D" w:rsidRDefault="00965B12" w:rsidP="00B3061D">
      <w:pPr>
        <w:spacing w:after="0" w:line="240" w:lineRule="auto"/>
        <w:rPr>
          <w:rFonts w:cs="Arial"/>
          <w:lang w:val="en-GB"/>
        </w:rPr>
      </w:pPr>
      <w:r w:rsidRPr="00B3061D">
        <w:rPr>
          <w:rFonts w:cs="Arial"/>
          <w:color w:val="333333"/>
          <w:lang w:val="en"/>
        </w:rPr>
        <w:t>Below are two examples of int</w:t>
      </w:r>
      <w:r w:rsidR="007548E6" w:rsidRPr="00B3061D">
        <w:rPr>
          <w:rFonts w:cs="Arial"/>
          <w:color w:val="333333"/>
          <w:lang w:val="en"/>
        </w:rPr>
        <w:t xml:space="preserve">egrated management initiatives that </w:t>
      </w:r>
      <w:r w:rsidRPr="00B3061D">
        <w:rPr>
          <w:rFonts w:cs="Arial"/>
          <w:color w:val="333333"/>
          <w:lang w:val="en"/>
        </w:rPr>
        <w:t>contribute to multiple targets</w:t>
      </w:r>
      <w:r w:rsidR="009B5CBA">
        <w:rPr>
          <w:rFonts w:cs="Arial"/>
          <w:color w:val="333333"/>
          <w:lang w:val="en"/>
        </w:rPr>
        <w:t>:</w:t>
      </w:r>
      <w:r w:rsidRPr="00B3061D">
        <w:rPr>
          <w:rFonts w:cs="Arial"/>
          <w:color w:val="333333"/>
          <w:lang w:val="en"/>
        </w:rPr>
        <w:t xml:space="preserve"> </w:t>
      </w:r>
    </w:p>
    <w:p w14:paraId="16979ADB" w14:textId="77777777" w:rsidR="00D90AC0" w:rsidRPr="00B3061D" w:rsidRDefault="00D90AC0" w:rsidP="00B3061D">
      <w:pPr>
        <w:tabs>
          <w:tab w:val="left" w:pos="720"/>
        </w:tabs>
        <w:spacing w:after="0" w:line="240" w:lineRule="auto"/>
        <w:rPr>
          <w:rFonts w:eastAsia="MS Mincho"/>
          <w:color w:val="0070C0"/>
          <w:lang w:val="en-GB" w:eastAsia="ja-JP"/>
        </w:rPr>
      </w:pPr>
    </w:p>
    <w:p w14:paraId="260EF72C" w14:textId="36D86818" w:rsidR="00965B12" w:rsidRPr="00B3061D" w:rsidRDefault="00965B12" w:rsidP="003F0DDA">
      <w:pPr>
        <w:tabs>
          <w:tab w:val="left" w:pos="720"/>
        </w:tabs>
        <w:spacing w:after="0" w:line="240" w:lineRule="auto"/>
        <w:rPr>
          <w:rFonts w:eastAsia="MS Mincho"/>
          <w:color w:val="0070C0"/>
          <w:lang w:val="en-GB" w:eastAsia="ja-JP"/>
        </w:rPr>
      </w:pPr>
      <w:r w:rsidRPr="00B3061D">
        <w:rPr>
          <w:rFonts w:eastAsia="MS Mincho"/>
          <w:color w:val="0070C0"/>
          <w:lang w:val="en-GB" w:eastAsia="ja-JP"/>
        </w:rPr>
        <w:t xml:space="preserve">Case study: Holistic land use management and monitoring systems of the </w:t>
      </w:r>
      <w:proofErr w:type="spellStart"/>
      <w:r w:rsidRPr="00B3061D">
        <w:rPr>
          <w:rFonts w:eastAsia="MS Mincho"/>
          <w:color w:val="0070C0"/>
          <w:lang w:val="en-GB" w:eastAsia="ja-JP"/>
        </w:rPr>
        <w:t>Ngati</w:t>
      </w:r>
      <w:proofErr w:type="spellEnd"/>
      <w:r w:rsidRPr="00B3061D">
        <w:rPr>
          <w:rFonts w:eastAsia="MS Mincho"/>
          <w:color w:val="0070C0"/>
          <w:lang w:val="en-GB" w:eastAsia="ja-JP"/>
        </w:rPr>
        <w:t xml:space="preserve"> Hine people, </w:t>
      </w:r>
      <w:proofErr w:type="spellStart"/>
      <w:r w:rsidRPr="00B3061D">
        <w:rPr>
          <w:rFonts w:eastAsia="MS Mincho"/>
          <w:color w:val="0070C0"/>
          <w:lang w:val="en-GB" w:eastAsia="ja-JP"/>
        </w:rPr>
        <w:t>Aotearoa</w:t>
      </w:r>
      <w:proofErr w:type="spellEnd"/>
      <w:r w:rsidRPr="00B3061D">
        <w:rPr>
          <w:rFonts w:eastAsia="MS Mincho"/>
          <w:color w:val="0070C0"/>
          <w:lang w:val="en-GB" w:eastAsia="ja-JP"/>
        </w:rPr>
        <w:t>-New Zealand</w:t>
      </w:r>
    </w:p>
    <w:p w14:paraId="0D64A55F" w14:textId="3B311B69" w:rsidR="00965B12" w:rsidRPr="00B3061D" w:rsidRDefault="00965B12" w:rsidP="003F0DDA">
      <w:pPr>
        <w:spacing w:after="0" w:line="240" w:lineRule="auto"/>
        <w:rPr>
          <w:lang w:val="en-GB"/>
        </w:rPr>
      </w:pPr>
      <w:r w:rsidRPr="00B3061D">
        <w:rPr>
          <w:lang w:val="en-GB"/>
        </w:rPr>
        <w:t xml:space="preserve">The </w:t>
      </w:r>
      <w:proofErr w:type="spellStart"/>
      <w:r w:rsidRPr="00B3061D">
        <w:rPr>
          <w:lang w:val="en-GB"/>
        </w:rPr>
        <w:t>Ngati</w:t>
      </w:r>
      <w:proofErr w:type="spellEnd"/>
      <w:r w:rsidRPr="00B3061D">
        <w:rPr>
          <w:lang w:val="en-GB"/>
        </w:rPr>
        <w:t xml:space="preserve"> Hine people of </w:t>
      </w:r>
      <w:proofErr w:type="spellStart"/>
      <w:r w:rsidRPr="00B3061D">
        <w:rPr>
          <w:lang w:val="en-GB"/>
        </w:rPr>
        <w:t>Aotearoa</w:t>
      </w:r>
      <w:proofErr w:type="spellEnd"/>
      <w:r w:rsidRPr="00B3061D">
        <w:rPr>
          <w:lang w:val="en-GB"/>
        </w:rPr>
        <w:t xml:space="preserve">-New Zealand, headed by the Maori community-based organization </w:t>
      </w:r>
      <w:proofErr w:type="spellStart"/>
      <w:r w:rsidRPr="00B3061D">
        <w:rPr>
          <w:lang w:val="en-GB"/>
        </w:rPr>
        <w:t>Nga</w:t>
      </w:r>
      <w:proofErr w:type="spellEnd"/>
      <w:r w:rsidRPr="00B3061D">
        <w:rPr>
          <w:lang w:val="en-GB"/>
        </w:rPr>
        <w:t xml:space="preserve"> </w:t>
      </w:r>
      <w:proofErr w:type="spellStart"/>
      <w:r w:rsidRPr="00B3061D">
        <w:rPr>
          <w:lang w:val="en-GB"/>
        </w:rPr>
        <w:t>Tirairaka</w:t>
      </w:r>
      <w:proofErr w:type="spellEnd"/>
      <w:r w:rsidRPr="00B3061D">
        <w:rPr>
          <w:lang w:val="en-GB"/>
        </w:rPr>
        <w:t xml:space="preserve"> o </w:t>
      </w:r>
      <w:proofErr w:type="spellStart"/>
      <w:r w:rsidRPr="00B3061D">
        <w:rPr>
          <w:lang w:val="en-GB"/>
        </w:rPr>
        <w:t>Ngati</w:t>
      </w:r>
      <w:proofErr w:type="spellEnd"/>
      <w:r w:rsidRPr="00B3061D">
        <w:rPr>
          <w:lang w:val="en-GB"/>
        </w:rPr>
        <w:t xml:space="preserve"> Hine are facing environmental problems affecting the territory which include intensive farming with chemicals, deforestation, change in land use from hunting and gardening to agriculture and exotic forestry. To address the problems, they decided to establish a monitoring framework to keep track on the status of their territory. The monitoring framework is not based on ecosystems, but on realms of gods and goddesses that relate to biodiversity, like: water; earth, soil, minerals; cultivated foods; forest trees, plants, birds; ocean water, marine fish; coastal tidal zone, shellfish; and berries, mushrooms, edible plants. In the monitoring systems, all species are considered to be equally important and depending on one another – so all species are recorded and monitored. A monthly programme is run- the </w:t>
      </w:r>
      <w:proofErr w:type="spellStart"/>
      <w:r w:rsidRPr="00B3061D">
        <w:rPr>
          <w:lang w:val="en-GB"/>
        </w:rPr>
        <w:t>Ngati</w:t>
      </w:r>
      <w:proofErr w:type="spellEnd"/>
      <w:r w:rsidRPr="00B3061D">
        <w:rPr>
          <w:lang w:val="en-GB"/>
        </w:rPr>
        <w:t xml:space="preserve"> Hine moon calendar provides a timeframe for recording each realm. Local guardians monitor their assigned areas at least once a month, testing the calendar and adding to it. They record data, monitor and control invasive species and coordinate enhancement work (e.g. riparian planting of clearing obstructions for </w:t>
      </w:r>
      <w:proofErr w:type="spellStart"/>
      <w:r w:rsidRPr="00B3061D">
        <w:rPr>
          <w:lang w:val="en-GB"/>
        </w:rPr>
        <w:t>longfin</w:t>
      </w:r>
      <w:proofErr w:type="spellEnd"/>
      <w:r w:rsidRPr="00B3061D">
        <w:rPr>
          <w:lang w:val="en-GB"/>
        </w:rPr>
        <w:t xml:space="preserve"> eels </w:t>
      </w:r>
      <w:proofErr w:type="gramStart"/>
      <w:r w:rsidRPr="00B3061D">
        <w:rPr>
          <w:lang w:val="en-GB"/>
        </w:rPr>
        <w:t>-  a</w:t>
      </w:r>
      <w:proofErr w:type="gramEnd"/>
      <w:r w:rsidRPr="00B3061D">
        <w:rPr>
          <w:lang w:val="en-GB"/>
        </w:rPr>
        <w:t xml:space="preserve"> significant species for the </w:t>
      </w:r>
      <w:proofErr w:type="spellStart"/>
      <w:r w:rsidRPr="00B3061D">
        <w:rPr>
          <w:lang w:val="en-GB"/>
        </w:rPr>
        <w:t>Ngati</w:t>
      </w:r>
      <w:proofErr w:type="spellEnd"/>
      <w:r w:rsidRPr="00B3061D">
        <w:rPr>
          <w:lang w:val="en-GB"/>
        </w:rPr>
        <w:t xml:space="preserve"> Hine who help them to swim past the waterfalls during their migrations).  </w:t>
      </w:r>
      <w:proofErr w:type="spellStart"/>
      <w:r w:rsidRPr="00B3061D">
        <w:rPr>
          <w:lang w:val="en-GB"/>
        </w:rPr>
        <w:t>Ngati</w:t>
      </w:r>
      <w:proofErr w:type="spellEnd"/>
      <w:r w:rsidRPr="00B3061D">
        <w:rPr>
          <w:lang w:val="en-GB"/>
        </w:rPr>
        <w:t xml:space="preserve"> Hine put together databases on species of significance, focussing on those that are no longer sustainable for customary use as medicine or food. E.g. the vulnerable kiwi – the </w:t>
      </w:r>
      <w:proofErr w:type="spellStart"/>
      <w:r w:rsidRPr="00B3061D">
        <w:rPr>
          <w:lang w:val="en-GB"/>
        </w:rPr>
        <w:t>Ngati</w:t>
      </w:r>
      <w:proofErr w:type="spellEnd"/>
      <w:r w:rsidRPr="00B3061D">
        <w:rPr>
          <w:lang w:val="en-GB"/>
        </w:rPr>
        <w:t xml:space="preserve"> Hine work to control pests and plants that are poisonous to kiwi and ensure it has enough food. Youth are actively involved and monitoring activities </w:t>
      </w:r>
      <w:proofErr w:type="gramStart"/>
      <w:r w:rsidRPr="00B3061D">
        <w:rPr>
          <w:lang w:val="en-GB"/>
        </w:rPr>
        <w:t>are  used</w:t>
      </w:r>
      <w:proofErr w:type="gramEnd"/>
      <w:r w:rsidRPr="00B3061D">
        <w:rPr>
          <w:lang w:val="en-GB"/>
        </w:rPr>
        <w:t xml:space="preserve"> as a ways to transfer and apply TK of biodiversity. </w:t>
      </w:r>
      <w:r w:rsidRPr="00B3061D">
        <w:rPr>
          <w:lang w:val="en-GB"/>
        </w:rPr>
        <w:lastRenderedPageBreak/>
        <w:t xml:space="preserve">Information is uploaded into a database and further actions are discussed in joint meetings. The government recognizes the quality and importance of the work by this community. They provide financial assistance for research on species of national importance. </w:t>
      </w:r>
    </w:p>
    <w:p w14:paraId="56F18C82" w14:textId="77777777" w:rsidR="00433F01" w:rsidRDefault="00433F01" w:rsidP="003F0DDA">
      <w:pPr>
        <w:spacing w:after="0" w:line="240" w:lineRule="auto"/>
        <w:rPr>
          <w:lang w:val="en-GB"/>
        </w:rPr>
      </w:pPr>
    </w:p>
    <w:p w14:paraId="6928D6A5" w14:textId="7EEB7DD9" w:rsidR="00965B12" w:rsidRPr="00B3061D" w:rsidRDefault="00703BA9" w:rsidP="003F0DDA">
      <w:pPr>
        <w:spacing w:after="0" w:line="240" w:lineRule="auto"/>
        <w:rPr>
          <w:lang w:val="en-GB"/>
        </w:rPr>
      </w:pPr>
      <w:r w:rsidRPr="00B3061D">
        <w:rPr>
          <w:lang w:val="en-GB"/>
        </w:rPr>
        <w:t xml:space="preserve">This community work potentially links to and contributes to </w:t>
      </w:r>
      <w:r w:rsidR="00A51C35" w:rsidRPr="00B3061D">
        <w:rPr>
          <w:lang w:val="en-GB"/>
        </w:rPr>
        <w:t>multiple Aichi targets, including</w:t>
      </w:r>
      <w:r w:rsidR="00E13D15" w:rsidRPr="00B3061D">
        <w:rPr>
          <w:lang w:val="en-GB"/>
        </w:rPr>
        <w:t xml:space="preserve"> (but not limited to</w:t>
      </w:r>
      <w:proofErr w:type="gramStart"/>
      <w:r w:rsidR="00E13D15" w:rsidRPr="00B3061D">
        <w:rPr>
          <w:lang w:val="en-GB"/>
        </w:rPr>
        <w:t xml:space="preserve">) </w:t>
      </w:r>
      <w:r w:rsidR="00A51C35" w:rsidRPr="00B3061D">
        <w:rPr>
          <w:lang w:val="en-GB"/>
        </w:rPr>
        <w:t xml:space="preserve"> </w:t>
      </w:r>
      <w:r w:rsidR="00965B12" w:rsidRPr="00B3061D">
        <w:rPr>
          <w:lang w:val="en-GB"/>
        </w:rPr>
        <w:t>5</w:t>
      </w:r>
      <w:proofErr w:type="gramEnd"/>
      <w:r w:rsidR="00965B12" w:rsidRPr="00B3061D">
        <w:rPr>
          <w:lang w:val="en-GB"/>
        </w:rPr>
        <w:t>,</w:t>
      </w:r>
      <w:r w:rsidR="00A51C35" w:rsidRPr="00B3061D">
        <w:rPr>
          <w:lang w:val="en-GB"/>
        </w:rPr>
        <w:t xml:space="preserve"> </w:t>
      </w:r>
      <w:r w:rsidR="00965B12" w:rsidRPr="00B3061D">
        <w:rPr>
          <w:lang w:val="en-GB"/>
        </w:rPr>
        <w:t>6,</w:t>
      </w:r>
      <w:r w:rsidR="00A51C35" w:rsidRPr="00B3061D">
        <w:rPr>
          <w:lang w:val="en-GB"/>
        </w:rPr>
        <w:t xml:space="preserve"> </w:t>
      </w:r>
      <w:r w:rsidR="00965B12" w:rsidRPr="00B3061D">
        <w:rPr>
          <w:lang w:val="en-GB"/>
        </w:rPr>
        <w:t>7,</w:t>
      </w:r>
      <w:r w:rsidR="00A51C35" w:rsidRPr="00B3061D">
        <w:rPr>
          <w:lang w:val="en-GB"/>
        </w:rPr>
        <w:t xml:space="preserve"> </w:t>
      </w:r>
      <w:r w:rsidR="00965B12" w:rsidRPr="00B3061D">
        <w:rPr>
          <w:lang w:val="en-GB"/>
        </w:rPr>
        <w:t>12,</w:t>
      </w:r>
      <w:r w:rsidR="00A51C35" w:rsidRPr="00B3061D">
        <w:rPr>
          <w:lang w:val="en-GB"/>
        </w:rPr>
        <w:t xml:space="preserve"> </w:t>
      </w:r>
      <w:r w:rsidR="00965B12" w:rsidRPr="00B3061D">
        <w:rPr>
          <w:lang w:val="en-GB"/>
        </w:rPr>
        <w:t>13,</w:t>
      </w:r>
      <w:r w:rsidR="00A51C35" w:rsidRPr="00B3061D">
        <w:rPr>
          <w:lang w:val="en-GB"/>
        </w:rPr>
        <w:t xml:space="preserve"> 14 and 18. </w:t>
      </w:r>
    </w:p>
    <w:p w14:paraId="5EBF6D6D" w14:textId="77777777" w:rsidR="00965B12" w:rsidRPr="00B3061D" w:rsidRDefault="00965B12" w:rsidP="00B3061D">
      <w:pPr>
        <w:shd w:val="clear" w:color="auto" w:fill="FFFFFF"/>
        <w:spacing w:after="0" w:line="240" w:lineRule="auto"/>
        <w:rPr>
          <w:rFonts w:cs="Arial"/>
          <w:color w:val="333333"/>
          <w:lang w:val="en-GB"/>
        </w:rPr>
      </w:pPr>
    </w:p>
    <w:p w14:paraId="59230C8F" w14:textId="2B47E724" w:rsidR="00965B12" w:rsidRPr="00B3061D" w:rsidRDefault="00E13D15" w:rsidP="00B3061D">
      <w:pPr>
        <w:spacing w:after="0" w:line="240" w:lineRule="auto"/>
        <w:rPr>
          <w:color w:val="0070C0"/>
          <w:lang w:val="en-GB"/>
        </w:rPr>
      </w:pPr>
      <w:r w:rsidRPr="00B3061D">
        <w:rPr>
          <w:color w:val="0070C0"/>
          <w:lang w:val="en-GB"/>
        </w:rPr>
        <w:t xml:space="preserve">Case study: </w:t>
      </w:r>
      <w:r w:rsidR="00965B12" w:rsidRPr="00B3061D">
        <w:rPr>
          <w:color w:val="0070C0"/>
          <w:lang w:val="en-GB"/>
        </w:rPr>
        <w:t xml:space="preserve">Conservation of areas with special value for biodiversity, traditional food production, and spiritual wellbeing, </w:t>
      </w:r>
      <w:proofErr w:type="spellStart"/>
      <w:r w:rsidR="00965B12" w:rsidRPr="00B3061D">
        <w:rPr>
          <w:color w:val="0070C0"/>
          <w:lang w:val="en-GB"/>
        </w:rPr>
        <w:t>Guna</w:t>
      </w:r>
      <w:proofErr w:type="spellEnd"/>
      <w:r w:rsidR="00965B12" w:rsidRPr="00B3061D">
        <w:rPr>
          <w:color w:val="0070C0"/>
          <w:lang w:val="en-GB"/>
        </w:rPr>
        <w:t xml:space="preserve"> </w:t>
      </w:r>
      <w:proofErr w:type="spellStart"/>
      <w:r w:rsidR="00965B12" w:rsidRPr="00B3061D">
        <w:rPr>
          <w:color w:val="0070C0"/>
          <w:lang w:val="en-GB"/>
        </w:rPr>
        <w:t>Yala</w:t>
      </w:r>
      <w:proofErr w:type="spellEnd"/>
      <w:r w:rsidR="00965B12" w:rsidRPr="00B3061D">
        <w:rPr>
          <w:color w:val="0070C0"/>
          <w:lang w:val="en-GB"/>
        </w:rPr>
        <w:t xml:space="preserve">, Panama </w:t>
      </w:r>
    </w:p>
    <w:p w14:paraId="30A5AF7A" w14:textId="77777777" w:rsidR="00965B12" w:rsidRPr="00B3061D" w:rsidRDefault="00965B12" w:rsidP="00B3061D">
      <w:pPr>
        <w:spacing w:after="0" w:line="240" w:lineRule="auto"/>
        <w:rPr>
          <w:rFonts w:cs="Arial"/>
          <w:color w:val="222222"/>
          <w:lang w:val="en-GB"/>
        </w:rPr>
      </w:pPr>
      <w:r w:rsidRPr="00B3061D">
        <w:rPr>
          <w:lang w:val="en-GB"/>
        </w:rPr>
        <w:t xml:space="preserve">In </w:t>
      </w:r>
      <w:proofErr w:type="spellStart"/>
      <w:r w:rsidRPr="00B3061D">
        <w:rPr>
          <w:lang w:val="en-GB"/>
        </w:rPr>
        <w:t>Guna</w:t>
      </w:r>
      <w:proofErr w:type="spellEnd"/>
      <w:r w:rsidRPr="00B3061D">
        <w:rPr>
          <w:lang w:val="en-GB"/>
        </w:rPr>
        <w:t xml:space="preserve"> </w:t>
      </w:r>
      <w:proofErr w:type="spellStart"/>
      <w:r w:rsidRPr="00B3061D">
        <w:rPr>
          <w:lang w:val="en-GB"/>
        </w:rPr>
        <w:t>Yala</w:t>
      </w:r>
      <w:proofErr w:type="spellEnd"/>
      <w:r w:rsidRPr="00B3061D">
        <w:rPr>
          <w:lang w:val="en-GB"/>
        </w:rPr>
        <w:t xml:space="preserve">, Panama, an indigenous </w:t>
      </w:r>
      <w:proofErr w:type="spellStart"/>
      <w:proofErr w:type="gramStart"/>
      <w:r w:rsidRPr="00B3061D">
        <w:rPr>
          <w:lang w:val="en-GB"/>
        </w:rPr>
        <w:t>Guna</w:t>
      </w:r>
      <w:proofErr w:type="spellEnd"/>
      <w:r w:rsidRPr="00B3061D">
        <w:rPr>
          <w:lang w:val="en-GB"/>
        </w:rPr>
        <w:t xml:space="preserve">  community</w:t>
      </w:r>
      <w:proofErr w:type="gramEnd"/>
      <w:r w:rsidRPr="00B3061D">
        <w:rPr>
          <w:lang w:val="en-GB"/>
        </w:rPr>
        <w:t xml:space="preserve"> is s</w:t>
      </w:r>
      <w:r w:rsidRPr="00B3061D">
        <w:rPr>
          <w:rStyle w:val="hps"/>
          <w:rFonts w:cs="Arial"/>
          <w:color w:val="222222"/>
          <w:lang w:val="en-GB"/>
        </w:rPr>
        <w:t>trengthening</w:t>
      </w:r>
      <w:r w:rsidRPr="00B3061D">
        <w:rPr>
          <w:rFonts w:cs="Arial"/>
          <w:color w:val="222222"/>
          <w:lang w:val="en-GB"/>
        </w:rPr>
        <w:t xml:space="preserve"> its </w:t>
      </w:r>
      <w:r w:rsidRPr="00B3061D">
        <w:rPr>
          <w:rStyle w:val="hps"/>
          <w:rFonts w:cs="Arial"/>
          <w:color w:val="222222"/>
          <w:lang w:val="en-GB"/>
        </w:rPr>
        <w:t>territorial</w:t>
      </w:r>
      <w:r w:rsidRPr="00B3061D">
        <w:rPr>
          <w:rFonts w:cs="Arial"/>
          <w:color w:val="222222"/>
          <w:lang w:val="en-GB"/>
        </w:rPr>
        <w:t xml:space="preserve"> </w:t>
      </w:r>
      <w:r w:rsidRPr="00B3061D">
        <w:rPr>
          <w:rStyle w:val="hps"/>
          <w:rFonts w:cs="Arial"/>
          <w:color w:val="222222"/>
          <w:lang w:val="en-GB"/>
        </w:rPr>
        <w:t>governance</w:t>
      </w:r>
      <w:r w:rsidRPr="00B3061D">
        <w:rPr>
          <w:rFonts w:cs="Arial"/>
          <w:color w:val="222222"/>
          <w:lang w:val="en-GB"/>
        </w:rPr>
        <w:t xml:space="preserve"> system focusing on traditional crops, sacred sites and conservation of biodiversity. 2013 the </w:t>
      </w:r>
      <w:proofErr w:type="spellStart"/>
      <w:r w:rsidRPr="00B3061D">
        <w:rPr>
          <w:rFonts w:cs="Arial"/>
          <w:color w:val="222222"/>
          <w:lang w:val="en-GB"/>
        </w:rPr>
        <w:t>Guna</w:t>
      </w:r>
      <w:proofErr w:type="spellEnd"/>
      <w:r w:rsidRPr="00B3061D">
        <w:rPr>
          <w:rFonts w:cs="Arial"/>
          <w:color w:val="222222"/>
          <w:lang w:val="en-GB"/>
        </w:rPr>
        <w:t xml:space="preserve"> community at </w:t>
      </w:r>
      <w:proofErr w:type="spellStart"/>
      <w:r w:rsidRPr="00B3061D">
        <w:rPr>
          <w:rFonts w:cs="Arial"/>
          <w:color w:val="222222"/>
          <w:lang w:val="en-GB"/>
        </w:rPr>
        <w:t>Usdub</w:t>
      </w:r>
      <w:proofErr w:type="spellEnd"/>
      <w:r w:rsidRPr="00B3061D">
        <w:rPr>
          <w:rFonts w:cs="Arial"/>
          <w:color w:val="222222"/>
          <w:lang w:val="en-GB"/>
        </w:rPr>
        <w:t xml:space="preserve"> decided to set up</w:t>
      </w:r>
      <w:r w:rsidRPr="00B3061D">
        <w:rPr>
          <w:rStyle w:val="hps"/>
          <w:rFonts w:cs="Arial"/>
          <w:color w:val="222222"/>
          <w:lang w:val="en-GB"/>
        </w:rPr>
        <w:t xml:space="preserve"> indigenous conservation</w:t>
      </w:r>
      <w:r w:rsidRPr="00B3061D">
        <w:rPr>
          <w:rFonts w:cs="Arial"/>
          <w:color w:val="222222"/>
          <w:lang w:val="en-GB"/>
        </w:rPr>
        <w:t xml:space="preserve"> </w:t>
      </w:r>
      <w:r w:rsidRPr="00B3061D">
        <w:rPr>
          <w:rStyle w:val="hps"/>
          <w:rFonts w:cs="Arial"/>
          <w:color w:val="222222"/>
          <w:lang w:val="en-GB"/>
        </w:rPr>
        <w:t>areas</w:t>
      </w:r>
      <w:r w:rsidRPr="00B3061D">
        <w:rPr>
          <w:rFonts w:cs="Arial"/>
          <w:color w:val="222222"/>
          <w:lang w:val="en-GB"/>
        </w:rPr>
        <w:t xml:space="preserve"> </w:t>
      </w:r>
      <w:r w:rsidRPr="00B3061D">
        <w:rPr>
          <w:rStyle w:val="hps"/>
          <w:rFonts w:cs="Arial"/>
          <w:color w:val="222222"/>
          <w:lang w:val="en-GB"/>
        </w:rPr>
        <w:t xml:space="preserve">in </w:t>
      </w:r>
      <w:proofErr w:type="spellStart"/>
      <w:r w:rsidRPr="00B3061D">
        <w:rPr>
          <w:rStyle w:val="hps"/>
          <w:rFonts w:cs="Arial"/>
          <w:color w:val="222222"/>
          <w:lang w:val="en-GB"/>
        </w:rPr>
        <w:t>Maniyala</w:t>
      </w:r>
      <w:proofErr w:type="spellEnd"/>
      <w:r w:rsidRPr="00B3061D">
        <w:rPr>
          <w:rFonts w:cs="Arial"/>
          <w:color w:val="222222"/>
          <w:lang w:val="en-GB"/>
        </w:rPr>
        <w:t xml:space="preserve"> </w:t>
      </w:r>
      <w:r w:rsidRPr="00B3061D">
        <w:rPr>
          <w:rStyle w:val="hps"/>
          <w:rFonts w:cs="Arial"/>
          <w:color w:val="222222"/>
          <w:lang w:val="en-GB"/>
        </w:rPr>
        <w:t>and</w:t>
      </w:r>
      <w:r w:rsidRPr="00B3061D">
        <w:rPr>
          <w:rFonts w:cs="Arial"/>
          <w:color w:val="222222"/>
          <w:lang w:val="en-GB"/>
        </w:rPr>
        <w:t xml:space="preserve"> </w:t>
      </w:r>
      <w:proofErr w:type="spellStart"/>
      <w:r w:rsidRPr="00B3061D">
        <w:rPr>
          <w:rStyle w:val="hps"/>
          <w:rFonts w:cs="Arial"/>
          <w:color w:val="222222"/>
          <w:lang w:val="en-GB"/>
        </w:rPr>
        <w:t>Yandub</w:t>
      </w:r>
      <w:proofErr w:type="spellEnd"/>
      <w:r w:rsidRPr="00B3061D">
        <w:rPr>
          <w:rFonts w:cs="Arial"/>
          <w:color w:val="222222"/>
          <w:lang w:val="en-GB"/>
        </w:rPr>
        <w:t xml:space="preserve">. </w:t>
      </w:r>
      <w:proofErr w:type="spellStart"/>
      <w:r w:rsidRPr="00B3061D">
        <w:rPr>
          <w:rStyle w:val="hps"/>
          <w:rFonts w:cs="Arial"/>
          <w:color w:val="222222"/>
          <w:lang w:val="en-GB"/>
        </w:rPr>
        <w:t>Maniyala</w:t>
      </w:r>
      <w:proofErr w:type="spellEnd"/>
      <w:r w:rsidRPr="00B3061D">
        <w:rPr>
          <w:rFonts w:cs="Arial"/>
          <w:color w:val="222222"/>
          <w:lang w:val="en-GB"/>
        </w:rPr>
        <w:t xml:space="preserve"> is </w:t>
      </w:r>
      <w:r w:rsidRPr="00B3061D">
        <w:rPr>
          <w:rStyle w:val="hps"/>
          <w:rFonts w:cs="Arial"/>
          <w:color w:val="222222"/>
          <w:lang w:val="en-GB"/>
        </w:rPr>
        <w:t>important for</w:t>
      </w:r>
      <w:r w:rsidRPr="00B3061D">
        <w:rPr>
          <w:rFonts w:cs="Arial"/>
          <w:color w:val="222222"/>
          <w:lang w:val="en-GB"/>
        </w:rPr>
        <w:t xml:space="preserve"> </w:t>
      </w:r>
      <w:r w:rsidRPr="00B3061D">
        <w:rPr>
          <w:rStyle w:val="hps"/>
          <w:rFonts w:cs="Arial"/>
          <w:color w:val="222222"/>
          <w:lang w:val="en-GB"/>
        </w:rPr>
        <w:t>biodiversity</w:t>
      </w:r>
      <w:r w:rsidRPr="00B3061D">
        <w:rPr>
          <w:rFonts w:cs="Arial"/>
          <w:color w:val="222222"/>
          <w:lang w:val="en-GB"/>
        </w:rPr>
        <w:t xml:space="preserve"> </w:t>
      </w:r>
      <w:r w:rsidRPr="00B3061D">
        <w:rPr>
          <w:rStyle w:val="hps"/>
          <w:rFonts w:cs="Arial"/>
          <w:color w:val="222222"/>
          <w:lang w:val="en-GB"/>
        </w:rPr>
        <w:t>conservation</w:t>
      </w:r>
      <w:r w:rsidRPr="00B3061D">
        <w:rPr>
          <w:rFonts w:cs="Arial"/>
          <w:color w:val="222222"/>
          <w:lang w:val="en-GB"/>
        </w:rPr>
        <w:t xml:space="preserve"> </w:t>
      </w:r>
      <w:r w:rsidRPr="00B3061D">
        <w:rPr>
          <w:rStyle w:val="hps"/>
          <w:rFonts w:cs="Arial"/>
          <w:color w:val="222222"/>
          <w:lang w:val="en-GB"/>
        </w:rPr>
        <w:t>and a spiritual</w:t>
      </w:r>
      <w:r w:rsidRPr="00B3061D">
        <w:rPr>
          <w:rFonts w:cs="Arial"/>
          <w:color w:val="222222"/>
          <w:lang w:val="en-GB"/>
        </w:rPr>
        <w:t xml:space="preserve"> sacred site, and </w:t>
      </w:r>
      <w:proofErr w:type="spellStart"/>
      <w:r w:rsidRPr="00B3061D">
        <w:rPr>
          <w:rStyle w:val="hps"/>
          <w:rFonts w:cs="Arial"/>
          <w:color w:val="222222"/>
          <w:lang w:val="en-GB"/>
        </w:rPr>
        <w:t>Yandub</w:t>
      </w:r>
      <w:proofErr w:type="spellEnd"/>
      <w:r w:rsidRPr="00B3061D">
        <w:rPr>
          <w:rFonts w:cs="Arial"/>
          <w:color w:val="222222"/>
          <w:lang w:val="en-GB"/>
        </w:rPr>
        <w:t xml:space="preserve"> is a site of </w:t>
      </w:r>
      <w:r w:rsidRPr="00B3061D">
        <w:rPr>
          <w:rStyle w:val="hps"/>
          <w:rFonts w:cs="Arial"/>
          <w:color w:val="222222"/>
          <w:lang w:val="en-GB"/>
        </w:rPr>
        <w:t>historical-cultural</w:t>
      </w:r>
      <w:r w:rsidRPr="00B3061D">
        <w:rPr>
          <w:rFonts w:cs="Arial"/>
          <w:color w:val="222222"/>
          <w:lang w:val="en-GB"/>
        </w:rPr>
        <w:t xml:space="preserve"> </w:t>
      </w:r>
      <w:r w:rsidRPr="00B3061D">
        <w:rPr>
          <w:rStyle w:val="hps"/>
          <w:rFonts w:cs="Arial"/>
          <w:color w:val="222222"/>
          <w:lang w:val="en-GB"/>
        </w:rPr>
        <w:t>importance</w:t>
      </w:r>
      <w:r w:rsidRPr="00B3061D">
        <w:rPr>
          <w:rFonts w:cs="Arial"/>
          <w:color w:val="222222"/>
          <w:lang w:val="en-GB"/>
        </w:rPr>
        <w:t xml:space="preserve">. After holding </w:t>
      </w:r>
      <w:r w:rsidRPr="00B3061D">
        <w:rPr>
          <w:rStyle w:val="hps"/>
          <w:rFonts w:cs="Arial"/>
          <w:color w:val="222222"/>
          <w:lang w:val="en-GB"/>
        </w:rPr>
        <w:t>a workshop with 150 community members on</w:t>
      </w:r>
      <w:r w:rsidRPr="00B3061D">
        <w:rPr>
          <w:rFonts w:cs="Arial"/>
          <w:color w:val="222222"/>
          <w:lang w:val="en-GB"/>
        </w:rPr>
        <w:t xml:space="preserve"> </w:t>
      </w:r>
      <w:r w:rsidRPr="00B3061D">
        <w:rPr>
          <w:rStyle w:val="hps"/>
          <w:rFonts w:cs="Arial"/>
          <w:color w:val="222222"/>
          <w:lang w:val="en-GB"/>
        </w:rPr>
        <w:t>the importance of</w:t>
      </w:r>
      <w:r w:rsidRPr="00B3061D">
        <w:rPr>
          <w:rFonts w:cs="Arial"/>
          <w:color w:val="222222"/>
          <w:lang w:val="en-GB"/>
        </w:rPr>
        <w:t xml:space="preserve"> </w:t>
      </w:r>
      <w:r w:rsidRPr="00B3061D">
        <w:rPr>
          <w:rStyle w:val="hps"/>
          <w:rFonts w:cs="Arial"/>
          <w:color w:val="222222"/>
          <w:lang w:val="en-GB"/>
        </w:rPr>
        <w:t>conservation</w:t>
      </w:r>
      <w:r w:rsidRPr="00B3061D">
        <w:rPr>
          <w:rFonts w:cs="Arial"/>
          <w:color w:val="222222"/>
          <w:lang w:val="en-GB"/>
        </w:rPr>
        <w:t xml:space="preserve"> of </w:t>
      </w:r>
      <w:proofErr w:type="spellStart"/>
      <w:r w:rsidRPr="00B3061D">
        <w:rPr>
          <w:rStyle w:val="hps"/>
          <w:rFonts w:cs="Arial"/>
          <w:color w:val="222222"/>
          <w:lang w:val="en-GB"/>
        </w:rPr>
        <w:t>Maniyala</w:t>
      </w:r>
      <w:proofErr w:type="spellEnd"/>
      <w:r w:rsidRPr="00B3061D">
        <w:rPr>
          <w:rStyle w:val="hps"/>
          <w:rFonts w:cs="Arial"/>
          <w:color w:val="222222"/>
          <w:lang w:val="en-GB"/>
        </w:rPr>
        <w:t xml:space="preserve">, the </w:t>
      </w:r>
      <w:proofErr w:type="spellStart"/>
      <w:r w:rsidRPr="00B3061D">
        <w:rPr>
          <w:rStyle w:val="hps"/>
          <w:rFonts w:cs="Arial"/>
          <w:color w:val="222222"/>
          <w:lang w:val="en-GB"/>
        </w:rPr>
        <w:t>Usdub</w:t>
      </w:r>
      <w:proofErr w:type="spellEnd"/>
      <w:r w:rsidRPr="00B3061D">
        <w:rPr>
          <w:rStyle w:val="hps"/>
          <w:rFonts w:cs="Arial"/>
          <w:color w:val="222222"/>
          <w:lang w:val="en-GB"/>
        </w:rPr>
        <w:t xml:space="preserve"> community developed a draft internal</w:t>
      </w:r>
      <w:r w:rsidRPr="00B3061D">
        <w:rPr>
          <w:rFonts w:cs="Arial"/>
          <w:color w:val="222222"/>
          <w:lang w:val="en-GB"/>
        </w:rPr>
        <w:t xml:space="preserve"> </w:t>
      </w:r>
      <w:r w:rsidRPr="00B3061D">
        <w:rPr>
          <w:rStyle w:val="hps"/>
          <w:rFonts w:cs="Arial"/>
          <w:color w:val="222222"/>
          <w:lang w:val="en-GB"/>
        </w:rPr>
        <w:t>standard or law</w:t>
      </w:r>
      <w:r w:rsidRPr="00B3061D">
        <w:rPr>
          <w:rFonts w:cs="Arial"/>
          <w:color w:val="222222"/>
          <w:lang w:val="en-GB"/>
        </w:rPr>
        <w:t xml:space="preserve"> to </w:t>
      </w:r>
      <w:r w:rsidRPr="00B3061D">
        <w:rPr>
          <w:rStyle w:val="hps"/>
          <w:rFonts w:cs="Arial"/>
          <w:color w:val="222222"/>
          <w:lang w:val="en-GB"/>
        </w:rPr>
        <w:t>protect and respect</w:t>
      </w:r>
      <w:r w:rsidRPr="00B3061D">
        <w:rPr>
          <w:rFonts w:cs="Arial"/>
          <w:color w:val="222222"/>
          <w:lang w:val="en-GB"/>
        </w:rPr>
        <w:t xml:space="preserve"> </w:t>
      </w:r>
      <w:r w:rsidRPr="00B3061D">
        <w:rPr>
          <w:rStyle w:val="hps"/>
          <w:rFonts w:cs="Arial"/>
          <w:color w:val="222222"/>
          <w:lang w:val="en-GB"/>
        </w:rPr>
        <w:t>the different</w:t>
      </w:r>
      <w:r w:rsidRPr="00B3061D">
        <w:rPr>
          <w:rFonts w:cs="Arial"/>
          <w:color w:val="222222"/>
          <w:lang w:val="en-GB"/>
        </w:rPr>
        <w:t xml:space="preserve"> </w:t>
      </w:r>
      <w:r w:rsidRPr="00B3061D">
        <w:rPr>
          <w:rStyle w:val="hps"/>
          <w:rFonts w:cs="Arial"/>
          <w:color w:val="222222"/>
          <w:lang w:val="en-GB"/>
        </w:rPr>
        <w:t>sites of cultural</w:t>
      </w:r>
      <w:r w:rsidRPr="00B3061D">
        <w:rPr>
          <w:rFonts w:cs="Arial"/>
          <w:color w:val="222222"/>
          <w:lang w:val="en-GB"/>
        </w:rPr>
        <w:t xml:space="preserve"> and </w:t>
      </w:r>
      <w:r w:rsidRPr="00B3061D">
        <w:rPr>
          <w:rStyle w:val="hps"/>
          <w:rFonts w:cs="Arial"/>
          <w:color w:val="222222"/>
          <w:lang w:val="en-GB"/>
        </w:rPr>
        <w:t>ecological</w:t>
      </w:r>
      <w:r w:rsidRPr="00B3061D">
        <w:rPr>
          <w:rFonts w:cs="Arial"/>
          <w:color w:val="222222"/>
          <w:lang w:val="en-GB"/>
        </w:rPr>
        <w:t xml:space="preserve"> </w:t>
      </w:r>
      <w:r w:rsidRPr="00B3061D">
        <w:rPr>
          <w:rStyle w:val="hps"/>
          <w:rFonts w:cs="Arial"/>
          <w:color w:val="222222"/>
          <w:lang w:val="en-GB"/>
        </w:rPr>
        <w:t xml:space="preserve">importance to </w:t>
      </w:r>
      <w:proofErr w:type="spellStart"/>
      <w:r w:rsidRPr="00B3061D">
        <w:rPr>
          <w:rStyle w:val="hps"/>
          <w:rFonts w:cs="Arial"/>
          <w:color w:val="222222"/>
          <w:lang w:val="en-GB"/>
        </w:rPr>
        <w:t>Usdub</w:t>
      </w:r>
      <w:proofErr w:type="spellEnd"/>
      <w:r w:rsidRPr="00B3061D">
        <w:rPr>
          <w:rFonts w:cs="Arial"/>
          <w:color w:val="222222"/>
          <w:lang w:val="en-GB"/>
        </w:rPr>
        <w:t>. A</w:t>
      </w:r>
      <w:r w:rsidRPr="00B3061D">
        <w:rPr>
          <w:rStyle w:val="hps"/>
          <w:rFonts w:cs="Arial"/>
          <w:color w:val="222222"/>
          <w:lang w:val="en-GB"/>
        </w:rPr>
        <w:t xml:space="preserve"> digital map of </w:t>
      </w:r>
      <w:proofErr w:type="spellStart"/>
      <w:r w:rsidRPr="00B3061D">
        <w:rPr>
          <w:rStyle w:val="hps"/>
          <w:rFonts w:cs="Arial"/>
          <w:color w:val="222222"/>
          <w:lang w:val="en-GB"/>
        </w:rPr>
        <w:t>M</w:t>
      </w:r>
      <w:r w:rsidRPr="00B3061D">
        <w:rPr>
          <w:rFonts w:cs="Arial"/>
          <w:color w:val="222222"/>
          <w:lang w:val="en-GB"/>
        </w:rPr>
        <w:t>aniyala</w:t>
      </w:r>
      <w:proofErr w:type="spellEnd"/>
      <w:r w:rsidRPr="00B3061D">
        <w:rPr>
          <w:rFonts w:cs="Arial"/>
          <w:color w:val="222222"/>
          <w:lang w:val="en-GB"/>
        </w:rPr>
        <w:t xml:space="preserve"> was </w:t>
      </w:r>
      <w:proofErr w:type="gramStart"/>
      <w:r w:rsidRPr="00B3061D">
        <w:rPr>
          <w:rFonts w:cs="Arial"/>
          <w:color w:val="222222"/>
          <w:lang w:val="en-GB"/>
        </w:rPr>
        <w:t>produced  and</w:t>
      </w:r>
      <w:proofErr w:type="gramEnd"/>
      <w:r w:rsidRPr="00B3061D">
        <w:rPr>
          <w:rFonts w:cs="Arial"/>
          <w:color w:val="222222"/>
          <w:lang w:val="en-GB"/>
        </w:rPr>
        <w:t xml:space="preserve"> one of </w:t>
      </w:r>
      <w:proofErr w:type="spellStart"/>
      <w:r w:rsidRPr="00B3061D">
        <w:rPr>
          <w:rFonts w:cs="Arial"/>
          <w:color w:val="222222"/>
          <w:lang w:val="en-GB"/>
        </w:rPr>
        <w:t>Yandub</w:t>
      </w:r>
      <w:proofErr w:type="spellEnd"/>
      <w:r w:rsidRPr="00B3061D">
        <w:rPr>
          <w:rFonts w:cs="Arial"/>
          <w:color w:val="222222"/>
          <w:lang w:val="en-GB"/>
        </w:rPr>
        <w:t xml:space="preserve"> is planned next year. </w:t>
      </w:r>
      <w:r w:rsidRPr="00B3061D">
        <w:rPr>
          <w:lang w:val="en-GB"/>
        </w:rPr>
        <w:t xml:space="preserve">The community is working to protect the sacred site, research and document historical-cultural information, and transmit this traditional knowledge to younger generations. The community also intends to promote traditional food production of cacao and bananas, which have special ritual and cultural value for the </w:t>
      </w:r>
      <w:proofErr w:type="spellStart"/>
      <w:r w:rsidRPr="00B3061D">
        <w:rPr>
          <w:lang w:val="en-GB"/>
        </w:rPr>
        <w:t>Guna</w:t>
      </w:r>
      <w:proofErr w:type="spellEnd"/>
      <w:r w:rsidRPr="00B3061D">
        <w:rPr>
          <w:lang w:val="en-GB"/>
        </w:rPr>
        <w:t xml:space="preserve"> people</w:t>
      </w:r>
      <w:r w:rsidRPr="00B3061D">
        <w:rPr>
          <w:rFonts w:cs="Arial"/>
          <w:color w:val="222222"/>
          <w:lang w:val="en-GB"/>
        </w:rPr>
        <w:t xml:space="preserve">. </w:t>
      </w:r>
    </w:p>
    <w:p w14:paraId="09B82DEB" w14:textId="77777777" w:rsidR="00AF5744" w:rsidRPr="00B3061D" w:rsidRDefault="00AF5744" w:rsidP="00B3061D">
      <w:pPr>
        <w:spacing w:after="0" w:line="240" w:lineRule="auto"/>
        <w:rPr>
          <w:rFonts w:cs="Arial"/>
          <w:color w:val="222222"/>
          <w:lang w:val="en-GB"/>
        </w:rPr>
      </w:pPr>
    </w:p>
    <w:p w14:paraId="79C64438" w14:textId="701D0FB4" w:rsidR="00AF5744" w:rsidRPr="00B3061D" w:rsidRDefault="00AF5744" w:rsidP="00B3061D">
      <w:pPr>
        <w:spacing w:after="0" w:line="240" w:lineRule="auto"/>
        <w:rPr>
          <w:rFonts w:cs="Arial"/>
          <w:color w:val="222222"/>
          <w:lang w:val="en-GB"/>
        </w:rPr>
      </w:pPr>
      <w:r w:rsidRPr="00B3061D">
        <w:rPr>
          <w:rFonts w:cs="Arial"/>
          <w:color w:val="222222"/>
          <w:lang w:val="en-GB"/>
        </w:rPr>
        <w:t xml:space="preserve">This example </w:t>
      </w:r>
      <w:r w:rsidR="005207F6" w:rsidRPr="00B3061D">
        <w:rPr>
          <w:rFonts w:cs="Arial"/>
          <w:color w:val="222222"/>
          <w:lang w:val="en-GB"/>
        </w:rPr>
        <w:t xml:space="preserve">shows how integrated initiatives address several elements of the Strategic Plan: </w:t>
      </w:r>
    </w:p>
    <w:p w14:paraId="07EC279C" w14:textId="1BEF35FD" w:rsidR="00AF5744" w:rsidRPr="00B3061D" w:rsidRDefault="005207F6" w:rsidP="00B3061D">
      <w:pPr>
        <w:spacing w:after="0" w:line="240" w:lineRule="auto"/>
        <w:rPr>
          <w:lang w:val="en-GB"/>
        </w:rPr>
      </w:pPr>
      <w:proofErr w:type="gramStart"/>
      <w:r w:rsidRPr="00B3061D">
        <w:rPr>
          <w:lang w:val="en-GB"/>
        </w:rPr>
        <w:t>including</w:t>
      </w:r>
      <w:proofErr w:type="gramEnd"/>
      <w:r w:rsidRPr="00B3061D">
        <w:rPr>
          <w:lang w:val="en-GB"/>
        </w:rPr>
        <w:t xml:space="preserve"> (but not limited to) Aichi targets</w:t>
      </w:r>
      <w:r w:rsidR="00AF5744" w:rsidRPr="00B3061D">
        <w:rPr>
          <w:lang w:val="en-GB"/>
        </w:rPr>
        <w:t>: 10,11,</w:t>
      </w:r>
      <w:r w:rsidRPr="00B3061D">
        <w:rPr>
          <w:lang w:val="en-GB"/>
        </w:rPr>
        <w:t xml:space="preserve"> 13, </w:t>
      </w:r>
      <w:r w:rsidR="00AF5744" w:rsidRPr="00B3061D">
        <w:rPr>
          <w:lang w:val="en-GB"/>
        </w:rPr>
        <w:t>14,18.</w:t>
      </w:r>
    </w:p>
    <w:p w14:paraId="5F49B9E1" w14:textId="77777777" w:rsidR="00965B12" w:rsidRPr="00B3061D" w:rsidRDefault="00965B12" w:rsidP="00B3061D">
      <w:pPr>
        <w:spacing w:after="0" w:line="240" w:lineRule="auto"/>
        <w:rPr>
          <w:rFonts w:cs="Arial"/>
          <w:color w:val="222222"/>
          <w:lang w:val="en-GB"/>
        </w:rPr>
      </w:pPr>
    </w:p>
    <w:p w14:paraId="75EB3E57" w14:textId="08C382AA" w:rsidR="007548E6" w:rsidRPr="00B3061D" w:rsidRDefault="007548E6" w:rsidP="00B3061D">
      <w:pPr>
        <w:spacing w:after="0" w:line="240" w:lineRule="auto"/>
        <w:rPr>
          <w:rFonts w:cs="Arial"/>
          <w:b/>
          <w:lang w:val="en-GB"/>
        </w:rPr>
      </w:pPr>
      <w:r w:rsidRPr="00B3061D">
        <w:rPr>
          <w:rFonts w:cs="Arial"/>
          <w:b/>
          <w:lang w:val="en-GB"/>
        </w:rPr>
        <w:t xml:space="preserve">Challenges and ways forward </w:t>
      </w:r>
    </w:p>
    <w:p w14:paraId="0472C62C" w14:textId="452D4C21" w:rsidR="00A6665B" w:rsidRPr="00B3061D" w:rsidRDefault="00A6665B" w:rsidP="00B3061D">
      <w:pPr>
        <w:spacing w:after="0" w:line="240" w:lineRule="auto"/>
        <w:rPr>
          <w:rFonts w:cs="Arial"/>
          <w:lang w:val="en-GB"/>
        </w:rPr>
      </w:pPr>
      <w:r w:rsidRPr="00B3061D">
        <w:rPr>
          <w:rFonts w:cs="Arial"/>
          <w:lang w:val="en-GB"/>
        </w:rPr>
        <w:t xml:space="preserve">While GBO4 </w:t>
      </w:r>
      <w:r w:rsidR="00E51407" w:rsidRPr="00B3061D">
        <w:rPr>
          <w:rFonts w:cs="Arial"/>
          <w:lang w:val="en-GB"/>
        </w:rPr>
        <w:t>suggests</w:t>
      </w:r>
      <w:r w:rsidRPr="00B3061D">
        <w:rPr>
          <w:rFonts w:cs="Arial"/>
          <w:lang w:val="en-GB"/>
        </w:rPr>
        <w:t xml:space="preserve"> coordinated action, it does not widely </w:t>
      </w:r>
      <w:proofErr w:type="gramStart"/>
      <w:r w:rsidR="00E51407" w:rsidRPr="00B3061D">
        <w:rPr>
          <w:rFonts w:cs="Arial"/>
          <w:lang w:val="en-GB"/>
        </w:rPr>
        <w:t xml:space="preserve">promote </w:t>
      </w:r>
      <w:r w:rsidRPr="00B3061D">
        <w:rPr>
          <w:rFonts w:cs="Arial"/>
          <w:lang w:val="en-GB"/>
        </w:rPr>
        <w:t xml:space="preserve"> the</w:t>
      </w:r>
      <w:proofErr w:type="gramEnd"/>
      <w:r w:rsidRPr="00B3061D">
        <w:rPr>
          <w:rFonts w:cs="Arial"/>
          <w:lang w:val="en-GB"/>
        </w:rPr>
        <w:t xml:space="preserve"> integrated</w:t>
      </w:r>
      <w:r w:rsidR="00EC262E" w:rsidRPr="00B3061D">
        <w:rPr>
          <w:rFonts w:cs="Arial"/>
          <w:lang w:val="en-GB"/>
        </w:rPr>
        <w:t xml:space="preserve"> (or </w:t>
      </w:r>
      <w:r w:rsidR="00E51407" w:rsidRPr="00B3061D">
        <w:rPr>
          <w:rFonts w:cs="Arial"/>
          <w:lang w:val="en-GB"/>
        </w:rPr>
        <w:t>ecosystem/landscape</w:t>
      </w:r>
      <w:r w:rsidR="00EC262E" w:rsidRPr="00B3061D">
        <w:rPr>
          <w:rFonts w:cs="Arial"/>
          <w:lang w:val="en-GB"/>
        </w:rPr>
        <w:t>)</w:t>
      </w:r>
      <w:r w:rsidR="00E51407" w:rsidRPr="00B3061D">
        <w:rPr>
          <w:rFonts w:cs="Arial"/>
          <w:lang w:val="en-GB"/>
        </w:rPr>
        <w:t xml:space="preserve"> approach</w:t>
      </w:r>
      <w:r w:rsidR="00EC262E" w:rsidRPr="00B3061D">
        <w:rPr>
          <w:rFonts w:cs="Arial"/>
          <w:lang w:val="en-GB"/>
        </w:rPr>
        <w:t xml:space="preserve">. </w:t>
      </w:r>
      <w:r w:rsidR="00D97B7A" w:rsidRPr="00B3061D">
        <w:rPr>
          <w:rFonts w:cs="Arial"/>
          <w:lang w:val="en-GB"/>
        </w:rPr>
        <w:t xml:space="preserve">Moreover, the last in-depth review of the application of the </w:t>
      </w:r>
      <w:r w:rsidR="00D97B7A" w:rsidRPr="00B3061D">
        <w:rPr>
          <w:rFonts w:cs="Arial"/>
          <w:lang w:val="en-US"/>
        </w:rPr>
        <w:t>ecosystem approach (2007</w:t>
      </w:r>
      <w:proofErr w:type="gramStart"/>
      <w:r w:rsidR="00D97B7A" w:rsidRPr="00B3061D">
        <w:rPr>
          <w:rFonts w:cs="Arial"/>
          <w:lang w:val="en-US"/>
        </w:rPr>
        <w:t xml:space="preserve">) </w:t>
      </w:r>
      <w:r w:rsidR="00D97B7A" w:rsidRPr="00B3061D">
        <w:rPr>
          <w:rFonts w:cs="Arial"/>
          <w:lang w:val="en-GB"/>
        </w:rPr>
        <w:t xml:space="preserve"> pointed</w:t>
      </w:r>
      <w:proofErr w:type="gramEnd"/>
      <w:r w:rsidR="00D97B7A" w:rsidRPr="00B3061D">
        <w:rPr>
          <w:rFonts w:cs="Arial"/>
          <w:lang w:val="en-GB"/>
        </w:rPr>
        <w:t xml:space="preserve"> out that</w:t>
      </w:r>
      <w:r w:rsidR="00D97B7A" w:rsidRPr="00B3061D">
        <w:rPr>
          <w:rFonts w:cs="Arial"/>
          <w:bCs/>
          <w:lang w:val="en-GB"/>
        </w:rPr>
        <w:t xml:space="preserve"> only 12% of the Parties effectively applied the principles and guidance of the ecosystem approach. D</w:t>
      </w:r>
      <w:r w:rsidR="00D97B7A" w:rsidRPr="00B3061D">
        <w:rPr>
          <w:rFonts w:cs="Arial"/>
          <w:lang w:val="en-GB"/>
        </w:rPr>
        <w:t>espite the solid guidance, the main barriers to effective application were ineffective stakeholder participation, failure to use existing knowledge and lack of capacity for decentralized and integrated management</w:t>
      </w:r>
      <w:r w:rsidR="00D97B7A" w:rsidRPr="00B3061D">
        <w:rPr>
          <w:rFonts w:cs="Arial"/>
          <w:highlight w:val="yellow"/>
          <w:lang w:val="en-GB"/>
        </w:rPr>
        <w:t>.</w:t>
      </w:r>
      <w:r w:rsidR="00D97B7A" w:rsidRPr="00B3061D">
        <w:rPr>
          <w:rStyle w:val="FootnoteReference"/>
          <w:rFonts w:cs="Arial"/>
          <w:highlight w:val="yellow"/>
          <w:lang w:val="en-GB"/>
        </w:rPr>
        <w:footnoteReference w:id="12"/>
      </w:r>
      <w:r w:rsidR="00D97B7A" w:rsidRPr="00B3061D">
        <w:rPr>
          <w:rFonts w:cs="Arial"/>
          <w:highlight w:val="yellow"/>
          <w:lang w:val="en-US"/>
        </w:rPr>
        <w:t xml:space="preserve"> </w:t>
      </w:r>
      <w:r w:rsidR="00D97B7A" w:rsidRPr="00B3061D">
        <w:rPr>
          <w:rFonts w:cs="Arial"/>
          <w:lang w:val="en-GB"/>
        </w:rPr>
        <w:t xml:space="preserve">  </w:t>
      </w:r>
      <w:r w:rsidR="00D97B7A" w:rsidRPr="00B3061D">
        <w:rPr>
          <w:rFonts w:cs="Arial"/>
          <w:highlight w:val="yellow"/>
          <w:lang w:val="en-US"/>
        </w:rPr>
        <w:t xml:space="preserve"> </w:t>
      </w:r>
    </w:p>
    <w:p w14:paraId="3983CFB3" w14:textId="77777777" w:rsidR="00EC262E" w:rsidRPr="00B3061D" w:rsidRDefault="00EC262E" w:rsidP="00B3061D">
      <w:pPr>
        <w:spacing w:after="0" w:line="240" w:lineRule="auto"/>
        <w:rPr>
          <w:rFonts w:cs="Arial"/>
          <w:lang w:val="en-GB"/>
        </w:rPr>
      </w:pPr>
    </w:p>
    <w:p w14:paraId="754FF94A" w14:textId="143AD1F3" w:rsidR="00EB2390" w:rsidRPr="00B3061D" w:rsidRDefault="00EC262E" w:rsidP="00B3061D">
      <w:pPr>
        <w:spacing w:after="0" w:line="240" w:lineRule="auto"/>
        <w:rPr>
          <w:rFonts w:cs="Arial"/>
          <w:lang w:val="en-GB"/>
        </w:rPr>
      </w:pPr>
      <w:r w:rsidRPr="00B3061D">
        <w:rPr>
          <w:rFonts w:cs="Arial"/>
          <w:lang w:val="en-GB"/>
        </w:rPr>
        <w:t xml:space="preserve">Increased focus on and </w:t>
      </w:r>
      <w:r w:rsidR="002A0462" w:rsidRPr="00B3061D">
        <w:rPr>
          <w:rFonts w:cs="Arial"/>
          <w:lang w:val="en-GB"/>
        </w:rPr>
        <w:t xml:space="preserve">enhanced application of the ecosystem approach </w:t>
      </w:r>
      <w:r w:rsidR="009D588B">
        <w:rPr>
          <w:rFonts w:cs="Arial"/>
          <w:lang w:val="en-GB"/>
        </w:rPr>
        <w:t xml:space="preserve">(EA) </w:t>
      </w:r>
      <w:r w:rsidR="002A0462" w:rsidRPr="00B3061D">
        <w:rPr>
          <w:rFonts w:cs="Arial"/>
          <w:lang w:val="en-GB"/>
        </w:rPr>
        <w:t xml:space="preserve">could expedite progress towards the Aichi targets at different levels. </w:t>
      </w:r>
      <w:r w:rsidR="00EB2390" w:rsidRPr="00B3061D">
        <w:rPr>
          <w:rFonts w:cs="Arial"/>
          <w:lang w:val="en-GB"/>
        </w:rPr>
        <w:t>Equally</w:t>
      </w:r>
      <w:r w:rsidR="002A0462" w:rsidRPr="00B3061D">
        <w:rPr>
          <w:rFonts w:cs="Arial"/>
          <w:lang w:val="en-GB"/>
        </w:rPr>
        <w:t xml:space="preserve"> importantly, </w:t>
      </w:r>
      <w:r w:rsidR="00D97B7A" w:rsidRPr="00B3061D">
        <w:rPr>
          <w:rFonts w:cs="Arial"/>
          <w:lang w:val="en-GB"/>
        </w:rPr>
        <w:t xml:space="preserve">it is of interest </w:t>
      </w:r>
      <w:r w:rsidR="00EB2390" w:rsidRPr="00B3061D">
        <w:rPr>
          <w:rFonts w:cs="Arial"/>
          <w:lang w:val="en-GB"/>
        </w:rPr>
        <w:t>to</w:t>
      </w:r>
      <w:r w:rsidR="00D97B7A" w:rsidRPr="00B3061D">
        <w:rPr>
          <w:rFonts w:cs="Arial"/>
          <w:lang w:val="en-GB"/>
        </w:rPr>
        <w:t xml:space="preserve"> indigenous peoples and their knowledge systems </w:t>
      </w:r>
      <w:r w:rsidR="00EB2390" w:rsidRPr="00B3061D">
        <w:rPr>
          <w:rFonts w:cs="Arial"/>
          <w:lang w:val="en-GB"/>
        </w:rPr>
        <w:t>– and to the achievement of Target 18 - that</w:t>
      </w:r>
      <w:r w:rsidR="00D97B7A" w:rsidRPr="00B3061D">
        <w:rPr>
          <w:rFonts w:cs="Arial"/>
          <w:lang w:val="en-GB"/>
        </w:rPr>
        <w:t xml:space="preserve"> Parties</w:t>
      </w:r>
      <w:r w:rsidR="00EB2390" w:rsidRPr="00B3061D">
        <w:rPr>
          <w:rFonts w:cs="Arial"/>
          <w:lang w:val="en-GB"/>
        </w:rPr>
        <w:t xml:space="preserve"> and other actors</w:t>
      </w:r>
      <w:r w:rsidR="00D97B7A" w:rsidRPr="00B3061D">
        <w:rPr>
          <w:rFonts w:cs="Arial"/>
          <w:lang w:val="en-GB"/>
        </w:rPr>
        <w:t xml:space="preserve"> start understanding and applying the EA </w:t>
      </w:r>
      <w:r w:rsidR="00AF2436" w:rsidRPr="00B3061D">
        <w:rPr>
          <w:rFonts w:cs="Arial"/>
          <w:lang w:val="en-GB"/>
        </w:rPr>
        <w:t>operational guidelines</w:t>
      </w:r>
      <w:r w:rsidR="00D97B7A" w:rsidRPr="00B3061D">
        <w:rPr>
          <w:rFonts w:cs="Arial"/>
          <w:lang w:val="en-GB"/>
        </w:rPr>
        <w:t xml:space="preserve"> and </w:t>
      </w:r>
      <w:r w:rsidR="00AF2436" w:rsidRPr="00B3061D">
        <w:rPr>
          <w:rFonts w:cs="Arial"/>
          <w:lang w:val="en-GB"/>
        </w:rPr>
        <w:t>principles</w:t>
      </w:r>
      <w:r w:rsidR="00EB2390" w:rsidRPr="00B3061D">
        <w:rPr>
          <w:rFonts w:cs="Arial"/>
          <w:lang w:val="en-GB"/>
        </w:rPr>
        <w:t xml:space="preserve"> better.</w:t>
      </w:r>
      <w:r w:rsidR="00EB2390" w:rsidRPr="00B3061D">
        <w:rPr>
          <w:rStyle w:val="FootnoteReference"/>
          <w:rFonts w:cs="Arial"/>
          <w:lang w:val="en-GB"/>
        </w:rPr>
        <w:t xml:space="preserve"> </w:t>
      </w:r>
      <w:r w:rsidR="00EB2390" w:rsidRPr="00B3061D">
        <w:rPr>
          <w:rStyle w:val="FootnoteReference"/>
          <w:rFonts w:cs="Arial"/>
          <w:lang w:val="en-GB"/>
        </w:rPr>
        <w:footnoteReference w:id="13"/>
      </w:r>
    </w:p>
    <w:p w14:paraId="2F950356" w14:textId="77777777" w:rsidR="009D588B" w:rsidRDefault="009D588B" w:rsidP="00B3061D">
      <w:pPr>
        <w:widowControl w:val="0"/>
        <w:autoSpaceDE w:val="0"/>
        <w:autoSpaceDN w:val="0"/>
        <w:adjustRightInd w:val="0"/>
        <w:spacing w:after="0" w:line="240" w:lineRule="auto"/>
        <w:rPr>
          <w:rFonts w:cs="Arial"/>
          <w:lang w:val="en-GB"/>
        </w:rPr>
      </w:pPr>
    </w:p>
    <w:p w14:paraId="49BC2172" w14:textId="608E883B" w:rsidR="00AF2436" w:rsidRPr="00B3061D" w:rsidRDefault="00EB2390" w:rsidP="00B3061D">
      <w:pPr>
        <w:widowControl w:val="0"/>
        <w:autoSpaceDE w:val="0"/>
        <w:autoSpaceDN w:val="0"/>
        <w:adjustRightInd w:val="0"/>
        <w:spacing w:after="0" w:line="240" w:lineRule="auto"/>
        <w:rPr>
          <w:rFonts w:cs="Arial"/>
          <w:bCs/>
          <w:lang w:val="en-GB"/>
        </w:rPr>
      </w:pPr>
      <w:r w:rsidRPr="00B3061D">
        <w:rPr>
          <w:rFonts w:cs="Arial"/>
          <w:lang w:val="en-GB"/>
        </w:rPr>
        <w:t xml:space="preserve">The EA </w:t>
      </w:r>
      <w:r w:rsidR="00D97B7A" w:rsidRPr="00B3061D">
        <w:rPr>
          <w:rFonts w:cs="Arial"/>
          <w:lang w:val="en-GB"/>
        </w:rPr>
        <w:t>p</w:t>
      </w:r>
      <w:r w:rsidR="005444CD" w:rsidRPr="00B3061D">
        <w:rPr>
          <w:rFonts w:cs="Arial"/>
          <w:lang w:val="en-GB"/>
        </w:rPr>
        <w:t xml:space="preserve">rinciples </w:t>
      </w:r>
      <w:proofErr w:type="gramStart"/>
      <w:r w:rsidR="00D97B7A" w:rsidRPr="00B3061D">
        <w:rPr>
          <w:rFonts w:cs="Arial"/>
          <w:lang w:val="en-GB"/>
        </w:rPr>
        <w:t xml:space="preserve">need </w:t>
      </w:r>
      <w:r w:rsidR="005444CD" w:rsidRPr="00B3061D">
        <w:rPr>
          <w:rFonts w:cs="Arial"/>
          <w:lang w:val="en-GB"/>
        </w:rPr>
        <w:t xml:space="preserve"> </w:t>
      </w:r>
      <w:r w:rsidR="00D97B7A" w:rsidRPr="00B3061D">
        <w:rPr>
          <w:rFonts w:cs="Arial"/>
          <w:lang w:val="en-GB"/>
        </w:rPr>
        <w:t>to</w:t>
      </w:r>
      <w:proofErr w:type="gramEnd"/>
      <w:r w:rsidR="00D97B7A" w:rsidRPr="00B3061D">
        <w:rPr>
          <w:rFonts w:cs="Arial"/>
          <w:lang w:val="en-GB"/>
        </w:rPr>
        <w:t xml:space="preserve"> be </w:t>
      </w:r>
      <w:r w:rsidR="005444CD" w:rsidRPr="00B3061D">
        <w:rPr>
          <w:rFonts w:cs="Arial"/>
          <w:lang w:val="en-GB"/>
        </w:rPr>
        <w:t xml:space="preserve">translated into practice to an effective level. </w:t>
      </w:r>
      <w:r w:rsidR="00AF2436" w:rsidRPr="00B3061D">
        <w:rPr>
          <w:rFonts w:cs="Arial"/>
          <w:bCs/>
          <w:lang w:val="en-GB"/>
        </w:rPr>
        <w:t xml:space="preserve">Practical information such as case studies and existing initiatives to hook onto are widely available. </w:t>
      </w:r>
      <w:r w:rsidR="00D97B7A" w:rsidRPr="00B3061D">
        <w:rPr>
          <w:rFonts w:cs="Arial"/>
          <w:lang w:val="en-GB"/>
        </w:rPr>
        <w:t xml:space="preserve">In addition the on-line </w:t>
      </w:r>
      <w:r w:rsidR="009D588B">
        <w:rPr>
          <w:rFonts w:cs="Arial"/>
          <w:lang w:val="en-GB"/>
        </w:rPr>
        <w:t>s</w:t>
      </w:r>
      <w:r w:rsidR="00D97B7A" w:rsidRPr="00B3061D">
        <w:rPr>
          <w:rFonts w:cs="Arial"/>
          <w:lang w:val="en-GB"/>
        </w:rPr>
        <w:t>ourcebook includes tools, methods and approaches relating to public participation, including c</w:t>
      </w:r>
      <w:r w:rsidR="00D97B7A" w:rsidRPr="00B3061D">
        <w:rPr>
          <w:rFonts w:cs="Arial"/>
          <w:shd w:val="clear" w:color="auto" w:fill="FFFFFF"/>
          <w:lang w:val="en-GB"/>
        </w:rPr>
        <w:t>ommunity-based methods (e.g. community-based forest management), methods for stakeholder consultation, and local community approaches.</w:t>
      </w:r>
    </w:p>
    <w:p w14:paraId="0564C6C5" w14:textId="77777777" w:rsidR="003F5D87" w:rsidRPr="00B3061D" w:rsidRDefault="003F5D87" w:rsidP="00B3061D">
      <w:pPr>
        <w:widowControl w:val="0"/>
        <w:autoSpaceDE w:val="0"/>
        <w:autoSpaceDN w:val="0"/>
        <w:adjustRightInd w:val="0"/>
        <w:spacing w:after="0" w:line="240" w:lineRule="auto"/>
        <w:rPr>
          <w:rFonts w:cs="Arial"/>
          <w:b/>
          <w:bCs/>
          <w:lang w:val="en-GB"/>
        </w:rPr>
      </w:pPr>
    </w:p>
    <w:p w14:paraId="0453242F" w14:textId="1C3E34FC" w:rsidR="001D23AB" w:rsidRPr="009D588B" w:rsidRDefault="002B237A" w:rsidP="00B3061D">
      <w:pPr>
        <w:spacing w:after="0" w:line="240" w:lineRule="auto"/>
        <w:rPr>
          <w:rFonts w:cs="Arial"/>
          <w:lang w:val="en-GB"/>
        </w:rPr>
      </w:pPr>
      <w:r w:rsidRPr="009D588B">
        <w:rPr>
          <w:rFonts w:cs="Arial"/>
          <w:bCs/>
          <w:lang w:val="en-GB"/>
        </w:rPr>
        <w:lastRenderedPageBreak/>
        <w:t xml:space="preserve">Advancing towards the biodiversity </w:t>
      </w:r>
      <w:r w:rsidR="003349DE" w:rsidRPr="009D588B">
        <w:rPr>
          <w:rFonts w:cs="Arial"/>
          <w:bCs/>
          <w:lang w:val="en-GB"/>
        </w:rPr>
        <w:t>targets</w:t>
      </w:r>
      <w:r w:rsidRPr="009D588B">
        <w:rPr>
          <w:rFonts w:cs="Arial"/>
          <w:bCs/>
          <w:lang w:val="en-GB"/>
        </w:rPr>
        <w:t xml:space="preserve"> for </w:t>
      </w:r>
      <w:r w:rsidR="009D588B">
        <w:rPr>
          <w:rFonts w:cs="Arial"/>
          <w:bCs/>
          <w:lang w:val="en-GB"/>
        </w:rPr>
        <w:t>2015/</w:t>
      </w:r>
      <w:r w:rsidRPr="009D588B">
        <w:rPr>
          <w:rFonts w:cs="Arial"/>
          <w:bCs/>
          <w:lang w:val="en-GB"/>
        </w:rPr>
        <w:t>2020 through integrated/ecosystem approaches</w:t>
      </w:r>
      <w:r w:rsidR="001D23AB" w:rsidRPr="009D588B">
        <w:rPr>
          <w:rFonts w:cs="Arial"/>
          <w:bCs/>
          <w:lang w:val="en-GB"/>
        </w:rPr>
        <w:t xml:space="preserve"> </w:t>
      </w:r>
      <w:r w:rsidR="001D23AB" w:rsidRPr="009D588B">
        <w:rPr>
          <w:rFonts w:cs="Arial"/>
          <w:lang w:val="en-GB"/>
        </w:rPr>
        <w:t>could be achieved by</w:t>
      </w:r>
      <w:r w:rsidR="009D588B">
        <w:rPr>
          <w:rFonts w:cs="Arial"/>
          <w:lang w:val="en-GB"/>
        </w:rPr>
        <w:t>, inter alia:</w:t>
      </w:r>
    </w:p>
    <w:p w14:paraId="594B1FB1" w14:textId="61DFC8FA" w:rsidR="001D23AB" w:rsidRPr="009D588B" w:rsidRDefault="001D23AB" w:rsidP="00626832">
      <w:pPr>
        <w:pStyle w:val="ListParagraph"/>
        <w:numPr>
          <w:ilvl w:val="0"/>
          <w:numId w:val="12"/>
        </w:numPr>
        <w:rPr>
          <w:rFonts w:cs="Arial"/>
          <w:sz w:val="22"/>
          <w:szCs w:val="22"/>
          <w:lang w:val="en-GB"/>
        </w:rPr>
      </w:pPr>
      <w:proofErr w:type="gramStart"/>
      <w:r w:rsidRPr="009D588B">
        <w:rPr>
          <w:rFonts w:cs="Arial"/>
          <w:sz w:val="22"/>
          <w:szCs w:val="22"/>
          <w:lang w:val="en-GB"/>
        </w:rPr>
        <w:t>providing</w:t>
      </w:r>
      <w:proofErr w:type="gramEnd"/>
      <w:r w:rsidRPr="009D588B">
        <w:rPr>
          <w:rFonts w:cs="Arial"/>
          <w:sz w:val="22"/>
          <w:szCs w:val="22"/>
          <w:lang w:val="en-GB"/>
        </w:rPr>
        <w:t xml:space="preserve"> more direct support to the initiatives </w:t>
      </w:r>
      <w:r w:rsidR="0050635B" w:rsidRPr="009D588B">
        <w:rPr>
          <w:rFonts w:cs="Arial"/>
          <w:sz w:val="22"/>
          <w:szCs w:val="22"/>
          <w:lang w:val="en-GB"/>
        </w:rPr>
        <w:t>and integrated management systems of</w:t>
      </w:r>
      <w:r w:rsidRPr="009D588B">
        <w:rPr>
          <w:rFonts w:cs="Arial"/>
          <w:sz w:val="22"/>
          <w:szCs w:val="22"/>
          <w:lang w:val="en-GB"/>
        </w:rPr>
        <w:t xml:space="preserve"> IPLCs (such as examples above) , </w:t>
      </w:r>
      <w:r w:rsidR="0050635B" w:rsidRPr="009D588B">
        <w:rPr>
          <w:rFonts w:cs="Arial"/>
          <w:sz w:val="22"/>
          <w:szCs w:val="22"/>
          <w:lang w:val="en-GB"/>
        </w:rPr>
        <w:t>and/</w:t>
      </w:r>
      <w:r w:rsidRPr="009D588B">
        <w:rPr>
          <w:rFonts w:cs="Arial"/>
          <w:sz w:val="22"/>
          <w:szCs w:val="22"/>
          <w:lang w:val="en-GB"/>
        </w:rPr>
        <w:t xml:space="preserve">or greater efforts for co-operation </w:t>
      </w:r>
      <w:r w:rsidR="009D588B">
        <w:rPr>
          <w:rFonts w:cs="Arial"/>
          <w:sz w:val="22"/>
          <w:szCs w:val="22"/>
          <w:lang w:val="en-GB"/>
        </w:rPr>
        <w:t>on</w:t>
      </w:r>
      <w:r w:rsidRPr="009D588B">
        <w:rPr>
          <w:rFonts w:cs="Arial"/>
          <w:sz w:val="22"/>
          <w:szCs w:val="22"/>
          <w:lang w:val="en-GB"/>
        </w:rPr>
        <w:t xml:space="preserve"> local</w:t>
      </w:r>
      <w:r w:rsidR="0050635B" w:rsidRPr="009D588B">
        <w:rPr>
          <w:rFonts w:cs="Arial"/>
          <w:sz w:val="22"/>
          <w:szCs w:val="22"/>
          <w:lang w:val="en-GB"/>
        </w:rPr>
        <w:t>-</w:t>
      </w:r>
      <w:r w:rsidRPr="009D588B">
        <w:rPr>
          <w:rFonts w:cs="Arial"/>
          <w:sz w:val="22"/>
          <w:szCs w:val="22"/>
          <w:lang w:val="en-GB"/>
        </w:rPr>
        <w:t>level</w:t>
      </w:r>
      <w:r w:rsidR="0050635B" w:rsidRPr="009D588B">
        <w:rPr>
          <w:rFonts w:cs="Arial"/>
          <w:sz w:val="22"/>
          <w:szCs w:val="22"/>
          <w:lang w:val="en-GB"/>
        </w:rPr>
        <w:t xml:space="preserve"> biodiversity management. </w:t>
      </w:r>
      <w:r w:rsidRPr="009D588B">
        <w:rPr>
          <w:rFonts w:cs="Arial"/>
          <w:sz w:val="22"/>
          <w:szCs w:val="22"/>
          <w:lang w:val="en-GB"/>
        </w:rPr>
        <w:t xml:space="preserve"> </w:t>
      </w:r>
    </w:p>
    <w:p w14:paraId="0840608A" w14:textId="764DB610" w:rsidR="001D23AB" w:rsidRPr="009D588B" w:rsidRDefault="002B237A" w:rsidP="00626832">
      <w:pPr>
        <w:pStyle w:val="ListParagraph"/>
        <w:numPr>
          <w:ilvl w:val="0"/>
          <w:numId w:val="12"/>
        </w:numPr>
        <w:rPr>
          <w:rFonts w:cs="Arial"/>
          <w:sz w:val="22"/>
          <w:szCs w:val="22"/>
          <w:lang w:val="en-GB"/>
        </w:rPr>
      </w:pPr>
      <w:proofErr w:type="gramStart"/>
      <w:r w:rsidRPr="009D588B">
        <w:rPr>
          <w:rFonts w:cs="Arial"/>
          <w:bCs/>
          <w:sz w:val="22"/>
          <w:szCs w:val="22"/>
          <w:lang w:val="en-GB"/>
        </w:rPr>
        <w:t>openness</w:t>
      </w:r>
      <w:proofErr w:type="gramEnd"/>
      <w:r w:rsidRPr="009D588B">
        <w:rPr>
          <w:rFonts w:cs="Arial"/>
          <w:bCs/>
          <w:sz w:val="22"/>
          <w:szCs w:val="22"/>
          <w:lang w:val="en-GB"/>
        </w:rPr>
        <w:t xml:space="preserve"> to work with different knowledge systems both for biodiversity management as </w:t>
      </w:r>
      <w:r w:rsidR="0050635B" w:rsidRPr="009D588B">
        <w:rPr>
          <w:rFonts w:cs="Arial"/>
          <w:bCs/>
          <w:sz w:val="22"/>
          <w:szCs w:val="22"/>
          <w:lang w:val="en-GB"/>
        </w:rPr>
        <w:t xml:space="preserve">well as planning and monitoring. Supporting integrated management </w:t>
      </w:r>
      <w:r w:rsidR="00B36112" w:rsidRPr="009D588B">
        <w:rPr>
          <w:rFonts w:cs="Arial"/>
          <w:color w:val="333333"/>
          <w:sz w:val="22"/>
          <w:szCs w:val="22"/>
          <w:lang w:val="en"/>
        </w:rPr>
        <w:t>can raise challenges in terms of monitoring and reporting, and in terms of disaggregating local-level advances to achievement of the national and global targets</w:t>
      </w:r>
      <w:r w:rsidR="0050635B" w:rsidRPr="009D588B">
        <w:rPr>
          <w:rFonts w:cs="Arial"/>
          <w:color w:val="333333"/>
          <w:sz w:val="22"/>
          <w:szCs w:val="22"/>
          <w:lang w:val="en"/>
        </w:rPr>
        <w:t xml:space="preserve">. </w:t>
      </w:r>
      <w:r w:rsidR="0050635B" w:rsidRPr="009D588B">
        <w:rPr>
          <w:rFonts w:cs="Arial"/>
          <w:color w:val="333333"/>
          <w:sz w:val="22"/>
          <w:szCs w:val="22"/>
          <w:highlight w:val="yellow"/>
          <w:lang w:val="en"/>
        </w:rPr>
        <w:t>S</w:t>
      </w:r>
      <w:r w:rsidR="00B36112" w:rsidRPr="009D588B">
        <w:rPr>
          <w:rFonts w:cs="Arial"/>
          <w:color w:val="333333"/>
          <w:sz w:val="22"/>
          <w:szCs w:val="22"/>
          <w:highlight w:val="yellow"/>
          <w:lang w:val="en"/>
        </w:rPr>
        <w:t xml:space="preserve">ection </w:t>
      </w:r>
      <w:r w:rsidR="007F25A9">
        <w:rPr>
          <w:rFonts w:cs="Arial"/>
          <w:color w:val="333333"/>
          <w:sz w:val="22"/>
          <w:szCs w:val="22"/>
          <w:lang w:val="en"/>
        </w:rPr>
        <w:t>5</w:t>
      </w:r>
      <w:r w:rsidR="00B36112" w:rsidRPr="009D588B">
        <w:rPr>
          <w:rFonts w:cs="Arial"/>
          <w:color w:val="333333"/>
          <w:sz w:val="22"/>
          <w:szCs w:val="22"/>
          <w:lang w:val="en"/>
        </w:rPr>
        <w:t xml:space="preserve"> </w:t>
      </w:r>
      <w:r w:rsidR="0050635B" w:rsidRPr="009D588B">
        <w:rPr>
          <w:rFonts w:cs="Arial"/>
          <w:color w:val="333333"/>
          <w:sz w:val="22"/>
          <w:szCs w:val="22"/>
          <w:lang w:val="en"/>
        </w:rPr>
        <w:t xml:space="preserve">discusses how </w:t>
      </w:r>
      <w:r w:rsidR="00B36112" w:rsidRPr="009D588B">
        <w:rPr>
          <w:rFonts w:cs="Arial"/>
          <w:color w:val="333333"/>
          <w:sz w:val="22"/>
          <w:szCs w:val="22"/>
          <w:lang w:val="en"/>
        </w:rPr>
        <w:t xml:space="preserve">community-based monitoring </w:t>
      </w:r>
      <w:r w:rsidR="0050635B" w:rsidRPr="009D588B">
        <w:rPr>
          <w:rFonts w:cs="Arial"/>
          <w:color w:val="333333"/>
          <w:sz w:val="22"/>
          <w:szCs w:val="22"/>
          <w:lang w:val="en"/>
        </w:rPr>
        <w:t xml:space="preserve">can help to address these challenges. </w:t>
      </w:r>
    </w:p>
    <w:p w14:paraId="2201D7AA" w14:textId="3F415299" w:rsidR="002B237A" w:rsidRPr="009D588B" w:rsidRDefault="001D23AB" w:rsidP="00626832">
      <w:pPr>
        <w:pStyle w:val="ListParagraph"/>
        <w:numPr>
          <w:ilvl w:val="0"/>
          <w:numId w:val="12"/>
        </w:numPr>
        <w:rPr>
          <w:rFonts w:cs="Arial"/>
          <w:sz w:val="22"/>
          <w:szCs w:val="22"/>
          <w:lang w:val="en-GB"/>
        </w:rPr>
      </w:pPr>
      <w:proofErr w:type="gramStart"/>
      <w:r w:rsidRPr="009D588B">
        <w:rPr>
          <w:rFonts w:cs="Arial"/>
          <w:bCs/>
          <w:sz w:val="22"/>
          <w:szCs w:val="22"/>
          <w:lang w:val="en-GB"/>
        </w:rPr>
        <w:t>developing</w:t>
      </w:r>
      <w:proofErr w:type="gramEnd"/>
      <w:r w:rsidRPr="009D588B">
        <w:rPr>
          <w:rFonts w:cs="Arial"/>
          <w:bCs/>
          <w:sz w:val="22"/>
          <w:szCs w:val="22"/>
          <w:lang w:val="en-GB"/>
        </w:rPr>
        <w:t xml:space="preserve"> </w:t>
      </w:r>
      <w:r w:rsidR="002B237A" w:rsidRPr="009D588B">
        <w:rPr>
          <w:rFonts w:cs="Arial"/>
          <w:bCs/>
          <w:sz w:val="22"/>
          <w:szCs w:val="22"/>
          <w:lang w:val="en-GB"/>
        </w:rPr>
        <w:t xml:space="preserve">new partnerships and decentralised and bottom-up approaches. </w:t>
      </w:r>
    </w:p>
    <w:p w14:paraId="12AF7C6F" w14:textId="77777777" w:rsidR="002B237A" w:rsidRPr="00B3061D" w:rsidRDefault="002B237A" w:rsidP="00B3061D">
      <w:pPr>
        <w:widowControl w:val="0"/>
        <w:autoSpaceDE w:val="0"/>
        <w:autoSpaceDN w:val="0"/>
        <w:adjustRightInd w:val="0"/>
        <w:spacing w:after="0" w:line="240" w:lineRule="auto"/>
        <w:rPr>
          <w:rFonts w:cs="Arial"/>
          <w:bCs/>
          <w:lang w:val="en-GB"/>
        </w:rPr>
      </w:pPr>
    </w:p>
    <w:p w14:paraId="3CE6CE00" w14:textId="03D35006" w:rsidR="003F5D87" w:rsidRPr="00B3061D" w:rsidRDefault="002B237A" w:rsidP="00B3061D">
      <w:pPr>
        <w:widowControl w:val="0"/>
        <w:autoSpaceDE w:val="0"/>
        <w:autoSpaceDN w:val="0"/>
        <w:adjustRightInd w:val="0"/>
        <w:spacing w:after="0" w:line="240" w:lineRule="auto"/>
        <w:rPr>
          <w:rFonts w:cs="Arial"/>
          <w:lang w:val="en-GB"/>
        </w:rPr>
      </w:pPr>
      <w:r w:rsidRPr="00B3061D">
        <w:rPr>
          <w:rFonts w:cs="Arial"/>
          <w:bCs/>
          <w:lang w:val="en-GB"/>
        </w:rPr>
        <w:t>Moreover, attention needs to be given to the conditions and supporting environments for indigenous integrated management systems to continue to thrive</w:t>
      </w:r>
      <w:r w:rsidR="0050635B" w:rsidRPr="00B3061D">
        <w:rPr>
          <w:rFonts w:cs="Arial"/>
          <w:bCs/>
          <w:lang w:val="en-GB"/>
        </w:rPr>
        <w:t xml:space="preserve"> – this is related to the impacts of other targets on Target 18 in the GBO4 matrix</w:t>
      </w:r>
      <w:r w:rsidRPr="00B3061D">
        <w:rPr>
          <w:rFonts w:cs="Arial"/>
          <w:bCs/>
          <w:lang w:val="en-GB"/>
        </w:rPr>
        <w:t xml:space="preserve">. </w:t>
      </w:r>
      <w:r w:rsidR="0050635B" w:rsidRPr="00B3061D">
        <w:rPr>
          <w:rFonts w:cs="Arial"/>
          <w:color w:val="222222"/>
          <w:lang w:val="en-GB"/>
        </w:rPr>
        <w:t>IPLCs’</w:t>
      </w:r>
      <w:r w:rsidR="000F483D" w:rsidRPr="00B3061D">
        <w:rPr>
          <w:rFonts w:cs="Arial"/>
          <w:color w:val="222222"/>
          <w:lang w:val="en-GB"/>
        </w:rPr>
        <w:t xml:space="preserve"> understanding and knowledge about the functions of the world’s complex and dynamic ecosystems and their guidance on adaptive management, is vital, but many such systems </w:t>
      </w:r>
      <w:r w:rsidRPr="00B3061D">
        <w:rPr>
          <w:rFonts w:cs="Arial"/>
          <w:bCs/>
          <w:lang w:val="en-GB"/>
        </w:rPr>
        <w:t xml:space="preserve">are under pressure </w:t>
      </w:r>
      <w:r w:rsidR="000F483D" w:rsidRPr="00B3061D">
        <w:rPr>
          <w:rFonts w:cs="Arial"/>
          <w:bCs/>
          <w:lang w:val="en-GB"/>
        </w:rPr>
        <w:t xml:space="preserve">or even threat </w:t>
      </w:r>
      <w:r w:rsidRPr="00B3061D">
        <w:rPr>
          <w:rFonts w:cs="Arial"/>
          <w:bCs/>
          <w:lang w:val="en-GB"/>
        </w:rPr>
        <w:t xml:space="preserve">both </w:t>
      </w:r>
      <w:r w:rsidR="0050635B" w:rsidRPr="00B3061D">
        <w:rPr>
          <w:rFonts w:cs="Arial"/>
          <w:bCs/>
          <w:lang w:val="en-GB"/>
        </w:rPr>
        <w:t>from</w:t>
      </w:r>
      <w:r w:rsidRPr="00B3061D">
        <w:rPr>
          <w:rFonts w:cs="Arial"/>
          <w:bCs/>
          <w:lang w:val="en-GB"/>
        </w:rPr>
        <w:t xml:space="preserve"> issues related to the changing global economy and society as well as related to degradation or other pressures on the territories in which the systems are practiced. These will be discussed more in-depth in the section below, but </w:t>
      </w:r>
      <w:r w:rsidR="00C95F58">
        <w:rPr>
          <w:rFonts w:cs="Arial"/>
          <w:bCs/>
          <w:lang w:val="en-GB"/>
        </w:rPr>
        <w:t>on</w:t>
      </w:r>
      <w:r w:rsidR="00445042" w:rsidRPr="00B3061D">
        <w:rPr>
          <w:rFonts w:cs="Arial"/>
          <w:bCs/>
          <w:lang w:val="en-GB"/>
        </w:rPr>
        <w:t xml:space="preserve">e central issue in this respect is secure tenure rights – both land and marine </w:t>
      </w:r>
      <w:proofErr w:type="gramStart"/>
      <w:r w:rsidR="00445042" w:rsidRPr="00B3061D">
        <w:rPr>
          <w:rFonts w:cs="Arial"/>
          <w:bCs/>
          <w:lang w:val="en-GB"/>
        </w:rPr>
        <w:t>– which</w:t>
      </w:r>
      <w:proofErr w:type="gramEnd"/>
      <w:r w:rsidR="00445042" w:rsidRPr="00B3061D">
        <w:rPr>
          <w:rFonts w:cs="Arial"/>
          <w:bCs/>
          <w:lang w:val="en-GB"/>
        </w:rPr>
        <w:t xml:space="preserve"> </w:t>
      </w:r>
      <w:r w:rsidR="003F5D87" w:rsidRPr="00B3061D">
        <w:rPr>
          <w:rFonts w:cs="Arial"/>
          <w:b/>
          <w:bCs/>
          <w:lang w:val="en-GB"/>
        </w:rPr>
        <w:t xml:space="preserve">must be at the centre of the ecosystem approach. </w:t>
      </w:r>
      <w:r w:rsidR="00F023F6" w:rsidRPr="00B3061D">
        <w:rPr>
          <w:rStyle w:val="FootnoteReference"/>
          <w:rFonts w:cs="Arial"/>
          <w:b/>
          <w:bCs/>
          <w:lang w:val="en-GB"/>
        </w:rPr>
        <w:footnoteReference w:id="14"/>
      </w:r>
      <w:r w:rsidR="003F5D87" w:rsidRPr="00B3061D">
        <w:rPr>
          <w:rFonts w:cs="Arial"/>
          <w:b/>
          <w:bCs/>
          <w:lang w:val="en-GB"/>
        </w:rPr>
        <w:t xml:space="preserve"> </w:t>
      </w:r>
    </w:p>
    <w:p w14:paraId="5DD30FFA" w14:textId="77777777" w:rsidR="00D97B7A" w:rsidRPr="00B3061D" w:rsidRDefault="00D97B7A" w:rsidP="00B3061D">
      <w:pPr>
        <w:spacing w:after="0" w:line="240" w:lineRule="auto"/>
        <w:rPr>
          <w:rFonts w:cs="Arial"/>
          <w:lang w:val="en-GB"/>
        </w:rPr>
      </w:pPr>
    </w:p>
    <w:p w14:paraId="2923544F" w14:textId="3D135ED6" w:rsidR="006B004C" w:rsidRPr="009D588B" w:rsidRDefault="006B004C" w:rsidP="00B3061D">
      <w:pPr>
        <w:spacing w:after="0" w:line="240" w:lineRule="auto"/>
        <w:rPr>
          <w:rFonts w:cs="Arial"/>
          <w:lang w:val="en-GB"/>
        </w:rPr>
      </w:pPr>
      <w:r w:rsidRPr="009D588B">
        <w:rPr>
          <w:rFonts w:cs="Arial"/>
          <w:highlight w:val="yellow"/>
          <w:lang w:val="en-GB"/>
        </w:rPr>
        <w:t>Relevant f</w:t>
      </w:r>
      <w:r w:rsidR="009D588B" w:rsidRPr="009D588B">
        <w:rPr>
          <w:rFonts w:cs="Arial"/>
          <w:highlight w:val="yellow"/>
          <w:lang w:val="en-GB"/>
        </w:rPr>
        <w:t>urther reading and viewing list (to be developed and/or added to online tool)</w:t>
      </w:r>
    </w:p>
    <w:p w14:paraId="51792FDA" w14:textId="77777777" w:rsidR="00A02ED7" w:rsidRPr="00B3061D" w:rsidRDefault="00A02ED7" w:rsidP="00B3061D">
      <w:pPr>
        <w:pStyle w:val="ListParagraph"/>
        <w:ind w:left="0"/>
        <w:rPr>
          <w:rFonts w:cs="Arial"/>
          <w:color w:val="222222"/>
          <w:sz w:val="22"/>
          <w:szCs w:val="22"/>
          <w:lang w:val="en-GB"/>
        </w:rPr>
      </w:pPr>
    </w:p>
    <w:p w14:paraId="0FC05A76" w14:textId="1E4E7016" w:rsidR="001B3F3E" w:rsidRPr="00B3061D" w:rsidRDefault="00C9080B" w:rsidP="00626832">
      <w:pPr>
        <w:pStyle w:val="ListParagraph"/>
        <w:numPr>
          <w:ilvl w:val="0"/>
          <w:numId w:val="3"/>
        </w:numPr>
        <w:pBdr>
          <w:bottom w:val="single" w:sz="4" w:space="1" w:color="auto"/>
        </w:pBdr>
        <w:ind w:left="0"/>
        <w:rPr>
          <w:rFonts w:cs="Arial"/>
          <w:b/>
          <w:color w:val="222222"/>
          <w:sz w:val="22"/>
          <w:szCs w:val="22"/>
          <w:lang w:val="en-GB"/>
        </w:rPr>
      </w:pPr>
      <w:r w:rsidRPr="00B3061D">
        <w:rPr>
          <w:rFonts w:cs="Arial"/>
          <w:b/>
          <w:color w:val="222222"/>
          <w:sz w:val="22"/>
          <w:szCs w:val="22"/>
          <w:lang w:val="en-GB"/>
        </w:rPr>
        <w:t xml:space="preserve">Specific elements of </w:t>
      </w:r>
      <w:r w:rsidR="00911454" w:rsidRPr="00B3061D">
        <w:rPr>
          <w:rFonts w:cs="Arial"/>
          <w:b/>
          <w:color w:val="222222"/>
          <w:sz w:val="22"/>
          <w:szCs w:val="22"/>
          <w:lang w:val="en-GB"/>
        </w:rPr>
        <w:t xml:space="preserve">Target 18: </w:t>
      </w:r>
      <w:r w:rsidRPr="00B3061D">
        <w:rPr>
          <w:rFonts w:cs="Arial"/>
          <w:b/>
          <w:color w:val="222222"/>
          <w:sz w:val="22"/>
          <w:szCs w:val="22"/>
          <w:lang w:val="en-GB"/>
        </w:rPr>
        <w:t>IP</w:t>
      </w:r>
      <w:r w:rsidR="007F25A9">
        <w:rPr>
          <w:rFonts w:cs="Arial"/>
          <w:b/>
          <w:color w:val="222222"/>
          <w:sz w:val="22"/>
          <w:szCs w:val="22"/>
          <w:lang w:val="en-GB"/>
        </w:rPr>
        <w:t>LC</w:t>
      </w:r>
      <w:r w:rsidRPr="00B3061D">
        <w:rPr>
          <w:rFonts w:cs="Arial"/>
          <w:b/>
          <w:color w:val="222222"/>
          <w:sz w:val="22"/>
          <w:szCs w:val="22"/>
          <w:lang w:val="en-GB"/>
        </w:rPr>
        <w:t xml:space="preserve"> management systems </w:t>
      </w:r>
      <w:r w:rsidR="00D52CB2" w:rsidRPr="00B3061D">
        <w:rPr>
          <w:rFonts w:cs="Arial"/>
          <w:b/>
          <w:color w:val="222222"/>
          <w:sz w:val="22"/>
          <w:szCs w:val="22"/>
          <w:lang w:val="en-GB"/>
        </w:rPr>
        <w:t>and traditional knowledge</w:t>
      </w:r>
      <w:r w:rsidR="00911454" w:rsidRPr="00B3061D">
        <w:rPr>
          <w:rFonts w:cs="Arial"/>
          <w:b/>
          <w:color w:val="222222"/>
          <w:sz w:val="22"/>
          <w:szCs w:val="22"/>
          <w:lang w:val="en-GB"/>
        </w:rPr>
        <w:t xml:space="preserve"> </w:t>
      </w:r>
      <w:r w:rsidR="00F155BB" w:rsidRPr="00B3061D">
        <w:rPr>
          <w:rFonts w:cs="Arial"/>
          <w:b/>
          <w:color w:val="222222"/>
          <w:sz w:val="22"/>
          <w:szCs w:val="22"/>
          <w:lang w:val="en-GB"/>
        </w:rPr>
        <w:t xml:space="preserve">and </w:t>
      </w:r>
      <w:r w:rsidR="00911454" w:rsidRPr="00B3061D">
        <w:rPr>
          <w:rFonts w:cs="Arial"/>
          <w:b/>
          <w:color w:val="222222"/>
          <w:sz w:val="22"/>
          <w:szCs w:val="22"/>
          <w:lang w:val="en-GB"/>
        </w:rPr>
        <w:t>the</w:t>
      </w:r>
      <w:r w:rsidR="00F155BB" w:rsidRPr="00B3061D">
        <w:rPr>
          <w:rFonts w:cs="Arial"/>
          <w:b/>
          <w:color w:val="222222"/>
          <w:sz w:val="22"/>
          <w:szCs w:val="22"/>
          <w:lang w:val="en-GB"/>
        </w:rPr>
        <w:t xml:space="preserve"> </w:t>
      </w:r>
      <w:r w:rsidR="005C579F" w:rsidRPr="00B3061D">
        <w:rPr>
          <w:rFonts w:cs="Arial"/>
          <w:b/>
          <w:color w:val="222222"/>
          <w:sz w:val="22"/>
          <w:szCs w:val="22"/>
          <w:lang w:val="en-GB"/>
        </w:rPr>
        <w:t xml:space="preserve">interactions with </w:t>
      </w:r>
      <w:r w:rsidR="00F155BB" w:rsidRPr="00B3061D">
        <w:rPr>
          <w:rFonts w:cs="Arial"/>
          <w:b/>
          <w:color w:val="222222"/>
          <w:sz w:val="22"/>
          <w:szCs w:val="22"/>
          <w:lang w:val="en-GB"/>
        </w:rPr>
        <w:t xml:space="preserve">other </w:t>
      </w:r>
      <w:r w:rsidR="005C579F" w:rsidRPr="00B3061D">
        <w:rPr>
          <w:rFonts w:cs="Arial"/>
          <w:b/>
          <w:color w:val="222222"/>
          <w:sz w:val="22"/>
          <w:szCs w:val="22"/>
          <w:lang w:val="en-GB"/>
        </w:rPr>
        <w:t xml:space="preserve">Aichi Targets </w:t>
      </w:r>
    </w:p>
    <w:p w14:paraId="5ECA398F" w14:textId="77777777" w:rsidR="009E1542" w:rsidRPr="00B3061D" w:rsidRDefault="009E1542" w:rsidP="00B3061D">
      <w:pPr>
        <w:pStyle w:val="ListParagraph"/>
        <w:ind w:left="0"/>
        <w:rPr>
          <w:rFonts w:cs="Arial"/>
          <w:b/>
          <w:color w:val="222222"/>
          <w:sz w:val="22"/>
          <w:szCs w:val="22"/>
          <w:lang w:val="en-GB"/>
        </w:rPr>
      </w:pPr>
    </w:p>
    <w:p w14:paraId="615B2D24" w14:textId="48F06608" w:rsidR="00B74B9D" w:rsidRPr="00B3061D" w:rsidRDefault="0020023F" w:rsidP="00626832">
      <w:pPr>
        <w:pStyle w:val="ListParagraph"/>
        <w:numPr>
          <w:ilvl w:val="1"/>
          <w:numId w:val="3"/>
        </w:numPr>
        <w:ind w:left="0"/>
        <w:rPr>
          <w:rFonts w:cs="Arial"/>
          <w:b/>
          <w:color w:val="222222"/>
          <w:sz w:val="22"/>
          <w:szCs w:val="22"/>
          <w:lang w:val="en-GB"/>
        </w:rPr>
      </w:pPr>
      <w:r w:rsidRPr="00B3061D">
        <w:rPr>
          <w:rFonts w:cs="Arial"/>
          <w:b/>
          <w:color w:val="222222"/>
          <w:sz w:val="22"/>
          <w:szCs w:val="22"/>
          <w:lang w:val="en-GB"/>
        </w:rPr>
        <w:t>Customary sustainable use</w:t>
      </w:r>
    </w:p>
    <w:p w14:paraId="6C663B87" w14:textId="77777777" w:rsidR="005C579F" w:rsidRPr="00B3061D" w:rsidRDefault="005C579F" w:rsidP="00B3061D">
      <w:pPr>
        <w:spacing w:after="0" w:line="240" w:lineRule="auto"/>
        <w:rPr>
          <w:rFonts w:cs="Arial"/>
          <w:i/>
          <w:color w:val="222222"/>
          <w:u w:val="single"/>
          <w:lang w:val="en-GB"/>
        </w:rPr>
      </w:pPr>
    </w:p>
    <w:p w14:paraId="3ACCAE2E" w14:textId="095EB38E" w:rsidR="000651E4" w:rsidRPr="00B3061D" w:rsidRDefault="000651E4"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t>Examples of customary sustainable use include hunting, fishing, farming (including shifting cultivation), and gathering non</w:t>
      </w:r>
      <w:r w:rsidRPr="00B3061D">
        <w:rPr>
          <w:rFonts w:asciiTheme="minorHAnsi" w:hAnsiTheme="minorHAnsi"/>
          <w:szCs w:val="22"/>
        </w:rPr>
        <w:noBreakHyphen/>
        <w:t xml:space="preserve">timber forest products including for medicine, housing, fishing nets, crafts and various tools and utensils. </w:t>
      </w:r>
      <w:r w:rsidR="00DB55F7" w:rsidRPr="00B3061D">
        <w:rPr>
          <w:rFonts w:asciiTheme="minorHAnsi" w:hAnsiTheme="minorHAnsi"/>
          <w:szCs w:val="22"/>
        </w:rPr>
        <w:t>Many i</w:t>
      </w:r>
      <w:r w:rsidRPr="00B3061D">
        <w:rPr>
          <w:rFonts w:asciiTheme="minorHAnsi" w:hAnsiTheme="minorHAnsi"/>
          <w:szCs w:val="22"/>
        </w:rPr>
        <w:t xml:space="preserve">ndigenous territories </w:t>
      </w:r>
      <w:r w:rsidR="00C92F3A">
        <w:rPr>
          <w:rFonts w:asciiTheme="minorHAnsi" w:hAnsiTheme="minorHAnsi"/>
          <w:szCs w:val="22"/>
        </w:rPr>
        <w:t xml:space="preserve">– at least parts of them - </w:t>
      </w:r>
      <w:r w:rsidR="008F5567" w:rsidRPr="00B3061D">
        <w:rPr>
          <w:rFonts w:asciiTheme="minorHAnsi" w:hAnsiTheme="minorHAnsi"/>
          <w:szCs w:val="22"/>
        </w:rPr>
        <w:t>a</w:t>
      </w:r>
      <w:r w:rsidRPr="00B3061D">
        <w:rPr>
          <w:rFonts w:asciiTheme="minorHAnsi" w:hAnsiTheme="minorHAnsi"/>
          <w:szCs w:val="22"/>
        </w:rPr>
        <w:t>re collectively owned</w:t>
      </w:r>
      <w:r w:rsidR="00C92F3A">
        <w:rPr>
          <w:rFonts w:asciiTheme="minorHAnsi" w:hAnsiTheme="minorHAnsi"/>
          <w:szCs w:val="22"/>
        </w:rPr>
        <w:t xml:space="preserve">, </w:t>
      </w:r>
      <w:r w:rsidRPr="00B3061D">
        <w:rPr>
          <w:rFonts w:asciiTheme="minorHAnsi" w:hAnsiTheme="minorHAnsi"/>
          <w:szCs w:val="22"/>
        </w:rPr>
        <w:t>managed</w:t>
      </w:r>
      <w:r w:rsidR="00C92F3A">
        <w:rPr>
          <w:rFonts w:asciiTheme="minorHAnsi" w:hAnsiTheme="minorHAnsi"/>
          <w:szCs w:val="22"/>
        </w:rPr>
        <w:t xml:space="preserve"> and regulated</w:t>
      </w:r>
      <w:r w:rsidRPr="00B3061D">
        <w:rPr>
          <w:rFonts w:asciiTheme="minorHAnsi" w:hAnsiTheme="minorHAnsi"/>
          <w:szCs w:val="22"/>
        </w:rPr>
        <w:t xml:space="preserve">. Spiritual beliefs and cosmological views </w:t>
      </w:r>
      <w:r w:rsidR="00C92F3A">
        <w:rPr>
          <w:rFonts w:asciiTheme="minorHAnsi" w:hAnsiTheme="minorHAnsi"/>
          <w:szCs w:val="22"/>
        </w:rPr>
        <w:t xml:space="preserve">often </w:t>
      </w:r>
      <w:proofErr w:type="gramStart"/>
      <w:r w:rsidRPr="00B3061D">
        <w:rPr>
          <w:rFonts w:asciiTheme="minorHAnsi" w:hAnsiTheme="minorHAnsi"/>
          <w:szCs w:val="22"/>
        </w:rPr>
        <w:t>guide</w:t>
      </w:r>
      <w:r w:rsidR="008F5567" w:rsidRPr="00B3061D">
        <w:rPr>
          <w:rFonts w:asciiTheme="minorHAnsi" w:hAnsiTheme="minorHAnsi"/>
          <w:szCs w:val="22"/>
        </w:rPr>
        <w:t>s</w:t>
      </w:r>
      <w:proofErr w:type="gramEnd"/>
      <w:r w:rsidRPr="00B3061D">
        <w:rPr>
          <w:rFonts w:asciiTheme="minorHAnsi" w:hAnsiTheme="minorHAnsi"/>
          <w:szCs w:val="22"/>
        </w:rPr>
        <w:t xml:space="preserve"> interaction with nature. Customary laws continue to guide customary sustainable use</w:t>
      </w:r>
      <w:r w:rsidR="00C92F3A">
        <w:rPr>
          <w:rFonts w:asciiTheme="minorHAnsi" w:hAnsiTheme="minorHAnsi"/>
          <w:szCs w:val="22"/>
        </w:rPr>
        <w:t xml:space="preserve">. </w:t>
      </w:r>
      <w:proofErr w:type="gramStart"/>
      <w:r w:rsidR="00C92F3A">
        <w:rPr>
          <w:rFonts w:asciiTheme="minorHAnsi" w:hAnsiTheme="minorHAnsi"/>
          <w:szCs w:val="22"/>
        </w:rPr>
        <w:t xml:space="preserve">These </w:t>
      </w:r>
      <w:r w:rsidRPr="00B3061D">
        <w:rPr>
          <w:rFonts w:asciiTheme="minorHAnsi" w:hAnsiTheme="minorHAnsi"/>
          <w:szCs w:val="22"/>
        </w:rPr>
        <w:t xml:space="preserve"> include</w:t>
      </w:r>
      <w:r w:rsidR="00C92F3A">
        <w:rPr>
          <w:rFonts w:asciiTheme="minorHAnsi" w:hAnsiTheme="minorHAnsi"/>
          <w:szCs w:val="22"/>
        </w:rPr>
        <w:t>s</w:t>
      </w:r>
      <w:proofErr w:type="gramEnd"/>
      <w:r w:rsidRPr="00B3061D">
        <w:rPr>
          <w:rFonts w:asciiTheme="minorHAnsi" w:hAnsiTheme="minorHAnsi"/>
          <w:szCs w:val="22"/>
        </w:rPr>
        <w:t xml:space="preserve"> principles such as: don’t take more than you need and can carry</w:t>
      </w:r>
      <w:r w:rsidR="008F5567" w:rsidRPr="00B3061D">
        <w:rPr>
          <w:rFonts w:asciiTheme="minorHAnsi" w:hAnsiTheme="minorHAnsi"/>
          <w:szCs w:val="22"/>
        </w:rPr>
        <w:t xml:space="preserve"> (don’t waste and treat everything respectfully)</w:t>
      </w:r>
      <w:r w:rsidRPr="00B3061D">
        <w:rPr>
          <w:rFonts w:asciiTheme="minorHAnsi" w:hAnsiTheme="minorHAnsi"/>
          <w:szCs w:val="22"/>
        </w:rPr>
        <w:t>; ensure the resource can recover (these rules apply equally to flora and fauna); do not hunt pregnant or young animals; avoid sacred and taboo sites or species; use rituals and customs when interacting with natural resources (seeking guidance and permission); take into account internal controls – including the views of elders and traditional institutions.</w:t>
      </w:r>
      <w:r w:rsidR="008F5567" w:rsidRPr="00B3061D">
        <w:rPr>
          <w:rStyle w:val="FootnoteReference"/>
          <w:rFonts w:asciiTheme="minorHAnsi" w:hAnsiTheme="minorHAnsi"/>
          <w:szCs w:val="22"/>
        </w:rPr>
        <w:footnoteReference w:id="15"/>
      </w:r>
    </w:p>
    <w:p w14:paraId="5F33B9D5" w14:textId="77777777" w:rsidR="000651E4" w:rsidRPr="00B3061D" w:rsidRDefault="000651E4" w:rsidP="00B3061D">
      <w:pPr>
        <w:spacing w:after="0" w:line="240" w:lineRule="auto"/>
        <w:rPr>
          <w:rFonts w:cs="Arial"/>
          <w:i/>
          <w:color w:val="222222"/>
          <w:u w:val="single"/>
          <w:lang w:val="en-GB"/>
        </w:rPr>
      </w:pPr>
    </w:p>
    <w:p w14:paraId="77CF4297" w14:textId="6BEDA093" w:rsidR="00C07AC1" w:rsidRPr="00B3061D" w:rsidRDefault="00F155BB" w:rsidP="00B3061D">
      <w:pPr>
        <w:spacing w:after="0" w:line="240" w:lineRule="auto"/>
        <w:rPr>
          <w:rFonts w:cs="Arial"/>
          <w:color w:val="222222"/>
          <w:lang w:val="en-GB"/>
        </w:rPr>
      </w:pPr>
      <w:r w:rsidRPr="00B3061D">
        <w:rPr>
          <w:rFonts w:cs="Arial"/>
          <w:color w:val="222222"/>
          <w:lang w:val="en-GB"/>
        </w:rPr>
        <w:t>Detailed documentation by a network of IPLC organisations</w:t>
      </w:r>
      <w:r w:rsidR="00CB73FC" w:rsidRPr="00B3061D">
        <w:rPr>
          <w:rStyle w:val="FootnoteReference"/>
          <w:rFonts w:cs="Arial"/>
          <w:color w:val="222222"/>
          <w:lang w:val="en-GB"/>
        </w:rPr>
        <w:footnoteReference w:id="16"/>
      </w:r>
      <w:r w:rsidRPr="00B3061D">
        <w:rPr>
          <w:rFonts w:cs="Arial"/>
          <w:color w:val="222222"/>
          <w:lang w:val="en-GB"/>
        </w:rPr>
        <w:t xml:space="preserve"> </w:t>
      </w:r>
      <w:r w:rsidR="00C07AC1" w:rsidRPr="00B3061D">
        <w:rPr>
          <w:rFonts w:cs="Arial"/>
          <w:color w:val="222222"/>
          <w:lang w:val="en-GB"/>
        </w:rPr>
        <w:t xml:space="preserve">describe how </w:t>
      </w:r>
      <w:r w:rsidR="00F45D8A" w:rsidRPr="00B3061D">
        <w:rPr>
          <w:rFonts w:cs="Arial"/>
          <w:color w:val="222222"/>
          <w:lang w:val="en-GB"/>
        </w:rPr>
        <w:t xml:space="preserve">customary practices and laws </w:t>
      </w:r>
      <w:r w:rsidR="00C07AC1" w:rsidRPr="00B3061D">
        <w:rPr>
          <w:rFonts w:cs="Arial"/>
          <w:color w:val="222222"/>
          <w:lang w:val="en-GB"/>
        </w:rPr>
        <w:t xml:space="preserve">relate </w:t>
      </w:r>
      <w:r w:rsidR="00EC2732" w:rsidRPr="00B3061D">
        <w:rPr>
          <w:rFonts w:cs="Arial"/>
          <w:color w:val="222222"/>
          <w:lang w:val="en-GB"/>
        </w:rPr>
        <w:t xml:space="preserve">to specific Aichi targets, including:  </w:t>
      </w:r>
    </w:p>
    <w:p w14:paraId="03AC20F9" w14:textId="77777777" w:rsidR="00C07AC1" w:rsidRPr="00B3061D" w:rsidRDefault="00C07AC1" w:rsidP="00B3061D">
      <w:pPr>
        <w:spacing w:after="0" w:line="240" w:lineRule="auto"/>
        <w:rPr>
          <w:rFonts w:cs="Arial"/>
          <w:color w:val="222222"/>
          <w:lang w:val="en-GB"/>
        </w:rPr>
      </w:pPr>
    </w:p>
    <w:p w14:paraId="73B5A320" w14:textId="6A7EB11B" w:rsidR="00364C62" w:rsidRPr="00B3061D" w:rsidRDefault="000C3E25" w:rsidP="00626832">
      <w:pPr>
        <w:pStyle w:val="ListParagraph"/>
        <w:numPr>
          <w:ilvl w:val="0"/>
          <w:numId w:val="4"/>
        </w:numPr>
        <w:ind w:left="0"/>
        <w:rPr>
          <w:rFonts w:cs="Arial"/>
          <w:color w:val="222222"/>
          <w:sz w:val="22"/>
          <w:szCs w:val="22"/>
          <w:lang w:val="en-GB"/>
        </w:rPr>
      </w:pPr>
      <w:r w:rsidRPr="00B3061D">
        <w:rPr>
          <w:rFonts w:cs="Arial"/>
          <w:color w:val="222222"/>
          <w:sz w:val="22"/>
          <w:szCs w:val="22"/>
          <w:lang w:val="en-GB"/>
        </w:rPr>
        <w:lastRenderedPageBreak/>
        <w:t>S</w:t>
      </w:r>
      <w:r w:rsidR="000C75A3" w:rsidRPr="00B3061D">
        <w:rPr>
          <w:rFonts w:cs="Arial"/>
          <w:color w:val="222222"/>
          <w:sz w:val="22"/>
          <w:szCs w:val="22"/>
          <w:lang w:val="en-GB"/>
        </w:rPr>
        <w:t>ustainable fishing (tar</w:t>
      </w:r>
      <w:r w:rsidR="00364C62" w:rsidRPr="00B3061D">
        <w:rPr>
          <w:rFonts w:cs="Arial"/>
          <w:color w:val="222222"/>
          <w:sz w:val="22"/>
          <w:szCs w:val="22"/>
          <w:lang w:val="en-GB"/>
        </w:rPr>
        <w:t>get 6)</w:t>
      </w:r>
      <w:r w:rsidR="007A3FCE" w:rsidRPr="00B3061D">
        <w:rPr>
          <w:rFonts w:cs="Arial"/>
          <w:color w:val="222222"/>
          <w:sz w:val="22"/>
          <w:szCs w:val="22"/>
          <w:lang w:val="en-GB"/>
        </w:rPr>
        <w:t>. Many IPs have strong customary knowledge and laws for sustainable fishing (regarding methods such as damming, poisoning, regarding the size of meshes in nets, the importance of taking seasons into account</w:t>
      </w:r>
      <w:proofErr w:type="gramStart"/>
      <w:r w:rsidR="007A3FCE" w:rsidRPr="00B3061D">
        <w:rPr>
          <w:rFonts w:cs="Arial"/>
          <w:color w:val="222222"/>
          <w:sz w:val="22"/>
          <w:szCs w:val="22"/>
          <w:lang w:val="en-GB"/>
        </w:rPr>
        <w:t>)  and</w:t>
      </w:r>
      <w:proofErr w:type="gramEnd"/>
      <w:r w:rsidR="007A3FCE" w:rsidRPr="00B3061D">
        <w:rPr>
          <w:rFonts w:cs="Arial"/>
          <w:color w:val="222222"/>
          <w:sz w:val="22"/>
          <w:szCs w:val="22"/>
          <w:lang w:val="en-GB"/>
        </w:rPr>
        <w:t xml:space="preserve"> responsible use of fishing grounds.</w:t>
      </w:r>
      <w:r w:rsidR="00F26FAB">
        <w:rPr>
          <w:rFonts w:cs="Arial"/>
          <w:color w:val="222222"/>
          <w:sz w:val="22"/>
          <w:szCs w:val="22"/>
          <w:lang w:val="en-GB"/>
        </w:rPr>
        <w:t xml:space="preserve"> </w:t>
      </w:r>
      <w:r w:rsidR="007A3FCE" w:rsidRPr="00B3061D">
        <w:rPr>
          <w:rFonts w:cs="Arial"/>
          <w:color w:val="222222"/>
          <w:sz w:val="22"/>
          <w:szCs w:val="22"/>
          <w:lang w:val="en-GB"/>
        </w:rPr>
        <w:t xml:space="preserve"> </w:t>
      </w:r>
      <w:r w:rsidR="00982C15" w:rsidRPr="00B3061D">
        <w:rPr>
          <w:rFonts w:cs="Arial"/>
          <w:color w:val="222222"/>
          <w:sz w:val="22"/>
          <w:szCs w:val="22"/>
          <w:lang w:val="en-GB"/>
        </w:rPr>
        <w:t xml:space="preserve">In Suriname research described </w:t>
      </w:r>
      <w:proofErr w:type="gramStart"/>
      <w:r w:rsidR="00982C15" w:rsidRPr="00B3061D">
        <w:rPr>
          <w:rFonts w:cs="Arial"/>
          <w:color w:val="222222"/>
          <w:sz w:val="22"/>
          <w:szCs w:val="22"/>
          <w:lang w:val="en-GB"/>
        </w:rPr>
        <w:t>how  river</w:t>
      </w:r>
      <w:proofErr w:type="gramEnd"/>
      <w:r w:rsidR="00982C15" w:rsidRPr="00B3061D">
        <w:rPr>
          <w:rFonts w:cs="Arial"/>
          <w:color w:val="222222"/>
          <w:sz w:val="22"/>
          <w:szCs w:val="22"/>
          <w:lang w:val="en-GB"/>
        </w:rPr>
        <w:t xml:space="preserve"> banks are protected because fruits of trees on those banks are eaten by the fish (</w:t>
      </w:r>
      <w:r w:rsidR="00F26FAB" w:rsidRPr="00F26FAB">
        <w:rPr>
          <w:rFonts w:cs="Arial"/>
          <w:color w:val="222222"/>
          <w:sz w:val="22"/>
          <w:szCs w:val="22"/>
          <w:highlight w:val="yellow"/>
          <w:lang w:val="en-GB"/>
        </w:rPr>
        <w:t xml:space="preserve">ref </w:t>
      </w:r>
      <w:proofErr w:type="spellStart"/>
      <w:r w:rsidR="00982C15" w:rsidRPr="00F26FAB">
        <w:rPr>
          <w:rFonts w:cs="Arial"/>
          <w:color w:val="222222"/>
          <w:sz w:val="22"/>
          <w:szCs w:val="22"/>
          <w:highlight w:val="yellow"/>
          <w:lang w:val="en-GB"/>
        </w:rPr>
        <w:t>suriname</w:t>
      </w:r>
      <w:proofErr w:type="spellEnd"/>
      <w:r w:rsidR="00982C15" w:rsidRPr="00F26FAB">
        <w:rPr>
          <w:rFonts w:cs="Arial"/>
          <w:color w:val="222222"/>
          <w:sz w:val="22"/>
          <w:szCs w:val="22"/>
          <w:highlight w:val="yellow"/>
          <w:lang w:val="en-GB"/>
        </w:rPr>
        <w:t xml:space="preserve"> 10c study</w:t>
      </w:r>
      <w:r w:rsidR="00982C15" w:rsidRPr="00B3061D">
        <w:rPr>
          <w:rFonts w:cs="Arial"/>
          <w:color w:val="222222"/>
          <w:sz w:val="22"/>
          <w:szCs w:val="22"/>
          <w:lang w:val="en-GB"/>
        </w:rPr>
        <w:t xml:space="preserve">). </w:t>
      </w:r>
    </w:p>
    <w:p w14:paraId="3561847E" w14:textId="29A6025F" w:rsidR="00EC2732" w:rsidRPr="00B3061D" w:rsidRDefault="007A3FCE" w:rsidP="00626832">
      <w:pPr>
        <w:pStyle w:val="ListParagraph"/>
        <w:numPr>
          <w:ilvl w:val="0"/>
          <w:numId w:val="4"/>
        </w:numPr>
        <w:ind w:left="0"/>
        <w:rPr>
          <w:rFonts w:cs="Arial"/>
          <w:color w:val="222222"/>
          <w:sz w:val="22"/>
          <w:szCs w:val="22"/>
          <w:lang w:val="en-GB"/>
        </w:rPr>
      </w:pPr>
      <w:r w:rsidRPr="00B3061D">
        <w:rPr>
          <w:rFonts w:cs="Arial"/>
          <w:color w:val="222222"/>
          <w:sz w:val="22"/>
          <w:szCs w:val="22"/>
          <w:lang w:val="en-GB"/>
        </w:rPr>
        <w:t xml:space="preserve">Sustainable </w:t>
      </w:r>
      <w:r w:rsidR="000C75A3" w:rsidRPr="00B3061D">
        <w:rPr>
          <w:rFonts w:cs="Arial"/>
          <w:color w:val="222222"/>
          <w:sz w:val="22"/>
          <w:szCs w:val="22"/>
          <w:lang w:val="en-GB"/>
        </w:rPr>
        <w:t>agriculture/forestry (target 7</w:t>
      </w:r>
      <w:r w:rsidR="00982C15" w:rsidRPr="00B3061D">
        <w:rPr>
          <w:rFonts w:cs="Arial"/>
          <w:color w:val="222222"/>
          <w:sz w:val="22"/>
          <w:szCs w:val="22"/>
          <w:lang w:val="en-GB"/>
        </w:rPr>
        <w:t xml:space="preserve">). </w:t>
      </w:r>
      <w:r w:rsidR="000C75A3" w:rsidRPr="00B3061D">
        <w:rPr>
          <w:rFonts w:cs="Arial"/>
          <w:color w:val="222222"/>
          <w:sz w:val="22"/>
          <w:szCs w:val="22"/>
          <w:lang w:val="en-GB"/>
        </w:rPr>
        <w:t xml:space="preserve"> </w:t>
      </w:r>
      <w:r w:rsidR="002F726B" w:rsidRPr="00B3061D">
        <w:rPr>
          <w:rFonts w:cs="Arial"/>
          <w:color w:val="222222"/>
          <w:sz w:val="22"/>
          <w:szCs w:val="22"/>
          <w:lang w:val="en-GB"/>
        </w:rPr>
        <w:t>T</w:t>
      </w:r>
      <w:r w:rsidR="00EC2732" w:rsidRPr="00B3061D">
        <w:rPr>
          <w:rFonts w:cs="Arial"/>
          <w:color w:val="222222"/>
          <w:sz w:val="22"/>
          <w:szCs w:val="22"/>
          <w:lang w:val="en-GB"/>
        </w:rPr>
        <w:t xml:space="preserve">raditional hunting methods </w:t>
      </w:r>
      <w:r w:rsidR="002F726B" w:rsidRPr="00B3061D">
        <w:rPr>
          <w:rFonts w:cs="Arial"/>
          <w:color w:val="222222"/>
          <w:sz w:val="22"/>
          <w:szCs w:val="22"/>
          <w:lang w:val="en-GB"/>
        </w:rPr>
        <w:t xml:space="preserve">and harvesting of forest products such as honey are sustainable and contribute to a healthy balance in ecosystems. </w:t>
      </w:r>
      <w:r w:rsidR="00221F24" w:rsidRPr="00B3061D">
        <w:rPr>
          <w:rFonts w:cs="Arial"/>
          <w:color w:val="222222"/>
          <w:sz w:val="22"/>
          <w:szCs w:val="22"/>
          <w:lang w:val="en-GB"/>
        </w:rPr>
        <w:t>Age</w:t>
      </w:r>
      <w:r w:rsidR="00F26FAB">
        <w:rPr>
          <w:rFonts w:cs="Arial"/>
          <w:color w:val="222222"/>
          <w:sz w:val="22"/>
          <w:szCs w:val="22"/>
          <w:lang w:val="en-GB"/>
        </w:rPr>
        <w:t>-</w:t>
      </w:r>
      <w:r w:rsidR="00221F24" w:rsidRPr="00B3061D">
        <w:rPr>
          <w:rFonts w:cs="Arial"/>
          <w:color w:val="222222"/>
          <w:sz w:val="22"/>
          <w:szCs w:val="22"/>
          <w:lang w:val="en-GB"/>
        </w:rPr>
        <w:t xml:space="preserve">old farming </w:t>
      </w:r>
      <w:proofErr w:type="gramStart"/>
      <w:r w:rsidR="00221F24" w:rsidRPr="00B3061D">
        <w:rPr>
          <w:rFonts w:cs="Arial"/>
          <w:color w:val="222222"/>
          <w:sz w:val="22"/>
          <w:szCs w:val="22"/>
          <w:lang w:val="en-GB"/>
        </w:rPr>
        <w:t>techniques  like</w:t>
      </w:r>
      <w:proofErr w:type="gramEnd"/>
      <w:r w:rsidR="00221F24" w:rsidRPr="00B3061D">
        <w:rPr>
          <w:rFonts w:cs="Arial"/>
          <w:color w:val="222222"/>
          <w:sz w:val="22"/>
          <w:szCs w:val="22"/>
          <w:lang w:val="en-GB"/>
        </w:rPr>
        <w:t xml:space="preserve"> rotational agriculture</w:t>
      </w:r>
      <w:r w:rsidR="00A154FB" w:rsidRPr="00B3061D">
        <w:rPr>
          <w:rFonts w:cs="Arial"/>
          <w:color w:val="222222"/>
          <w:sz w:val="22"/>
          <w:szCs w:val="22"/>
          <w:lang w:val="en-GB"/>
        </w:rPr>
        <w:t xml:space="preserve"> (also called s</w:t>
      </w:r>
      <w:r w:rsidR="00A154FB" w:rsidRPr="00B3061D">
        <w:rPr>
          <w:rFonts w:cs="Arial"/>
          <w:sz w:val="22"/>
          <w:szCs w:val="22"/>
          <w:lang w:val="en-GB"/>
        </w:rPr>
        <w:t xml:space="preserve">hifting cultivation or </w:t>
      </w:r>
      <w:proofErr w:type="spellStart"/>
      <w:r w:rsidR="00A154FB" w:rsidRPr="00B3061D">
        <w:rPr>
          <w:rFonts w:cs="Arial"/>
          <w:sz w:val="22"/>
          <w:szCs w:val="22"/>
          <w:lang w:val="en-GB"/>
        </w:rPr>
        <w:t>swidden</w:t>
      </w:r>
      <w:proofErr w:type="spellEnd"/>
      <w:r w:rsidR="00A154FB" w:rsidRPr="00B3061D">
        <w:rPr>
          <w:rFonts w:cs="Arial"/>
          <w:sz w:val="22"/>
          <w:szCs w:val="22"/>
          <w:lang w:val="en-GB"/>
        </w:rPr>
        <w:t xml:space="preserve"> farming) </w:t>
      </w:r>
      <w:r w:rsidR="00221F24" w:rsidRPr="00B3061D">
        <w:rPr>
          <w:rFonts w:cs="Arial"/>
          <w:color w:val="222222"/>
          <w:sz w:val="22"/>
          <w:szCs w:val="22"/>
          <w:lang w:val="en-GB"/>
        </w:rPr>
        <w:t xml:space="preserve"> are effectively adapted to ecosystem’s functions and contribute to sustainable forest management (see case study below). </w:t>
      </w:r>
    </w:p>
    <w:p w14:paraId="3264E311" w14:textId="6F98EC94" w:rsidR="008F5567" w:rsidRPr="00B3061D" w:rsidRDefault="00221F24" w:rsidP="00626832">
      <w:pPr>
        <w:pStyle w:val="ListParagraph"/>
        <w:numPr>
          <w:ilvl w:val="0"/>
          <w:numId w:val="4"/>
        </w:numPr>
        <w:ind w:left="0"/>
        <w:rPr>
          <w:rFonts w:cs="Arial"/>
          <w:color w:val="222222"/>
          <w:sz w:val="22"/>
          <w:szCs w:val="22"/>
          <w:lang w:val="en-GB"/>
        </w:rPr>
      </w:pPr>
      <w:r w:rsidRPr="00B3061D">
        <w:rPr>
          <w:rFonts w:cs="Arial"/>
          <w:color w:val="222222"/>
          <w:sz w:val="22"/>
          <w:szCs w:val="22"/>
          <w:lang w:val="en-GB"/>
        </w:rPr>
        <w:t>Ecosystem services (Target 14): h</w:t>
      </w:r>
      <w:r w:rsidR="008F5567" w:rsidRPr="00B3061D">
        <w:rPr>
          <w:rFonts w:cs="Arial"/>
          <w:color w:val="222222"/>
          <w:sz w:val="22"/>
          <w:szCs w:val="22"/>
          <w:lang w:val="en-GB"/>
        </w:rPr>
        <w:t xml:space="preserve">unting, fishing and gathering and traditional agriculture are important sources of subsistence for many </w:t>
      </w:r>
      <w:proofErr w:type="gramStart"/>
      <w:r w:rsidR="008F5567" w:rsidRPr="00B3061D">
        <w:rPr>
          <w:rFonts w:cs="Arial"/>
          <w:color w:val="222222"/>
          <w:sz w:val="22"/>
          <w:szCs w:val="22"/>
          <w:lang w:val="en-GB"/>
        </w:rPr>
        <w:t>communities  and</w:t>
      </w:r>
      <w:proofErr w:type="gramEnd"/>
      <w:r w:rsidR="008F5567" w:rsidRPr="00B3061D">
        <w:rPr>
          <w:rFonts w:cs="Arial"/>
          <w:color w:val="222222"/>
          <w:sz w:val="22"/>
          <w:szCs w:val="22"/>
          <w:lang w:val="en-GB"/>
        </w:rPr>
        <w:t xml:space="preserve"> contribute to health</w:t>
      </w:r>
      <w:r w:rsidR="00C07AC1" w:rsidRPr="00B3061D">
        <w:rPr>
          <w:rFonts w:cs="Arial"/>
          <w:color w:val="222222"/>
          <w:sz w:val="22"/>
          <w:szCs w:val="22"/>
          <w:lang w:val="en-GB"/>
        </w:rPr>
        <w:t xml:space="preserve"> (dietary intake) </w:t>
      </w:r>
      <w:r w:rsidR="008F5567" w:rsidRPr="00B3061D">
        <w:rPr>
          <w:rFonts w:cs="Arial"/>
          <w:color w:val="222222"/>
          <w:sz w:val="22"/>
          <w:szCs w:val="22"/>
          <w:lang w:val="en-GB"/>
        </w:rPr>
        <w:t>and well-being through medicine and spiri</w:t>
      </w:r>
      <w:r w:rsidR="00582181" w:rsidRPr="00B3061D">
        <w:rPr>
          <w:rFonts w:cs="Arial"/>
          <w:color w:val="222222"/>
          <w:sz w:val="22"/>
          <w:szCs w:val="22"/>
          <w:lang w:val="en-GB"/>
        </w:rPr>
        <w:t>tual/cultural values</w:t>
      </w:r>
      <w:r w:rsidR="008F5567" w:rsidRPr="00B3061D">
        <w:rPr>
          <w:rFonts w:cs="Arial"/>
          <w:color w:val="222222"/>
          <w:sz w:val="22"/>
          <w:szCs w:val="22"/>
          <w:lang w:val="en-GB"/>
        </w:rPr>
        <w:t xml:space="preserve">. </w:t>
      </w:r>
    </w:p>
    <w:p w14:paraId="34EF0E40" w14:textId="77777777" w:rsidR="00444C63" w:rsidRPr="00B3061D" w:rsidRDefault="00444C63" w:rsidP="00B3061D">
      <w:pPr>
        <w:spacing w:after="0" w:line="240" w:lineRule="auto"/>
        <w:rPr>
          <w:rFonts w:cs="Arial"/>
          <w:color w:val="222222"/>
          <w:lang w:val="en-GB"/>
        </w:rPr>
      </w:pPr>
    </w:p>
    <w:p w14:paraId="71D78A78" w14:textId="2CF20549" w:rsidR="00333AA4" w:rsidRPr="00F26FAB" w:rsidRDefault="00444C63" w:rsidP="00B3061D">
      <w:pPr>
        <w:spacing w:after="0" w:line="240" w:lineRule="auto"/>
        <w:rPr>
          <w:rFonts w:eastAsia="Times New Roman" w:cs="Tahoma"/>
          <w:b/>
          <w:bCs/>
          <w:color w:val="0070C0"/>
          <w:lang w:val="en-GB" w:eastAsia="nl-NL"/>
        </w:rPr>
      </w:pPr>
      <w:r w:rsidRPr="00F26FAB">
        <w:rPr>
          <w:rFonts w:cs="Arial"/>
          <w:b/>
          <w:color w:val="0070C0"/>
          <w:lang w:val="en-GB"/>
        </w:rPr>
        <w:t>Case study:</w:t>
      </w:r>
      <w:r w:rsidRPr="00F26FAB">
        <w:rPr>
          <w:rFonts w:cs="Arial"/>
          <w:i/>
          <w:color w:val="0070C0"/>
          <w:lang w:val="en-GB"/>
        </w:rPr>
        <w:t xml:space="preserve"> </w:t>
      </w:r>
      <w:r w:rsidR="00333AA4" w:rsidRPr="00F26FAB">
        <w:rPr>
          <w:rFonts w:eastAsia="Times New Roman" w:cs="Tahoma"/>
          <w:b/>
          <w:bCs/>
          <w:color w:val="0070C0"/>
          <w:lang w:val="en-GB" w:eastAsia="nl-NL"/>
        </w:rPr>
        <w:t>Sustainable Community Based Forest Management in Northern Thailand (video, AIPP 2014)</w:t>
      </w:r>
    </w:p>
    <w:p w14:paraId="3EBB20E7" w14:textId="77777777" w:rsidR="00333AA4" w:rsidRPr="00F26FAB" w:rsidRDefault="00333AA4" w:rsidP="00B3061D">
      <w:pPr>
        <w:spacing w:after="0" w:line="240" w:lineRule="auto"/>
        <w:rPr>
          <w:rFonts w:eastAsia="Times New Roman" w:cs="Tahoma"/>
          <w:color w:val="000000"/>
          <w:lang w:val="en-GB" w:eastAsia="nl-NL"/>
        </w:rPr>
      </w:pPr>
    </w:p>
    <w:p w14:paraId="74E80E6F" w14:textId="77777777" w:rsidR="00333AA4" w:rsidRPr="00B3061D" w:rsidRDefault="00333AA4"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The video </w:t>
      </w:r>
      <w:r w:rsidRPr="00B3061D">
        <w:rPr>
          <w:rFonts w:eastAsia="Times New Roman" w:cs="Tahoma"/>
          <w:bCs/>
          <w:color w:val="000000"/>
          <w:lang w:val="en-GB" w:eastAsia="nl-NL"/>
        </w:rPr>
        <w:t>“Community Based Forest Management: Local Solutions to Global Challenges”, produced by the</w:t>
      </w:r>
      <w:r w:rsidRPr="00B3061D">
        <w:rPr>
          <w:rFonts w:eastAsia="Times New Roman" w:cs="Tahoma"/>
          <w:b/>
          <w:bCs/>
          <w:color w:val="000000"/>
          <w:lang w:val="en-GB" w:eastAsia="nl-NL"/>
        </w:rPr>
        <w:t xml:space="preserve"> </w:t>
      </w:r>
      <w:r w:rsidRPr="00B3061D">
        <w:rPr>
          <w:rFonts w:eastAsia="Times New Roman" w:cs="Tahoma"/>
          <w:color w:val="000000"/>
          <w:lang w:val="en-GB" w:eastAsia="nl-NL"/>
        </w:rPr>
        <w:t>Asia Indigenous Peoples Pact (AIPP) and the International Work Group for Indigenous Affairs (IWGIA), in collaboration with Indigenous Peoples’ Foundation for Education and Environment (IPF), expounds on the importance of community based forest management to the conservation of forest areas (including for absorbing CO2/green house gasses that cause global warming), as well as to IP’s themselves in terms of their livelihoods, food security; and spiritual and cultural values.</w:t>
      </w:r>
    </w:p>
    <w:p w14:paraId="057EA772" w14:textId="77777777" w:rsidR="00333AA4" w:rsidRPr="00B3061D" w:rsidRDefault="00333AA4" w:rsidP="00B3061D">
      <w:pPr>
        <w:spacing w:after="0" w:line="240" w:lineRule="auto"/>
        <w:rPr>
          <w:rFonts w:eastAsia="Times New Roman" w:cs="Tahoma"/>
          <w:color w:val="000000"/>
          <w:lang w:val="en-GB" w:eastAsia="nl-NL"/>
        </w:rPr>
      </w:pPr>
    </w:p>
    <w:p w14:paraId="66B0BC58" w14:textId="26621B19" w:rsidR="00333AA4" w:rsidRPr="00B3061D" w:rsidRDefault="00333AA4" w:rsidP="00B3061D">
      <w:pPr>
        <w:spacing w:after="0" w:line="240" w:lineRule="auto"/>
        <w:rPr>
          <w:rFonts w:eastAsia="Times New Roman" w:cs="Times New Roman"/>
          <w:color w:val="000000"/>
          <w:lang w:val="en-GB" w:eastAsia="nl-NL"/>
        </w:rPr>
      </w:pPr>
      <w:r w:rsidRPr="00B3061D">
        <w:rPr>
          <w:rFonts w:eastAsia="Times New Roman" w:cs="Tahoma"/>
          <w:color w:val="000000"/>
          <w:lang w:val="en-GB" w:eastAsia="nl-NL"/>
        </w:rPr>
        <w:t xml:space="preserve">One example that is highlighted is the land use system of </w:t>
      </w:r>
      <w:proofErr w:type="spellStart"/>
      <w:r w:rsidRPr="00B3061D">
        <w:rPr>
          <w:rFonts w:eastAsia="Times New Roman" w:cs="Tahoma"/>
          <w:color w:val="000000"/>
          <w:lang w:val="en-GB" w:eastAsia="nl-NL"/>
        </w:rPr>
        <w:t>Lua</w:t>
      </w:r>
      <w:proofErr w:type="spellEnd"/>
      <w:r w:rsidRPr="00B3061D">
        <w:rPr>
          <w:rFonts w:eastAsia="Times New Roman" w:cs="Tahoma"/>
          <w:color w:val="000000"/>
          <w:lang w:val="en-GB" w:eastAsia="nl-NL"/>
        </w:rPr>
        <w:t xml:space="preserve"> (La-</w:t>
      </w:r>
      <w:proofErr w:type="spellStart"/>
      <w:r w:rsidRPr="00B3061D">
        <w:rPr>
          <w:rFonts w:eastAsia="Times New Roman" w:cs="Tahoma"/>
          <w:color w:val="000000"/>
          <w:lang w:val="en-GB" w:eastAsia="nl-NL"/>
        </w:rPr>
        <w:t>weu</w:t>
      </w:r>
      <w:proofErr w:type="spellEnd"/>
      <w:r w:rsidRPr="00B3061D">
        <w:rPr>
          <w:rFonts w:eastAsia="Times New Roman" w:cs="Tahoma"/>
          <w:color w:val="000000"/>
          <w:lang w:val="en-GB" w:eastAsia="nl-NL"/>
        </w:rPr>
        <w:t>) indigenous peoples in northern Thailand, the village of La-</w:t>
      </w:r>
      <w:proofErr w:type="spellStart"/>
      <w:r w:rsidRPr="00B3061D">
        <w:rPr>
          <w:rFonts w:eastAsia="Times New Roman" w:cs="Tahoma"/>
          <w:color w:val="000000"/>
          <w:lang w:val="en-GB" w:eastAsia="nl-NL"/>
        </w:rPr>
        <w:t>oop</w:t>
      </w:r>
      <w:proofErr w:type="spellEnd"/>
      <w:r w:rsidRPr="00B3061D">
        <w:rPr>
          <w:rFonts w:eastAsia="Times New Roman" w:cs="Tahoma"/>
          <w:color w:val="000000"/>
          <w:lang w:val="en-GB" w:eastAsia="nl-NL"/>
        </w:rPr>
        <w:t>. The community practice</w:t>
      </w:r>
      <w:r w:rsidR="00522055" w:rsidRPr="00B3061D">
        <w:rPr>
          <w:rFonts w:eastAsia="Times New Roman" w:cs="Tahoma"/>
          <w:color w:val="000000"/>
          <w:lang w:val="en-GB" w:eastAsia="nl-NL"/>
        </w:rPr>
        <w:t>s</w:t>
      </w:r>
      <w:r w:rsidRPr="00B3061D">
        <w:rPr>
          <w:rFonts w:eastAsia="Times New Roman" w:cs="Tahoma"/>
          <w:color w:val="000000"/>
          <w:lang w:val="en-GB" w:eastAsia="nl-NL"/>
        </w:rPr>
        <w:t xml:space="preserve"> </w:t>
      </w:r>
      <w:r w:rsidR="00522055" w:rsidRPr="00B3061D">
        <w:rPr>
          <w:rFonts w:eastAsia="Times New Roman" w:cs="Tahoma"/>
          <w:color w:val="000000"/>
          <w:lang w:val="en-GB" w:eastAsia="nl-NL"/>
        </w:rPr>
        <w:t>its t</w:t>
      </w:r>
      <w:r w:rsidRPr="00B3061D">
        <w:rPr>
          <w:rFonts w:eastAsia="Times New Roman" w:cs="Tahoma"/>
          <w:color w:val="000000"/>
          <w:lang w:val="en-GB" w:eastAsia="nl-NL"/>
        </w:rPr>
        <w:t>raditional land use system based on TK and customary law. They have conservation forests in different categories with different rules and agreements ranging from sacred forest (only rituals</w:t>
      </w:r>
      <w:r w:rsidR="00551359">
        <w:rPr>
          <w:rFonts w:eastAsia="Times New Roman" w:cs="Tahoma"/>
          <w:color w:val="000000"/>
          <w:lang w:val="en-GB" w:eastAsia="nl-NL"/>
        </w:rPr>
        <w:t xml:space="preserve"> can be performed here</w:t>
      </w:r>
      <w:r w:rsidRPr="00B3061D">
        <w:rPr>
          <w:rFonts w:eastAsia="Times New Roman" w:cs="Tahoma"/>
          <w:color w:val="000000"/>
          <w:lang w:val="en-GB" w:eastAsia="nl-NL"/>
        </w:rPr>
        <w:t>), to forests where they will not cut trees but only gather NTFPs –</w:t>
      </w:r>
      <w:r w:rsidR="00551359">
        <w:rPr>
          <w:rFonts w:eastAsia="Times New Roman" w:cs="Tahoma"/>
          <w:color w:val="000000"/>
          <w:lang w:val="en-GB" w:eastAsia="nl-NL"/>
        </w:rPr>
        <w:t xml:space="preserve"> for timber and</w:t>
      </w:r>
      <w:r w:rsidRPr="00B3061D">
        <w:rPr>
          <w:rFonts w:eastAsia="Times New Roman" w:cs="Tahoma"/>
          <w:color w:val="000000"/>
          <w:lang w:val="en-GB" w:eastAsia="nl-NL"/>
        </w:rPr>
        <w:t xml:space="preserve"> food. –</w:t>
      </w:r>
      <w:r w:rsidR="00875110" w:rsidRPr="00B3061D">
        <w:rPr>
          <w:rFonts w:eastAsia="Times New Roman" w:cs="Tahoma"/>
          <w:color w:val="000000"/>
          <w:lang w:val="en-GB" w:eastAsia="nl-NL"/>
        </w:rPr>
        <w:t xml:space="preserve"> </w:t>
      </w:r>
      <w:r w:rsidRPr="00B3061D">
        <w:rPr>
          <w:rFonts w:eastAsia="Times New Roman" w:cs="Tahoma"/>
          <w:color w:val="000000"/>
          <w:lang w:val="en-GB" w:eastAsia="nl-NL"/>
        </w:rPr>
        <w:t>T</w:t>
      </w:r>
      <w:r w:rsidR="00522055" w:rsidRPr="00B3061D">
        <w:rPr>
          <w:rFonts w:eastAsia="Times New Roman" w:cs="Tahoma"/>
          <w:color w:val="000000"/>
          <w:lang w:val="en-GB" w:eastAsia="nl-NL"/>
        </w:rPr>
        <w:t xml:space="preserve">his community </w:t>
      </w:r>
      <w:r w:rsidR="00875110" w:rsidRPr="00B3061D">
        <w:rPr>
          <w:rFonts w:eastAsia="Times New Roman" w:cs="Tahoma"/>
          <w:color w:val="000000"/>
          <w:lang w:val="en-GB" w:eastAsia="nl-NL"/>
        </w:rPr>
        <w:t xml:space="preserve">also </w:t>
      </w:r>
      <w:r w:rsidR="00522055" w:rsidRPr="00B3061D">
        <w:rPr>
          <w:rFonts w:eastAsia="Times New Roman" w:cs="Tahoma"/>
          <w:color w:val="000000"/>
          <w:lang w:val="en-GB" w:eastAsia="nl-NL"/>
        </w:rPr>
        <w:t>applies</w:t>
      </w:r>
      <w:r w:rsidRPr="00B3061D">
        <w:rPr>
          <w:rFonts w:eastAsia="Times New Roman" w:cs="Tahoma"/>
          <w:color w:val="000000"/>
          <w:lang w:val="en-GB" w:eastAsia="nl-NL"/>
        </w:rPr>
        <w:t xml:space="preserve"> the sustainable practice of </w:t>
      </w:r>
      <w:r w:rsidRPr="00B3061D">
        <w:rPr>
          <w:rFonts w:eastAsia="Times New Roman" w:cs="Tahoma"/>
          <w:color w:val="000000"/>
          <w:u w:val="single"/>
          <w:lang w:val="en-GB" w:eastAsia="nl-NL"/>
        </w:rPr>
        <w:t>shifting cultivation</w:t>
      </w:r>
      <w:proofErr w:type="gramStart"/>
      <w:r w:rsidRPr="00B3061D">
        <w:rPr>
          <w:rFonts w:eastAsia="Times New Roman" w:cs="Tahoma"/>
          <w:color w:val="000000"/>
          <w:lang w:val="en-GB" w:eastAsia="nl-NL"/>
        </w:rPr>
        <w:t>;</w:t>
      </w:r>
      <w:proofErr w:type="gramEnd"/>
      <w:r w:rsidRPr="00B3061D">
        <w:rPr>
          <w:rFonts w:eastAsia="Times New Roman" w:cs="Tahoma"/>
          <w:color w:val="000000"/>
          <w:lang w:val="en-GB" w:eastAsia="nl-NL"/>
        </w:rPr>
        <w:t xml:space="preserve"> a highly sophisticated agro-forestry system that underlines the people’s deep connection with nature. </w:t>
      </w:r>
      <w:r w:rsidR="00522055" w:rsidRPr="00B3061D">
        <w:rPr>
          <w:rFonts w:eastAsia="Times New Roman" w:cs="Tahoma"/>
          <w:color w:val="000000"/>
          <w:lang w:val="en-GB" w:eastAsia="nl-NL"/>
        </w:rPr>
        <w:t>Th</w:t>
      </w:r>
      <w:r w:rsidR="00551359">
        <w:rPr>
          <w:rFonts w:eastAsia="Times New Roman" w:cs="Tahoma"/>
          <w:color w:val="000000"/>
          <w:lang w:val="en-GB" w:eastAsia="nl-NL"/>
        </w:rPr>
        <w:t xml:space="preserve">is is practiced in </w:t>
      </w:r>
      <w:r w:rsidR="00522055" w:rsidRPr="00B3061D">
        <w:rPr>
          <w:rFonts w:eastAsia="Times New Roman" w:cs="Tahoma"/>
          <w:color w:val="000000"/>
          <w:lang w:val="en-GB" w:eastAsia="nl-NL"/>
        </w:rPr>
        <w:t>nine</w:t>
      </w:r>
      <w:r w:rsidRPr="00B3061D">
        <w:rPr>
          <w:rFonts w:eastAsia="Times New Roman" w:cs="Tahoma"/>
          <w:color w:val="000000"/>
          <w:lang w:val="en-GB" w:eastAsia="nl-NL"/>
        </w:rPr>
        <w:t xml:space="preserve"> areas (not suitable for rice paddy farming), </w:t>
      </w:r>
      <w:r w:rsidR="00551359">
        <w:rPr>
          <w:rFonts w:eastAsia="Times New Roman" w:cs="Tahoma"/>
          <w:color w:val="000000"/>
          <w:lang w:val="en-GB" w:eastAsia="nl-NL"/>
        </w:rPr>
        <w:t xml:space="preserve">and </w:t>
      </w:r>
      <w:r w:rsidRPr="00B3061D">
        <w:rPr>
          <w:rFonts w:eastAsia="Times New Roman" w:cs="Tahoma"/>
          <w:color w:val="000000"/>
          <w:lang w:val="en-GB" w:eastAsia="nl-NL"/>
        </w:rPr>
        <w:t xml:space="preserve">each area </w:t>
      </w:r>
      <w:r w:rsidR="00551359">
        <w:rPr>
          <w:rFonts w:eastAsia="Times New Roman" w:cs="Tahoma"/>
          <w:color w:val="000000"/>
          <w:lang w:val="en-GB" w:eastAsia="nl-NL"/>
        </w:rPr>
        <w:t xml:space="preserve">is </w:t>
      </w:r>
      <w:r w:rsidRPr="00B3061D">
        <w:rPr>
          <w:rFonts w:eastAsia="Times New Roman" w:cs="Tahoma"/>
          <w:color w:val="000000"/>
          <w:lang w:val="en-GB" w:eastAsia="nl-NL"/>
        </w:rPr>
        <w:t>used</w:t>
      </w:r>
      <w:r w:rsidR="00551359">
        <w:rPr>
          <w:rFonts w:eastAsia="Times New Roman" w:cs="Tahoma"/>
          <w:color w:val="000000"/>
          <w:lang w:val="en-GB" w:eastAsia="nl-NL"/>
        </w:rPr>
        <w:t xml:space="preserve"> for 1 year. The </w:t>
      </w:r>
      <w:r w:rsidRPr="00B3061D">
        <w:rPr>
          <w:rFonts w:eastAsia="Times New Roman" w:cs="Tahoma"/>
          <w:color w:val="000000"/>
          <w:lang w:val="en-GB" w:eastAsia="nl-NL"/>
        </w:rPr>
        <w:t>main crop</w:t>
      </w:r>
      <w:r w:rsidR="00551359">
        <w:rPr>
          <w:rFonts w:eastAsia="Times New Roman" w:cs="Tahoma"/>
          <w:color w:val="000000"/>
          <w:lang w:val="en-GB" w:eastAsia="nl-NL"/>
        </w:rPr>
        <w:t xml:space="preserve"> is</w:t>
      </w:r>
      <w:r w:rsidRPr="00B3061D">
        <w:rPr>
          <w:rFonts w:eastAsia="Times New Roman" w:cs="Tahoma"/>
          <w:color w:val="000000"/>
          <w:lang w:val="en-GB" w:eastAsia="nl-NL"/>
        </w:rPr>
        <w:t xml:space="preserve"> rice but many other plants are grown in the field</w:t>
      </w:r>
      <w:r w:rsidR="00551359">
        <w:rPr>
          <w:rFonts w:eastAsia="Times New Roman" w:cs="Tahoma"/>
          <w:color w:val="000000"/>
          <w:lang w:val="en-GB" w:eastAsia="nl-NL"/>
        </w:rPr>
        <w:t>s as well</w:t>
      </w:r>
      <w:r w:rsidRPr="00B3061D">
        <w:rPr>
          <w:rFonts w:eastAsia="Times New Roman" w:cs="Tahoma"/>
          <w:color w:val="000000"/>
          <w:lang w:val="en-GB" w:eastAsia="nl-NL"/>
        </w:rPr>
        <w:t>.</w:t>
      </w:r>
      <w:r w:rsidR="00551359">
        <w:rPr>
          <w:rFonts w:eastAsia="Times New Roman" w:cs="Tahoma"/>
          <w:color w:val="000000"/>
          <w:lang w:val="en-GB" w:eastAsia="nl-NL"/>
        </w:rPr>
        <w:t xml:space="preserve"> The a</w:t>
      </w:r>
      <w:r w:rsidRPr="00B3061D">
        <w:rPr>
          <w:rFonts w:eastAsia="Times New Roman" w:cs="Tahoma"/>
          <w:color w:val="000000"/>
          <w:lang w:val="en-GB" w:eastAsia="nl-NL"/>
        </w:rPr>
        <w:t xml:space="preserve">reas </w:t>
      </w:r>
      <w:r w:rsidR="00522055" w:rsidRPr="00B3061D">
        <w:rPr>
          <w:rFonts w:eastAsia="Times New Roman" w:cs="Tahoma"/>
          <w:color w:val="000000"/>
          <w:lang w:val="en-GB" w:eastAsia="nl-NL"/>
        </w:rPr>
        <w:t xml:space="preserve">are </w:t>
      </w:r>
      <w:r w:rsidRPr="00B3061D">
        <w:rPr>
          <w:rFonts w:eastAsia="Times New Roman" w:cs="Tahoma"/>
          <w:color w:val="000000"/>
          <w:lang w:val="en-GB" w:eastAsia="nl-NL"/>
        </w:rPr>
        <w:t>decided on in community meeting</w:t>
      </w:r>
      <w:r w:rsidR="00551359">
        <w:rPr>
          <w:rFonts w:eastAsia="Times New Roman" w:cs="Tahoma"/>
          <w:color w:val="000000"/>
          <w:lang w:val="en-GB" w:eastAsia="nl-NL"/>
        </w:rPr>
        <w:t>s</w:t>
      </w:r>
      <w:r w:rsidRPr="00B3061D">
        <w:rPr>
          <w:rFonts w:eastAsia="Times New Roman" w:cs="Tahoma"/>
          <w:color w:val="000000"/>
          <w:lang w:val="en-GB" w:eastAsia="nl-NL"/>
        </w:rPr>
        <w:t xml:space="preserve">. Land </w:t>
      </w:r>
      <w:r w:rsidR="00551359">
        <w:rPr>
          <w:rFonts w:eastAsia="Times New Roman" w:cs="Tahoma"/>
          <w:color w:val="000000"/>
          <w:lang w:val="en-GB" w:eastAsia="nl-NL"/>
        </w:rPr>
        <w:t>is cleared and dried for two</w:t>
      </w:r>
      <w:r w:rsidRPr="00B3061D">
        <w:rPr>
          <w:rFonts w:eastAsia="Times New Roman" w:cs="Tahoma"/>
          <w:color w:val="000000"/>
          <w:lang w:val="en-GB" w:eastAsia="nl-NL"/>
        </w:rPr>
        <w:t xml:space="preserve"> m</w:t>
      </w:r>
      <w:r w:rsidR="00522055" w:rsidRPr="00B3061D">
        <w:rPr>
          <w:rFonts w:eastAsia="Times New Roman" w:cs="Tahoma"/>
          <w:color w:val="000000"/>
          <w:lang w:val="en-GB" w:eastAsia="nl-NL"/>
        </w:rPr>
        <w:t>o</w:t>
      </w:r>
      <w:r w:rsidRPr="00B3061D">
        <w:rPr>
          <w:rFonts w:eastAsia="Times New Roman" w:cs="Tahoma"/>
          <w:color w:val="000000"/>
          <w:lang w:val="en-GB" w:eastAsia="nl-NL"/>
        </w:rPr>
        <w:t xml:space="preserve">nths, then burned, but first </w:t>
      </w:r>
      <w:proofErr w:type="gramStart"/>
      <w:r w:rsidRPr="00B3061D">
        <w:rPr>
          <w:rFonts w:eastAsia="Times New Roman" w:cs="Tahoma"/>
          <w:color w:val="000000"/>
          <w:lang w:val="en-GB" w:eastAsia="nl-NL"/>
        </w:rPr>
        <w:t>fire break</w:t>
      </w:r>
      <w:proofErr w:type="gramEnd"/>
      <w:r w:rsidRPr="00B3061D">
        <w:rPr>
          <w:rFonts w:eastAsia="Times New Roman" w:cs="Tahoma"/>
          <w:color w:val="000000"/>
          <w:lang w:val="en-GB" w:eastAsia="nl-NL"/>
        </w:rPr>
        <w:t xml:space="preserve"> lines </w:t>
      </w:r>
      <w:r w:rsidR="00551359">
        <w:rPr>
          <w:rFonts w:eastAsia="Times New Roman" w:cs="Tahoma"/>
          <w:color w:val="000000"/>
          <w:lang w:val="en-GB" w:eastAsia="nl-NL"/>
        </w:rPr>
        <w:t xml:space="preserve">are made </w:t>
      </w:r>
      <w:r w:rsidRPr="00B3061D">
        <w:rPr>
          <w:rFonts w:eastAsia="Times New Roman" w:cs="Tahoma"/>
          <w:color w:val="000000"/>
          <w:lang w:val="en-GB" w:eastAsia="nl-NL"/>
        </w:rPr>
        <w:t xml:space="preserve">near the fire protection forests to prevent spreading. When cutting the trees, </w:t>
      </w:r>
      <w:r w:rsidR="00551359">
        <w:rPr>
          <w:rFonts w:eastAsia="Times New Roman" w:cs="Tahoma"/>
          <w:color w:val="000000"/>
          <w:lang w:val="en-GB" w:eastAsia="nl-NL"/>
        </w:rPr>
        <w:t>the community members</w:t>
      </w:r>
      <w:r w:rsidRPr="00B3061D">
        <w:rPr>
          <w:rFonts w:eastAsia="Times New Roman" w:cs="Tahoma"/>
          <w:color w:val="000000"/>
          <w:lang w:val="en-GB" w:eastAsia="nl-NL"/>
        </w:rPr>
        <w:t xml:space="preserve"> leave the stumps (60-100 cm) and after harvesting, trees will sprout from these stumps again. </w:t>
      </w:r>
      <w:r w:rsidR="00551359">
        <w:rPr>
          <w:rFonts w:eastAsia="Times New Roman" w:cs="Tahoma"/>
          <w:color w:val="000000"/>
          <w:lang w:val="en-GB" w:eastAsia="nl-NL"/>
        </w:rPr>
        <w:t>This a</w:t>
      </w:r>
      <w:r w:rsidRPr="00B3061D">
        <w:rPr>
          <w:rFonts w:eastAsia="Times New Roman" w:cs="Tahoma"/>
          <w:color w:val="000000"/>
          <w:lang w:val="en-GB" w:eastAsia="nl-NL"/>
        </w:rPr>
        <w:t>llows forest to regenerate quickly</w:t>
      </w:r>
      <w:r w:rsidR="00A154FB" w:rsidRPr="00B3061D">
        <w:rPr>
          <w:rFonts w:eastAsia="Times New Roman" w:cs="Tahoma"/>
          <w:color w:val="000000"/>
          <w:lang w:val="en-GB" w:eastAsia="nl-NL"/>
        </w:rPr>
        <w:t>. Land is left fallow at least nine</w:t>
      </w:r>
      <w:r w:rsidRPr="00B3061D">
        <w:rPr>
          <w:rFonts w:eastAsia="Times New Roman" w:cs="Tahoma"/>
          <w:color w:val="000000"/>
          <w:lang w:val="en-GB" w:eastAsia="nl-NL"/>
        </w:rPr>
        <w:t xml:space="preserve"> years. </w:t>
      </w:r>
      <w:r w:rsidR="00551359">
        <w:rPr>
          <w:rFonts w:eastAsia="Times New Roman" w:cs="Tahoma"/>
          <w:color w:val="000000"/>
          <w:lang w:val="en-GB" w:eastAsia="nl-NL"/>
        </w:rPr>
        <w:t>A l</w:t>
      </w:r>
      <w:r w:rsidRPr="00B3061D">
        <w:rPr>
          <w:rFonts w:eastAsia="Times New Roman" w:cs="Tahoma"/>
          <w:color w:val="000000"/>
          <w:lang w:val="en-GB" w:eastAsia="nl-NL"/>
        </w:rPr>
        <w:t>ocal leader</w:t>
      </w:r>
      <w:r w:rsidR="00551359">
        <w:rPr>
          <w:rFonts w:eastAsia="Times New Roman" w:cs="Tahoma"/>
          <w:color w:val="000000"/>
          <w:lang w:val="en-GB" w:eastAsia="nl-NL"/>
        </w:rPr>
        <w:t xml:space="preserve"> explains:</w:t>
      </w:r>
      <w:r w:rsidRPr="00B3061D">
        <w:rPr>
          <w:rFonts w:eastAsia="Times New Roman" w:cs="Tahoma"/>
          <w:color w:val="000000"/>
          <w:lang w:val="en-GB" w:eastAsia="nl-NL"/>
        </w:rPr>
        <w:t xml:space="preserve"> ”if you farm like this, the soil will remain healt</w:t>
      </w:r>
      <w:r w:rsidR="00A154FB" w:rsidRPr="00B3061D">
        <w:rPr>
          <w:rFonts w:eastAsia="Times New Roman" w:cs="Tahoma"/>
          <w:color w:val="000000"/>
          <w:lang w:val="en-GB" w:eastAsia="nl-NL"/>
        </w:rPr>
        <w:t>h</w:t>
      </w:r>
      <w:r w:rsidRPr="00B3061D">
        <w:rPr>
          <w:rFonts w:eastAsia="Times New Roman" w:cs="Tahoma"/>
          <w:color w:val="000000"/>
          <w:lang w:val="en-GB" w:eastAsia="nl-NL"/>
        </w:rPr>
        <w:t xml:space="preserve">y, </w:t>
      </w:r>
      <w:r w:rsidR="00A91F1C">
        <w:rPr>
          <w:rFonts w:eastAsia="Times New Roman" w:cs="Tahoma"/>
          <w:color w:val="000000"/>
          <w:lang w:val="en-GB" w:eastAsia="nl-NL"/>
        </w:rPr>
        <w:t xml:space="preserve">and the </w:t>
      </w:r>
      <w:r w:rsidRPr="00B3061D">
        <w:rPr>
          <w:rFonts w:eastAsia="Times New Roman" w:cs="Tahoma"/>
          <w:color w:val="000000"/>
          <w:lang w:val="en-GB" w:eastAsia="nl-NL"/>
        </w:rPr>
        <w:t>rice is good”</w:t>
      </w:r>
      <w:r w:rsidR="00F26FAB">
        <w:rPr>
          <w:rFonts w:eastAsia="Times New Roman" w:cs="Tahoma"/>
          <w:color w:val="000000"/>
          <w:lang w:val="en-GB" w:eastAsia="nl-NL"/>
        </w:rPr>
        <w:t>.</w:t>
      </w:r>
      <w:r w:rsidRPr="00B3061D">
        <w:rPr>
          <w:rFonts w:eastAsia="Times New Roman" w:cs="Tahoma"/>
          <w:color w:val="000000"/>
          <w:lang w:val="en-GB" w:eastAsia="nl-NL"/>
        </w:rPr>
        <w:t xml:space="preserve"> </w:t>
      </w:r>
      <w:r w:rsidR="00F26FAB">
        <w:rPr>
          <w:rStyle w:val="FootnoteReference"/>
          <w:rFonts w:eastAsia="Times New Roman" w:cs="Tahoma"/>
          <w:color w:val="000000"/>
          <w:lang w:val="en-GB" w:eastAsia="nl-NL"/>
        </w:rPr>
        <w:footnoteReference w:id="17"/>
      </w:r>
    </w:p>
    <w:p w14:paraId="16BA91E5" w14:textId="77777777" w:rsidR="00333AA4" w:rsidRPr="00B3061D" w:rsidRDefault="00333AA4" w:rsidP="00B3061D">
      <w:pPr>
        <w:pStyle w:val="NormalWeb"/>
        <w:spacing w:before="0" w:beforeAutospacing="0" w:after="0" w:afterAutospacing="0"/>
        <w:rPr>
          <w:rFonts w:asciiTheme="minorHAnsi" w:hAnsiTheme="minorHAnsi" w:cs="Arial"/>
          <w:color w:val="auto"/>
          <w:sz w:val="22"/>
          <w:szCs w:val="22"/>
          <w:lang w:val="en-GB"/>
        </w:rPr>
      </w:pPr>
    </w:p>
    <w:p w14:paraId="004FE696" w14:textId="77777777" w:rsidR="00B754D7" w:rsidRPr="00B3061D" w:rsidRDefault="00B754D7" w:rsidP="00B3061D">
      <w:pPr>
        <w:spacing w:after="0" w:line="240" w:lineRule="auto"/>
        <w:rPr>
          <w:rFonts w:cs="Arial"/>
          <w:color w:val="222222"/>
          <w:lang w:val="en-GB"/>
        </w:rPr>
      </w:pPr>
    </w:p>
    <w:p w14:paraId="7F0F67C6" w14:textId="5CE4E267" w:rsidR="00305217" w:rsidRPr="00B3061D" w:rsidRDefault="00ED4FF0" w:rsidP="00626832">
      <w:pPr>
        <w:pStyle w:val="ListParagraph"/>
        <w:numPr>
          <w:ilvl w:val="1"/>
          <w:numId w:val="3"/>
        </w:numPr>
        <w:ind w:left="0"/>
        <w:rPr>
          <w:rFonts w:cs="Arial"/>
          <w:b/>
          <w:color w:val="222222"/>
          <w:sz w:val="22"/>
          <w:szCs w:val="22"/>
          <w:lang w:val="en-GB"/>
        </w:rPr>
      </w:pPr>
      <w:r w:rsidRPr="00B3061D">
        <w:rPr>
          <w:rFonts w:cs="Arial"/>
          <w:b/>
          <w:color w:val="222222"/>
          <w:sz w:val="22"/>
          <w:szCs w:val="22"/>
          <w:lang w:val="en-GB"/>
        </w:rPr>
        <w:t>C</w:t>
      </w:r>
      <w:r w:rsidR="00305217" w:rsidRPr="00B3061D">
        <w:rPr>
          <w:rFonts w:cs="Arial"/>
          <w:b/>
          <w:color w:val="222222"/>
          <w:sz w:val="22"/>
          <w:szCs w:val="22"/>
          <w:lang w:val="en-GB"/>
        </w:rPr>
        <w:t>limate change mitigation and adaptation</w:t>
      </w:r>
    </w:p>
    <w:p w14:paraId="70DD14E3" w14:textId="77777777" w:rsidR="008C64C0" w:rsidRPr="00B3061D" w:rsidRDefault="008C64C0" w:rsidP="00B3061D">
      <w:pPr>
        <w:spacing w:after="0" w:line="240" w:lineRule="auto"/>
        <w:rPr>
          <w:rFonts w:cs="Arial"/>
          <w:i/>
          <w:color w:val="222222"/>
          <w:lang w:val="en-GB"/>
        </w:rPr>
      </w:pPr>
    </w:p>
    <w:p w14:paraId="29541F07" w14:textId="62C26A98" w:rsidR="009D341A" w:rsidRPr="00B3061D" w:rsidRDefault="00F112A4" w:rsidP="00B3061D">
      <w:pPr>
        <w:spacing w:after="0" w:line="240" w:lineRule="auto"/>
        <w:rPr>
          <w:rFonts w:cs="Arial"/>
          <w:color w:val="222222"/>
          <w:lang w:val="en-GB"/>
        </w:rPr>
      </w:pPr>
      <w:r w:rsidRPr="00B3061D">
        <w:rPr>
          <w:rFonts w:cs="Arial"/>
          <w:color w:val="222222"/>
          <w:lang w:val="en-GB"/>
        </w:rPr>
        <w:t>Target 18 (through c</w:t>
      </w:r>
      <w:r w:rsidR="00C85128" w:rsidRPr="00B3061D">
        <w:rPr>
          <w:rFonts w:cs="Arial"/>
          <w:color w:val="222222"/>
          <w:lang w:val="en-GB"/>
        </w:rPr>
        <w:t>ustomary practices and TK</w:t>
      </w:r>
      <w:r w:rsidRPr="00B3061D">
        <w:rPr>
          <w:rFonts w:cs="Arial"/>
          <w:color w:val="222222"/>
          <w:lang w:val="en-GB"/>
        </w:rPr>
        <w:t>)</w:t>
      </w:r>
      <w:r w:rsidR="00C85128" w:rsidRPr="00B3061D">
        <w:rPr>
          <w:rFonts w:cs="Arial"/>
          <w:color w:val="222222"/>
          <w:lang w:val="en-GB"/>
        </w:rPr>
        <w:t xml:space="preserve"> can contribute to climate mitigation (carbon sequestration) and </w:t>
      </w:r>
      <w:r w:rsidR="003B5099" w:rsidRPr="00B3061D">
        <w:rPr>
          <w:rFonts w:cs="Arial"/>
          <w:color w:val="222222"/>
          <w:lang w:val="en-GB"/>
        </w:rPr>
        <w:t>contain lessons for adaptation. This is widely acknowledged and documented by climate experts and researchers</w:t>
      </w:r>
      <w:r w:rsidR="009D341A" w:rsidRPr="00B3061D">
        <w:rPr>
          <w:rFonts w:cs="Arial"/>
          <w:color w:val="222222"/>
          <w:lang w:val="en-GB"/>
        </w:rPr>
        <w:t xml:space="preserve">. </w:t>
      </w:r>
    </w:p>
    <w:p w14:paraId="4891AA94" w14:textId="24FCF82F" w:rsidR="009D341A" w:rsidRPr="00B3061D" w:rsidRDefault="003B5099" w:rsidP="00B3061D">
      <w:pPr>
        <w:spacing w:after="0" w:line="240" w:lineRule="auto"/>
        <w:rPr>
          <w:rFonts w:eastAsia="Times New Roman" w:cs="Tahoma"/>
          <w:color w:val="000000"/>
          <w:lang w:val="en-GB" w:eastAsia="nl-NL"/>
        </w:rPr>
      </w:pPr>
      <w:r w:rsidRPr="00B3061D">
        <w:rPr>
          <w:rFonts w:cs="Arial"/>
          <w:color w:val="222222"/>
          <w:lang w:val="en-GB"/>
        </w:rPr>
        <w:t xml:space="preserve"> </w:t>
      </w:r>
    </w:p>
    <w:p w14:paraId="5EDB6433" w14:textId="03AF26B1"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r>
        <w:rPr>
          <w:rFonts w:eastAsia="Times New Roman" w:cs="Tahoma"/>
          <w:color w:val="000000"/>
          <w:lang w:val="en-GB" w:eastAsia="nl-NL"/>
        </w:rPr>
        <w:t xml:space="preserve">Box: </w:t>
      </w:r>
      <w:proofErr w:type="spellStart"/>
      <w:r>
        <w:rPr>
          <w:lang w:val="en-US"/>
        </w:rPr>
        <w:t>Gleb</w:t>
      </w:r>
      <w:proofErr w:type="spellEnd"/>
      <w:r>
        <w:rPr>
          <w:lang w:val="en-US"/>
        </w:rPr>
        <w:t xml:space="preserve"> </w:t>
      </w:r>
      <w:proofErr w:type="spellStart"/>
      <w:r>
        <w:rPr>
          <w:lang w:val="en-US"/>
        </w:rPr>
        <w:t>Raygorodetsky</w:t>
      </w:r>
      <w:proofErr w:type="spellEnd"/>
      <w:r>
        <w:rPr>
          <w:lang w:val="en-US"/>
        </w:rPr>
        <w:t xml:space="preserve">, </w:t>
      </w:r>
      <w:r w:rsidRPr="00B3061D">
        <w:rPr>
          <w:rFonts w:eastAsia="Times New Roman" w:cs="Tahoma"/>
          <w:color w:val="000000"/>
          <w:lang w:val="en-GB" w:eastAsia="nl-NL"/>
        </w:rPr>
        <w:t>“</w:t>
      </w:r>
      <w:r w:rsidRPr="00B3061D">
        <w:rPr>
          <w:lang w:val="en-US"/>
        </w:rPr>
        <w:t>Why Traditional Knowledge Holds the Key to Climate Change”</w:t>
      </w:r>
    </w:p>
    <w:p w14:paraId="76FCBB5C" w14:textId="77777777"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p>
    <w:p w14:paraId="3B644A60" w14:textId="190047E0"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r>
        <w:rPr>
          <w:rFonts w:eastAsia="Times New Roman" w:cs="Tahoma"/>
          <w:color w:val="000000"/>
          <w:lang w:val="en-GB" w:eastAsia="nl-NL"/>
        </w:rPr>
        <w:t>A r</w:t>
      </w:r>
      <w:r w:rsidRPr="00B3061D">
        <w:rPr>
          <w:rFonts w:eastAsia="Times New Roman" w:cs="Tahoma"/>
          <w:color w:val="000000"/>
          <w:lang w:val="en-GB" w:eastAsia="nl-NL"/>
        </w:rPr>
        <w:t>ecent UNU publication</w:t>
      </w:r>
      <w:r>
        <w:rPr>
          <w:lang w:val="en-US"/>
        </w:rPr>
        <w:t xml:space="preserve"> by </w:t>
      </w:r>
      <w:proofErr w:type="spellStart"/>
      <w:r>
        <w:rPr>
          <w:lang w:val="en-US"/>
        </w:rPr>
        <w:t>Gleb</w:t>
      </w:r>
      <w:proofErr w:type="spellEnd"/>
      <w:r>
        <w:rPr>
          <w:lang w:val="en-US"/>
        </w:rPr>
        <w:t xml:space="preserve"> </w:t>
      </w:r>
      <w:proofErr w:type="spellStart"/>
      <w:r>
        <w:rPr>
          <w:lang w:val="en-US"/>
        </w:rPr>
        <w:t>Raygorodetsky</w:t>
      </w:r>
      <w:proofErr w:type="spellEnd"/>
      <w:r>
        <w:rPr>
          <w:lang w:val="en-US"/>
        </w:rPr>
        <w:t xml:space="preserve"> (adjunct Research Fellow with the Traditional Knowledge Initiative of the UNU Institute of Advanced Studies and a Research Affiliate with the POLIS </w:t>
      </w:r>
      <w:r>
        <w:rPr>
          <w:lang w:val="en-US"/>
        </w:rPr>
        <w:lastRenderedPageBreak/>
        <w:t xml:space="preserve">Project on Ecological Governance at the Centre for Global Studies, University of Victoria) focused on the role of TK in climate change issues: </w:t>
      </w:r>
    </w:p>
    <w:p w14:paraId="3AD21000" w14:textId="77777777"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p>
    <w:p w14:paraId="3FC84C4F" w14:textId="55F7EB8B"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With collective knowledge of the land, sky and sea, indigenous peoples are excellent observers and interpreters of change in the environment. The ensuing community-based and collectively-held knowledge offers valuable insights, complementing scientific data with chronological and landscape-specific precision and detail that is critical for verifying climate models and evaluating climate change scenarios developed by scientists at much broader spatial and temporal scale. Moreover, indigenous knowledge provides a crucial foundation for community-based adaptation and mitigation actions that sustain resilience of social-ecological systems at the interconnected local, regional and global scales.</w:t>
      </w:r>
      <w:r>
        <w:rPr>
          <w:rStyle w:val="FootnoteReference"/>
          <w:lang w:val="en-US"/>
        </w:rPr>
        <w:footnoteReference w:id="18"/>
      </w:r>
    </w:p>
    <w:p w14:paraId="5EA06351" w14:textId="77777777" w:rsidR="005F1130" w:rsidRDefault="005F1130" w:rsidP="005F1130">
      <w:pPr>
        <w:pBdr>
          <w:top w:val="single" w:sz="4" w:space="1" w:color="auto"/>
          <w:left w:val="single" w:sz="4" w:space="4" w:color="auto"/>
          <w:bottom w:val="single" w:sz="4" w:space="1" w:color="auto"/>
          <w:right w:val="single" w:sz="4" w:space="4" w:color="auto"/>
        </w:pBdr>
        <w:spacing w:after="0" w:line="240" w:lineRule="auto"/>
        <w:rPr>
          <w:lang w:val="en-US"/>
        </w:rPr>
      </w:pPr>
    </w:p>
    <w:p w14:paraId="4A0F15E8" w14:textId="77777777" w:rsidR="005F1130" w:rsidRDefault="005F1130" w:rsidP="00B3061D">
      <w:pPr>
        <w:spacing w:after="0" w:line="240" w:lineRule="auto"/>
        <w:rPr>
          <w:lang w:val="en-US"/>
        </w:rPr>
      </w:pPr>
    </w:p>
    <w:p w14:paraId="22A687EF" w14:textId="77777777" w:rsidR="009D341A" w:rsidRPr="005F1130" w:rsidRDefault="009D341A" w:rsidP="00B3061D">
      <w:pPr>
        <w:spacing w:after="0" w:line="240" w:lineRule="auto"/>
        <w:rPr>
          <w:rFonts w:cs="Arial"/>
          <w:color w:val="222222"/>
          <w:lang w:val="en-US"/>
        </w:rPr>
      </w:pPr>
    </w:p>
    <w:p w14:paraId="2F8419FC" w14:textId="6A96FF11" w:rsidR="00C85128" w:rsidRPr="00B3061D" w:rsidRDefault="004E4142" w:rsidP="00B3061D">
      <w:pPr>
        <w:spacing w:after="0" w:line="240" w:lineRule="auto"/>
        <w:rPr>
          <w:rFonts w:cs="Arial"/>
          <w:color w:val="222222"/>
          <w:lang w:val="en-GB"/>
        </w:rPr>
      </w:pPr>
      <w:r w:rsidRPr="00B3061D">
        <w:rPr>
          <w:rFonts w:cs="Arial"/>
          <w:color w:val="222222"/>
          <w:lang w:val="en-GB"/>
        </w:rPr>
        <w:t xml:space="preserve">In </w:t>
      </w:r>
      <w:r w:rsidR="00C85128" w:rsidRPr="00B3061D">
        <w:rPr>
          <w:rFonts w:cs="Arial"/>
          <w:color w:val="222222"/>
          <w:lang w:val="en-GB"/>
        </w:rPr>
        <w:t xml:space="preserve">particular </w:t>
      </w:r>
      <w:r w:rsidR="00F112A4" w:rsidRPr="00B3061D">
        <w:rPr>
          <w:rFonts w:cs="Arial"/>
          <w:color w:val="222222"/>
          <w:lang w:val="en-GB"/>
        </w:rPr>
        <w:t>there are strong linkages</w:t>
      </w:r>
      <w:r w:rsidRPr="00B3061D">
        <w:rPr>
          <w:rFonts w:cs="Arial"/>
          <w:color w:val="222222"/>
          <w:lang w:val="en-GB"/>
        </w:rPr>
        <w:t xml:space="preserve"> to</w:t>
      </w:r>
      <w:r w:rsidR="00C85128" w:rsidRPr="00B3061D">
        <w:rPr>
          <w:rFonts w:cs="Arial"/>
          <w:color w:val="222222"/>
          <w:lang w:val="en-GB"/>
        </w:rPr>
        <w:t>:</w:t>
      </w:r>
    </w:p>
    <w:p w14:paraId="2A1E1B79" w14:textId="54A5B126" w:rsidR="00F15357" w:rsidRPr="00B3061D" w:rsidRDefault="00F15357" w:rsidP="00626832">
      <w:pPr>
        <w:pStyle w:val="ListParagraph"/>
        <w:numPr>
          <w:ilvl w:val="0"/>
          <w:numId w:val="5"/>
        </w:numPr>
        <w:ind w:left="0"/>
        <w:rPr>
          <w:rFonts w:cs="Arial"/>
          <w:color w:val="222222"/>
          <w:sz w:val="22"/>
          <w:szCs w:val="22"/>
          <w:lang w:val="en-GB"/>
        </w:rPr>
      </w:pPr>
      <w:r w:rsidRPr="00B3061D">
        <w:rPr>
          <w:rFonts w:cs="Arial"/>
          <w:color w:val="222222"/>
          <w:sz w:val="22"/>
          <w:szCs w:val="22"/>
          <w:lang w:val="en-GB"/>
        </w:rPr>
        <w:t>Target 10 (minimize pressures on vulnerable ecosystems)</w:t>
      </w:r>
      <w:r w:rsidR="004E4142" w:rsidRPr="00B3061D">
        <w:rPr>
          <w:rFonts w:cs="Arial"/>
          <w:color w:val="222222"/>
          <w:sz w:val="22"/>
          <w:szCs w:val="22"/>
          <w:lang w:val="en-GB"/>
        </w:rPr>
        <w:t xml:space="preserve">: Indigenous peoples living in vulnerable ecosystems and impacted by climate change are extremely innovative in developing sustainable adaptation strategies (see case below) and/or prevention of degradation of such systems </w:t>
      </w:r>
      <w:proofErr w:type="gramStart"/>
      <w:r w:rsidR="004E4142" w:rsidRPr="00B3061D">
        <w:rPr>
          <w:rFonts w:cs="Arial"/>
          <w:color w:val="222222"/>
          <w:sz w:val="22"/>
          <w:szCs w:val="22"/>
          <w:lang w:val="en-GB"/>
        </w:rPr>
        <w:t>through  strict</w:t>
      </w:r>
      <w:proofErr w:type="gramEnd"/>
      <w:r w:rsidR="004E4142" w:rsidRPr="00B3061D">
        <w:rPr>
          <w:rFonts w:cs="Arial"/>
          <w:color w:val="222222"/>
          <w:sz w:val="22"/>
          <w:szCs w:val="22"/>
          <w:lang w:val="en-GB"/>
        </w:rPr>
        <w:t xml:space="preserve"> customary laws. </w:t>
      </w:r>
      <w:r w:rsidR="00BA3AAA" w:rsidRPr="00B3061D">
        <w:rPr>
          <w:rFonts w:cs="Arial"/>
          <w:color w:val="222222"/>
          <w:sz w:val="22"/>
          <w:szCs w:val="22"/>
          <w:lang w:val="en-GB"/>
        </w:rPr>
        <w:t xml:space="preserve">Their knowledge can help to address climate change impacts in such areas and restore them. </w:t>
      </w:r>
    </w:p>
    <w:p w14:paraId="3E6056CA" w14:textId="77777777" w:rsidR="005122D2" w:rsidRDefault="00F15357" w:rsidP="00626832">
      <w:pPr>
        <w:pStyle w:val="ListParagraph"/>
        <w:numPr>
          <w:ilvl w:val="0"/>
          <w:numId w:val="5"/>
        </w:numPr>
        <w:ind w:left="0"/>
        <w:rPr>
          <w:rFonts w:cs="Arial"/>
          <w:color w:val="222222"/>
          <w:sz w:val="22"/>
          <w:szCs w:val="22"/>
          <w:lang w:val="en-GB"/>
        </w:rPr>
      </w:pPr>
      <w:r w:rsidRPr="00B3061D">
        <w:rPr>
          <w:rFonts w:cs="Arial"/>
          <w:color w:val="222222"/>
          <w:sz w:val="22"/>
          <w:szCs w:val="22"/>
          <w:lang w:val="en-GB"/>
        </w:rPr>
        <w:t>Target 15 (enhance contribution of biodiversity to carbon stocks)</w:t>
      </w:r>
      <w:r w:rsidR="004E4142" w:rsidRPr="00B3061D">
        <w:rPr>
          <w:rFonts w:cs="Arial"/>
          <w:color w:val="222222"/>
          <w:sz w:val="22"/>
          <w:szCs w:val="22"/>
          <w:lang w:val="en-GB"/>
        </w:rPr>
        <w:t xml:space="preserve">. </w:t>
      </w:r>
      <w:r w:rsidR="00BA3AAA" w:rsidRPr="00B3061D">
        <w:rPr>
          <w:rFonts w:cs="Arial"/>
          <w:color w:val="222222"/>
          <w:sz w:val="22"/>
          <w:szCs w:val="22"/>
          <w:lang w:val="en-GB"/>
        </w:rPr>
        <w:t xml:space="preserve">Following up on the evidence that IP areas – in particular forests - are well conserved, they play a key role in climate change mitigation and adaptation. </w:t>
      </w:r>
    </w:p>
    <w:p w14:paraId="23F9AE14" w14:textId="77777777" w:rsidR="005122D2" w:rsidRDefault="005122D2" w:rsidP="005122D2">
      <w:pPr>
        <w:pStyle w:val="ListParagraph"/>
        <w:ind w:left="0"/>
        <w:rPr>
          <w:rFonts w:cs="Arial"/>
          <w:color w:val="222222"/>
          <w:sz w:val="22"/>
          <w:szCs w:val="22"/>
          <w:lang w:val="en-GB"/>
        </w:rPr>
      </w:pPr>
    </w:p>
    <w:p w14:paraId="3C97EDFD" w14:textId="2F6BC9AB" w:rsidR="005122D2" w:rsidRDefault="005122D2" w:rsidP="005122D2">
      <w:pPr>
        <w:pStyle w:val="ListParagraph"/>
        <w:pBdr>
          <w:top w:val="single" w:sz="4" w:space="1" w:color="auto"/>
          <w:left w:val="single" w:sz="4" w:space="4" w:color="auto"/>
          <w:bottom w:val="single" w:sz="4" w:space="1" w:color="auto"/>
          <w:right w:val="single" w:sz="4" w:space="4" w:color="auto"/>
        </w:pBdr>
        <w:ind w:left="0"/>
        <w:rPr>
          <w:rFonts w:eastAsia="Times New Roman" w:cs="Tahoma"/>
          <w:color w:val="000000"/>
          <w:sz w:val="22"/>
          <w:szCs w:val="22"/>
          <w:lang w:val="en-GB" w:eastAsia="nl-NL"/>
        </w:rPr>
      </w:pPr>
      <w:r>
        <w:rPr>
          <w:rFonts w:eastAsia="Times New Roman" w:cs="Tahoma"/>
          <w:color w:val="000000"/>
          <w:sz w:val="22"/>
          <w:szCs w:val="22"/>
          <w:lang w:val="en-GB" w:eastAsia="nl-NL"/>
        </w:rPr>
        <w:t xml:space="preserve">Box: interview </w:t>
      </w:r>
      <w:r w:rsidRPr="00B3061D">
        <w:rPr>
          <w:rFonts w:eastAsia="Times New Roman" w:cs="Tahoma"/>
          <w:color w:val="000000"/>
          <w:sz w:val="22"/>
          <w:szCs w:val="22"/>
          <w:lang w:val="en-GB" w:eastAsia="nl-NL"/>
        </w:rPr>
        <w:t>Regan Suzuki of RECOFTC</w:t>
      </w:r>
    </w:p>
    <w:p w14:paraId="25E422ED" w14:textId="7C6E976A" w:rsidR="00A7220A" w:rsidRPr="00B3061D" w:rsidRDefault="005122D2" w:rsidP="005122D2">
      <w:pPr>
        <w:pStyle w:val="ListParagraph"/>
        <w:pBdr>
          <w:top w:val="single" w:sz="4" w:space="1" w:color="auto"/>
          <w:left w:val="single" w:sz="4" w:space="4" w:color="auto"/>
          <w:bottom w:val="single" w:sz="4" w:space="1" w:color="auto"/>
          <w:right w:val="single" w:sz="4" w:space="4" w:color="auto"/>
        </w:pBdr>
        <w:ind w:left="0"/>
        <w:rPr>
          <w:rFonts w:cs="Arial"/>
          <w:color w:val="222222"/>
          <w:sz w:val="22"/>
          <w:szCs w:val="22"/>
          <w:lang w:val="en-GB"/>
        </w:rPr>
      </w:pPr>
      <w:r>
        <w:rPr>
          <w:rFonts w:eastAsia="Times New Roman" w:cs="Tahoma"/>
          <w:color w:val="000000"/>
          <w:sz w:val="22"/>
          <w:szCs w:val="22"/>
          <w:lang w:val="en-GB" w:eastAsia="nl-NL"/>
        </w:rPr>
        <w:t>In t</w:t>
      </w:r>
      <w:r w:rsidRPr="005122D2">
        <w:rPr>
          <w:rFonts w:eastAsia="Times New Roman" w:cs="Tahoma"/>
          <w:color w:val="000000"/>
          <w:sz w:val="22"/>
          <w:szCs w:val="22"/>
          <w:lang w:val="en-GB" w:eastAsia="nl-NL"/>
        </w:rPr>
        <w:t>he video </w:t>
      </w:r>
      <w:r w:rsidRPr="005122D2">
        <w:rPr>
          <w:rFonts w:eastAsia="Times New Roman" w:cs="Tahoma"/>
          <w:bCs/>
          <w:color w:val="000000"/>
          <w:sz w:val="22"/>
          <w:szCs w:val="22"/>
          <w:lang w:val="en-GB" w:eastAsia="nl-NL"/>
        </w:rPr>
        <w:t>“Community Based Forest Management: Local Solutions to Global</w:t>
      </w:r>
      <w:r>
        <w:rPr>
          <w:rFonts w:eastAsia="Times New Roman" w:cs="Tahoma"/>
          <w:bCs/>
          <w:color w:val="000000"/>
          <w:sz w:val="22"/>
          <w:szCs w:val="22"/>
          <w:lang w:val="en-GB" w:eastAsia="nl-NL"/>
        </w:rPr>
        <w:t xml:space="preserve"> Challenges” (</w:t>
      </w:r>
      <w:r w:rsidRPr="005122D2">
        <w:rPr>
          <w:rFonts w:eastAsia="Times New Roman" w:cs="Tahoma"/>
          <w:color w:val="000000"/>
          <w:sz w:val="22"/>
          <w:szCs w:val="22"/>
          <w:lang w:val="en-GB" w:eastAsia="nl-NL"/>
        </w:rPr>
        <w:t>AIPP</w:t>
      </w:r>
      <w:r>
        <w:rPr>
          <w:rFonts w:eastAsia="Times New Roman" w:cs="Tahoma"/>
          <w:color w:val="000000"/>
          <w:sz w:val="22"/>
          <w:szCs w:val="22"/>
          <w:lang w:val="en-GB" w:eastAsia="nl-NL"/>
        </w:rPr>
        <w:t xml:space="preserve"> 2014)</w:t>
      </w:r>
      <w:r w:rsidRPr="005122D2">
        <w:rPr>
          <w:rFonts w:eastAsia="Times New Roman" w:cs="Tahoma"/>
          <w:color w:val="000000"/>
          <w:sz w:val="22"/>
          <w:szCs w:val="22"/>
          <w:lang w:val="en-GB" w:eastAsia="nl-NL"/>
        </w:rPr>
        <w:t>) Regan Suz</w:t>
      </w:r>
      <w:r w:rsidR="00B153E6">
        <w:rPr>
          <w:rFonts w:eastAsia="Times New Roman" w:cs="Tahoma"/>
          <w:color w:val="000000"/>
          <w:sz w:val="22"/>
          <w:szCs w:val="22"/>
          <w:lang w:val="en-GB" w:eastAsia="nl-NL"/>
        </w:rPr>
        <w:t xml:space="preserve">uki of RECOFTC, among others citing reports and research from </w:t>
      </w:r>
      <w:proofErr w:type="gramStart"/>
      <w:r w:rsidR="00B153E6">
        <w:rPr>
          <w:rFonts w:eastAsia="Times New Roman" w:cs="Tahoma"/>
          <w:color w:val="000000"/>
          <w:sz w:val="22"/>
          <w:szCs w:val="22"/>
          <w:lang w:val="en-GB" w:eastAsia="nl-NL"/>
        </w:rPr>
        <w:t>CIFOR :</w:t>
      </w:r>
      <w:proofErr w:type="gramEnd"/>
      <w:r w:rsidR="00B153E6">
        <w:rPr>
          <w:rFonts w:eastAsia="Times New Roman" w:cs="Tahoma"/>
          <w:color w:val="000000"/>
          <w:sz w:val="22"/>
          <w:szCs w:val="22"/>
          <w:lang w:val="en-GB" w:eastAsia="nl-NL"/>
        </w:rPr>
        <w:t xml:space="preserve"> </w:t>
      </w:r>
      <w:r w:rsidR="00A7220A" w:rsidRPr="00B3061D">
        <w:rPr>
          <w:rFonts w:eastAsia="Times New Roman" w:cs="Tahoma"/>
          <w:color w:val="000000"/>
          <w:sz w:val="22"/>
          <w:szCs w:val="22"/>
          <w:lang w:val="en-GB" w:eastAsia="nl-NL"/>
        </w:rPr>
        <w:t xml:space="preserve"> “We know from emerging evidence that community forestry  one of the most effective management regimes for carbon sequestration”.</w:t>
      </w:r>
      <w:r w:rsidR="00A7220A" w:rsidRPr="00B3061D">
        <w:rPr>
          <w:rStyle w:val="FootnoteReference"/>
          <w:rFonts w:eastAsia="Times New Roman" w:cs="Tahoma"/>
          <w:color w:val="000000"/>
          <w:sz w:val="22"/>
          <w:szCs w:val="22"/>
          <w:lang w:val="en-GB" w:eastAsia="nl-NL"/>
        </w:rPr>
        <w:footnoteReference w:id="19"/>
      </w:r>
    </w:p>
    <w:p w14:paraId="0036DDA3" w14:textId="4AA1E5C7" w:rsidR="00F15357" w:rsidRPr="00B3061D" w:rsidRDefault="00F15357" w:rsidP="00B3061D">
      <w:pPr>
        <w:pStyle w:val="ListParagraph"/>
        <w:ind w:left="0"/>
        <w:rPr>
          <w:rFonts w:cs="Arial"/>
          <w:color w:val="222222"/>
          <w:sz w:val="22"/>
          <w:szCs w:val="22"/>
          <w:lang w:val="en-GB"/>
        </w:rPr>
      </w:pPr>
    </w:p>
    <w:p w14:paraId="5B9157D9" w14:textId="318ECE07" w:rsidR="007254DA" w:rsidRPr="00191E66" w:rsidRDefault="00A7220A" w:rsidP="00B3061D">
      <w:pPr>
        <w:spacing w:after="0" w:line="240" w:lineRule="auto"/>
        <w:rPr>
          <w:rFonts w:eastAsia="Times New Roman" w:cs="Tahoma"/>
          <w:color w:val="0070C0"/>
          <w:lang w:val="en-GB" w:eastAsia="nl-NL"/>
        </w:rPr>
      </w:pPr>
      <w:r w:rsidRPr="00191E66">
        <w:rPr>
          <w:rFonts w:cs="Arial"/>
          <w:color w:val="0070C0"/>
          <w:lang w:val="en-GB"/>
        </w:rPr>
        <w:t>Case study:</w:t>
      </w:r>
      <w:r w:rsidRPr="00191E66">
        <w:rPr>
          <w:rFonts w:cs="Arial"/>
          <w:i/>
          <w:color w:val="0070C0"/>
          <w:lang w:val="en-GB"/>
        </w:rPr>
        <w:t xml:space="preserve"> </w:t>
      </w:r>
      <w:r w:rsidR="007254DA" w:rsidRPr="00191E66">
        <w:rPr>
          <w:rFonts w:eastAsia="MS Mincho"/>
          <w:color w:val="0070C0"/>
          <w:lang w:val="en-US" w:eastAsia="ja-JP"/>
        </w:rPr>
        <w:t xml:space="preserve">Monitoring of carbon storage </w:t>
      </w:r>
      <w:r w:rsidR="00191E66" w:rsidRPr="00191E66">
        <w:rPr>
          <w:rFonts w:eastAsia="MS Mincho"/>
          <w:color w:val="0070C0"/>
          <w:lang w:val="en-US" w:eastAsia="ja-JP"/>
        </w:rPr>
        <w:t xml:space="preserve">through rotational farming, Thailand </w:t>
      </w:r>
      <w:r w:rsidR="007254DA" w:rsidRPr="00191E66">
        <w:rPr>
          <w:rFonts w:eastAsia="MS Mincho"/>
          <w:color w:val="0070C0"/>
          <w:lang w:val="en-US" w:eastAsia="ja-JP"/>
        </w:rPr>
        <w:t xml:space="preserve"> </w:t>
      </w:r>
    </w:p>
    <w:p w14:paraId="5ED87846" w14:textId="7FC77FB8" w:rsidR="007254DA" w:rsidRPr="00191E66" w:rsidRDefault="00F302A3" w:rsidP="00B3061D">
      <w:pPr>
        <w:tabs>
          <w:tab w:val="left" w:pos="720"/>
        </w:tabs>
        <w:spacing w:after="0" w:line="240" w:lineRule="auto"/>
        <w:rPr>
          <w:lang w:val="en-GB"/>
        </w:rPr>
      </w:pPr>
      <w:r w:rsidRPr="00191E66">
        <w:rPr>
          <w:rFonts w:cs="Arial"/>
          <w:color w:val="121418"/>
          <w:lang w:val="en-GB"/>
        </w:rPr>
        <w:t>The Indigenous Knowledge and Peoples network (IKAP), a regional network of</w:t>
      </w:r>
      <w:r w:rsidRPr="00191E66">
        <w:rPr>
          <w:rFonts w:cs="Arial"/>
          <w:bCs/>
          <w:color w:val="121418"/>
          <w:lang w:val="en-GB"/>
        </w:rPr>
        <w:t xml:space="preserve"> </w:t>
      </w:r>
      <w:r w:rsidRPr="00191E66">
        <w:rPr>
          <w:rFonts w:cs="Arial"/>
          <w:color w:val="121418"/>
          <w:lang w:val="en-GB"/>
        </w:rPr>
        <w:t xml:space="preserve">Indigenous communities throughout Mainland Montane Southeast Asia </w:t>
      </w:r>
      <w:r w:rsidR="00191E66">
        <w:rPr>
          <w:rFonts w:cs="Arial"/>
          <w:color w:val="121418"/>
          <w:lang w:val="en-GB"/>
        </w:rPr>
        <w:t xml:space="preserve">which has as its primary goal </w:t>
      </w:r>
      <w:r w:rsidRPr="00191E66">
        <w:rPr>
          <w:rFonts w:cs="Arial"/>
          <w:color w:val="121418"/>
          <w:lang w:val="en-GB"/>
        </w:rPr>
        <w:t>to</w:t>
      </w:r>
      <w:r w:rsidRPr="00191E66">
        <w:rPr>
          <w:rStyle w:val="Strong"/>
          <w:rFonts w:cs="Arial"/>
          <w:color w:val="121418"/>
          <w:lang w:val="en-GB"/>
        </w:rPr>
        <w:t xml:space="preserve"> </w:t>
      </w:r>
      <w:r w:rsidRPr="00191E66">
        <w:rPr>
          <w:rStyle w:val="Strong"/>
          <w:rFonts w:cs="Arial"/>
          <w:b w:val="0"/>
          <w:color w:val="121418"/>
          <w:lang w:val="en-GB"/>
        </w:rPr>
        <w:t>protect</w:t>
      </w:r>
      <w:r w:rsidRPr="00191E66">
        <w:rPr>
          <w:rFonts w:cs="Arial"/>
          <w:b/>
          <w:color w:val="121418"/>
          <w:lang w:val="en-GB"/>
        </w:rPr>
        <w:t>,</w:t>
      </w:r>
      <w:r w:rsidRPr="00191E66">
        <w:rPr>
          <w:rFonts w:cs="Arial"/>
          <w:color w:val="121418"/>
          <w:lang w:val="en-GB"/>
        </w:rPr>
        <w:t xml:space="preserve"> </w:t>
      </w:r>
      <w:r w:rsidRPr="00191E66">
        <w:rPr>
          <w:rStyle w:val="Strong"/>
          <w:rFonts w:cs="Arial"/>
          <w:b w:val="0"/>
          <w:color w:val="121418"/>
          <w:lang w:val="en-GB"/>
        </w:rPr>
        <w:t>promote</w:t>
      </w:r>
      <w:r w:rsidRPr="00191E66">
        <w:rPr>
          <w:rFonts w:cs="Arial"/>
          <w:b/>
          <w:color w:val="121418"/>
          <w:lang w:val="en-GB"/>
        </w:rPr>
        <w:t xml:space="preserve"> </w:t>
      </w:r>
      <w:r w:rsidRPr="00191E66">
        <w:rPr>
          <w:rFonts w:cs="Arial"/>
          <w:color w:val="121418"/>
          <w:lang w:val="en-GB"/>
        </w:rPr>
        <w:t xml:space="preserve">and </w:t>
      </w:r>
      <w:r w:rsidRPr="00191E66">
        <w:rPr>
          <w:rStyle w:val="Strong"/>
          <w:rFonts w:cs="Arial"/>
          <w:b w:val="0"/>
          <w:color w:val="121418"/>
          <w:lang w:val="en-GB"/>
        </w:rPr>
        <w:t>enhance</w:t>
      </w:r>
      <w:r w:rsidRPr="00191E66">
        <w:rPr>
          <w:rFonts w:cs="Arial"/>
          <w:color w:val="121418"/>
          <w:lang w:val="en-GB"/>
        </w:rPr>
        <w:t xml:space="preserve"> the practice of Indigenous knowledge, </w:t>
      </w:r>
      <w:r w:rsidR="007254DA" w:rsidRPr="00191E66">
        <w:rPr>
          <w:color w:val="000000" w:themeColor="text1"/>
          <w:lang w:val="en-GB"/>
        </w:rPr>
        <w:t xml:space="preserve">carried out research in three areas in Chiang Mai province where rotational farming is practiced. </w:t>
      </w:r>
      <w:proofErr w:type="gramStart"/>
      <w:r w:rsidR="007254DA" w:rsidRPr="00191E66">
        <w:rPr>
          <w:lang w:val="en-GB"/>
        </w:rPr>
        <w:t>Community monitoring of the farming areas showed that rotational farming stores more carbon than it omits.</w:t>
      </w:r>
      <w:proofErr w:type="gramEnd"/>
      <w:r w:rsidR="007254DA" w:rsidRPr="00191E66">
        <w:rPr>
          <w:lang w:val="en-GB"/>
        </w:rPr>
        <w:t xml:space="preserve"> The net carbon storage from fallow fields, covering 236 ha, left to recover for up to 10 years, accounts for 17,348 tons C, while CO2 emissions from the burning of fields amounts to only 480 tons C. </w:t>
      </w:r>
      <w:r w:rsidRPr="00191E66">
        <w:rPr>
          <w:rStyle w:val="FootnoteReference"/>
          <w:lang w:val="en-GB"/>
        </w:rPr>
        <w:footnoteReference w:id="20"/>
      </w:r>
    </w:p>
    <w:p w14:paraId="5F76F348" w14:textId="77777777" w:rsidR="00A7220A" w:rsidRPr="00191E66" w:rsidRDefault="00A7220A" w:rsidP="00B3061D">
      <w:pPr>
        <w:spacing w:after="0" w:line="240" w:lineRule="auto"/>
        <w:rPr>
          <w:rFonts w:eastAsia="Times New Roman" w:cs="Tahoma"/>
          <w:color w:val="000000"/>
          <w:lang w:val="en-GB" w:eastAsia="nl-NL"/>
        </w:rPr>
      </w:pPr>
    </w:p>
    <w:p w14:paraId="423CF466" w14:textId="6386BE41" w:rsidR="005174A5" w:rsidRPr="00191E66" w:rsidRDefault="00DB4E33" w:rsidP="00B3061D">
      <w:pPr>
        <w:spacing w:after="0" w:line="240" w:lineRule="auto"/>
        <w:rPr>
          <w:rFonts w:eastAsia="Times New Roman" w:cs="Tahoma"/>
          <w:color w:val="000000"/>
          <w:lang w:val="en-GB" w:eastAsia="nl-NL"/>
        </w:rPr>
      </w:pPr>
      <w:r w:rsidRPr="00191E66">
        <w:rPr>
          <w:rFonts w:eastAsia="Times New Roman" w:cs="Tahoma"/>
          <w:color w:val="0070C0"/>
          <w:lang w:val="en-GB" w:eastAsia="nl-NL"/>
        </w:rPr>
        <w:t xml:space="preserve">Case study: </w:t>
      </w:r>
      <w:proofErr w:type="spellStart"/>
      <w:r w:rsidR="00360A65" w:rsidRPr="00191E66">
        <w:rPr>
          <w:rFonts w:eastAsia="Times New Roman" w:cs="Tahoma"/>
          <w:color w:val="000000"/>
          <w:lang w:val="en-GB" w:eastAsia="nl-NL"/>
        </w:rPr>
        <w:t>Sundarbans</w:t>
      </w:r>
      <w:proofErr w:type="spellEnd"/>
      <w:r w:rsidR="00360A65" w:rsidRPr="00191E66">
        <w:rPr>
          <w:rFonts w:eastAsia="Times New Roman" w:cs="Tahoma"/>
          <w:color w:val="000000"/>
          <w:lang w:val="en-GB" w:eastAsia="nl-NL"/>
        </w:rPr>
        <w:t xml:space="preserve"> mangrove </w:t>
      </w:r>
      <w:proofErr w:type="spellStart"/>
      <w:r w:rsidR="00360A65" w:rsidRPr="00191E66">
        <w:rPr>
          <w:rFonts w:eastAsia="Times New Roman" w:cs="Tahoma"/>
          <w:color w:val="000000"/>
          <w:lang w:val="en-GB" w:eastAsia="nl-NL"/>
        </w:rPr>
        <w:t>silvi</w:t>
      </w:r>
      <w:proofErr w:type="spellEnd"/>
      <w:r w:rsidR="00360A65" w:rsidRPr="00191E66">
        <w:rPr>
          <w:rFonts w:eastAsia="Times New Roman" w:cs="Tahoma"/>
          <w:color w:val="000000"/>
          <w:lang w:val="en-GB" w:eastAsia="nl-NL"/>
        </w:rPr>
        <w:t xml:space="preserve"> </w:t>
      </w:r>
      <w:proofErr w:type="gramStart"/>
      <w:r w:rsidR="00360A65" w:rsidRPr="00191E66">
        <w:rPr>
          <w:rFonts w:eastAsia="Times New Roman" w:cs="Tahoma"/>
          <w:color w:val="000000"/>
          <w:lang w:val="en-GB" w:eastAsia="nl-NL"/>
        </w:rPr>
        <w:t xml:space="preserve">aquaculture </w:t>
      </w:r>
      <w:r w:rsidR="00F15357" w:rsidRPr="00191E66">
        <w:rPr>
          <w:rFonts w:eastAsia="Times New Roman" w:cs="Tahoma"/>
          <w:color w:val="000000"/>
          <w:lang w:val="en-GB" w:eastAsia="nl-NL"/>
        </w:rPr>
        <w:t>:</w:t>
      </w:r>
      <w:proofErr w:type="gramEnd"/>
      <w:r w:rsidR="00F15357" w:rsidRPr="00191E66">
        <w:rPr>
          <w:rFonts w:eastAsia="Times New Roman" w:cs="Tahoma"/>
          <w:color w:val="000000"/>
          <w:lang w:val="en-GB" w:eastAsia="nl-NL"/>
        </w:rPr>
        <w:t xml:space="preserve"> example of adaptation strategy based on TK</w:t>
      </w:r>
      <w:r w:rsidR="006D3476">
        <w:rPr>
          <w:rFonts w:eastAsia="Times New Roman" w:cs="Tahoma"/>
          <w:color w:val="000000"/>
          <w:lang w:val="en-GB" w:eastAsia="nl-NL"/>
        </w:rPr>
        <w:t xml:space="preserve"> </w:t>
      </w:r>
      <w:r w:rsidR="006D3476" w:rsidRPr="006D3476">
        <w:rPr>
          <w:rFonts w:eastAsia="Times New Roman" w:cs="Tahoma"/>
          <w:color w:val="000000"/>
          <w:highlight w:val="yellow"/>
          <w:lang w:val="en-GB" w:eastAsia="nl-NL"/>
        </w:rPr>
        <w:t>(to be developed)</w:t>
      </w:r>
    </w:p>
    <w:p w14:paraId="7FA5D3E8" w14:textId="77777777" w:rsidR="00F15357" w:rsidRPr="00191E66" w:rsidRDefault="00F15357" w:rsidP="00B3061D">
      <w:pPr>
        <w:pStyle w:val="ListParagraph"/>
        <w:ind w:left="0"/>
        <w:rPr>
          <w:rFonts w:eastAsia="Times New Roman" w:cs="Tahoma"/>
          <w:color w:val="000000"/>
          <w:sz w:val="22"/>
          <w:szCs w:val="22"/>
          <w:lang w:val="en-GB" w:eastAsia="nl-NL"/>
        </w:rPr>
      </w:pPr>
    </w:p>
    <w:p w14:paraId="3778C46C" w14:textId="2ED19C9A" w:rsidR="005174A5" w:rsidRPr="00B3061D" w:rsidRDefault="009612C0" w:rsidP="00626832">
      <w:pPr>
        <w:pStyle w:val="ListParagraph"/>
        <w:numPr>
          <w:ilvl w:val="1"/>
          <w:numId w:val="3"/>
        </w:numPr>
        <w:ind w:left="0"/>
        <w:rPr>
          <w:rFonts w:eastAsia="Times New Roman" w:cs="Tahoma"/>
          <w:b/>
          <w:color w:val="000000"/>
          <w:sz w:val="22"/>
          <w:szCs w:val="22"/>
          <w:lang w:val="en-GB" w:eastAsia="nl-NL"/>
        </w:rPr>
      </w:pPr>
      <w:r w:rsidRPr="00B3061D">
        <w:rPr>
          <w:rFonts w:eastAsia="Times New Roman" w:cs="Tahoma"/>
          <w:b/>
          <w:color w:val="000000"/>
          <w:sz w:val="22"/>
          <w:szCs w:val="22"/>
          <w:lang w:val="en-GB" w:eastAsia="nl-NL"/>
        </w:rPr>
        <w:t>C</w:t>
      </w:r>
      <w:r w:rsidR="005174A5" w:rsidRPr="00B3061D">
        <w:rPr>
          <w:rFonts w:eastAsia="Times New Roman" w:cs="Tahoma"/>
          <w:b/>
          <w:color w:val="000000"/>
          <w:sz w:val="22"/>
          <w:szCs w:val="22"/>
          <w:lang w:val="en-GB" w:eastAsia="nl-NL"/>
        </w:rPr>
        <w:t xml:space="preserve">onservation </w:t>
      </w:r>
    </w:p>
    <w:p w14:paraId="05EB009D" w14:textId="77777777" w:rsidR="0041366F" w:rsidRPr="00B3061D" w:rsidRDefault="0041366F" w:rsidP="00B3061D">
      <w:pPr>
        <w:spacing w:after="0" w:line="240" w:lineRule="auto"/>
        <w:rPr>
          <w:rFonts w:cs="Arial"/>
          <w:color w:val="222222"/>
          <w:lang w:val="en-GB"/>
        </w:rPr>
      </w:pPr>
    </w:p>
    <w:p w14:paraId="51D15057" w14:textId="2A4E0885" w:rsidR="00B769F9" w:rsidRPr="00B3061D" w:rsidRDefault="00FE43B1" w:rsidP="00B3061D">
      <w:pPr>
        <w:spacing w:after="0" w:line="240" w:lineRule="auto"/>
        <w:rPr>
          <w:rFonts w:cs="Arial"/>
          <w:color w:val="222222"/>
          <w:lang w:val="en-GB"/>
        </w:rPr>
      </w:pPr>
      <w:r w:rsidRPr="00B3061D">
        <w:rPr>
          <w:rFonts w:cs="Arial"/>
          <w:color w:val="222222"/>
          <w:lang w:val="en-GB"/>
        </w:rPr>
        <w:t xml:space="preserve">There are numerous examples of effective, sometimes innovative, conservation initiatives by </w:t>
      </w:r>
      <w:r w:rsidR="006D3476">
        <w:rPr>
          <w:rFonts w:cs="Arial"/>
          <w:color w:val="222222"/>
          <w:lang w:val="en-GB"/>
        </w:rPr>
        <w:t>i</w:t>
      </w:r>
      <w:r w:rsidRPr="00B3061D">
        <w:rPr>
          <w:rFonts w:cs="Arial"/>
          <w:color w:val="222222"/>
          <w:lang w:val="en-GB"/>
        </w:rPr>
        <w:t xml:space="preserve">ndigenous peoples and local communities. </w:t>
      </w:r>
      <w:r w:rsidR="00B769F9" w:rsidRPr="00B3061D">
        <w:rPr>
          <w:rFonts w:cs="Arial"/>
          <w:color w:val="222222"/>
          <w:lang w:val="en-GB"/>
        </w:rPr>
        <w:t>H</w:t>
      </w:r>
      <w:r w:rsidRPr="00B3061D">
        <w:rPr>
          <w:rFonts w:cs="Arial"/>
          <w:color w:val="222222"/>
          <w:lang w:val="en-GB"/>
        </w:rPr>
        <w:t xml:space="preserve">olistic approaches </w:t>
      </w:r>
      <w:r w:rsidR="00B769F9" w:rsidRPr="00B3061D">
        <w:rPr>
          <w:rFonts w:cs="Arial"/>
          <w:color w:val="222222"/>
          <w:lang w:val="en-GB"/>
        </w:rPr>
        <w:t xml:space="preserve">(see section 2) can contain </w:t>
      </w:r>
      <w:r w:rsidR="006D3476">
        <w:rPr>
          <w:rFonts w:cs="Arial"/>
          <w:color w:val="222222"/>
          <w:lang w:val="en-GB"/>
        </w:rPr>
        <w:t>various</w:t>
      </w:r>
      <w:r w:rsidRPr="00B3061D">
        <w:rPr>
          <w:rFonts w:cs="Arial"/>
          <w:color w:val="222222"/>
          <w:lang w:val="en-GB"/>
        </w:rPr>
        <w:t xml:space="preserve"> conservation focus</w:t>
      </w:r>
      <w:r w:rsidR="006D3476">
        <w:rPr>
          <w:rFonts w:cs="Arial"/>
          <w:color w:val="222222"/>
          <w:lang w:val="en-GB"/>
        </w:rPr>
        <w:t>es</w:t>
      </w:r>
      <w:r w:rsidR="00B769F9" w:rsidRPr="00B3061D">
        <w:rPr>
          <w:rFonts w:cs="Arial"/>
          <w:color w:val="222222"/>
          <w:lang w:val="en-GB"/>
        </w:rPr>
        <w:t>, such as</w:t>
      </w:r>
    </w:p>
    <w:p w14:paraId="7733E83C" w14:textId="47C78BCD" w:rsidR="00B769F9" w:rsidRPr="00B3061D" w:rsidRDefault="00FE43B1" w:rsidP="00626832">
      <w:pPr>
        <w:pStyle w:val="ListParagraph"/>
        <w:numPr>
          <w:ilvl w:val="0"/>
          <w:numId w:val="10"/>
        </w:numPr>
        <w:ind w:left="0"/>
        <w:rPr>
          <w:rFonts w:cs="Arial"/>
          <w:color w:val="222222"/>
          <w:sz w:val="22"/>
          <w:szCs w:val="22"/>
          <w:lang w:val="en-GB"/>
        </w:rPr>
      </w:pPr>
      <w:proofErr w:type="gramStart"/>
      <w:r w:rsidRPr="00B3061D">
        <w:rPr>
          <w:rFonts w:cs="Arial"/>
          <w:color w:val="222222"/>
          <w:sz w:val="22"/>
          <w:szCs w:val="22"/>
          <w:lang w:val="en-GB"/>
        </w:rPr>
        <w:lastRenderedPageBreak/>
        <w:t>a</w:t>
      </w:r>
      <w:proofErr w:type="gramEnd"/>
      <w:r w:rsidRPr="00B3061D">
        <w:rPr>
          <w:rFonts w:cs="Arial"/>
          <w:color w:val="222222"/>
          <w:sz w:val="22"/>
          <w:szCs w:val="22"/>
          <w:lang w:val="en-GB"/>
        </w:rPr>
        <w:t xml:space="preserve"> particular area or species that is assess</w:t>
      </w:r>
      <w:r w:rsidR="00B769F9" w:rsidRPr="00B3061D">
        <w:rPr>
          <w:rFonts w:cs="Arial"/>
          <w:color w:val="222222"/>
          <w:sz w:val="22"/>
          <w:szCs w:val="22"/>
          <w:lang w:val="en-GB"/>
        </w:rPr>
        <w:t>ed to be in need of extra care</w:t>
      </w:r>
      <w:r w:rsidR="006D3476">
        <w:rPr>
          <w:rFonts w:cs="Arial"/>
          <w:color w:val="222222"/>
          <w:sz w:val="22"/>
          <w:szCs w:val="22"/>
          <w:lang w:val="en-GB"/>
        </w:rPr>
        <w:t>,</w:t>
      </w:r>
      <w:r w:rsidR="00B769F9" w:rsidRPr="00B3061D">
        <w:rPr>
          <w:rFonts w:cs="Arial"/>
          <w:color w:val="222222"/>
          <w:sz w:val="22"/>
          <w:szCs w:val="22"/>
          <w:lang w:val="en-GB"/>
        </w:rPr>
        <w:t xml:space="preserve"> or </w:t>
      </w:r>
      <w:r w:rsidR="00B55AD8">
        <w:rPr>
          <w:rFonts w:cs="Arial"/>
          <w:color w:val="222222"/>
          <w:sz w:val="22"/>
          <w:szCs w:val="22"/>
          <w:lang w:val="en-GB"/>
        </w:rPr>
        <w:t xml:space="preserve">of </w:t>
      </w:r>
      <w:r w:rsidR="00B769F9" w:rsidRPr="00B3061D">
        <w:rPr>
          <w:rFonts w:cs="Arial"/>
          <w:color w:val="222222"/>
          <w:sz w:val="22"/>
          <w:szCs w:val="22"/>
          <w:lang w:val="en-GB"/>
        </w:rPr>
        <w:t>adjusted customary use because abundance is lowering</w:t>
      </w:r>
    </w:p>
    <w:p w14:paraId="346606C0" w14:textId="43B5257B" w:rsidR="00B769F9" w:rsidRPr="00B55AD8" w:rsidRDefault="00B769F9" w:rsidP="00B55AD8">
      <w:pPr>
        <w:spacing w:after="0" w:line="240" w:lineRule="auto"/>
        <w:rPr>
          <w:rFonts w:eastAsia="Times New Roman" w:cs="Tahoma"/>
          <w:color w:val="000000"/>
          <w:lang w:val="en-GB" w:eastAsia="nl-NL"/>
        </w:rPr>
      </w:pPr>
      <w:proofErr w:type="gramStart"/>
      <w:r w:rsidRPr="00B3061D">
        <w:rPr>
          <w:rFonts w:cs="Arial"/>
          <w:color w:val="222222"/>
          <w:lang w:val="en-GB"/>
        </w:rPr>
        <w:t>a</w:t>
      </w:r>
      <w:proofErr w:type="gramEnd"/>
      <w:r w:rsidRPr="00B3061D">
        <w:rPr>
          <w:rFonts w:cs="Arial"/>
          <w:color w:val="222222"/>
          <w:lang w:val="en-GB"/>
        </w:rPr>
        <w:t xml:space="preserve"> particular area or species </w:t>
      </w:r>
      <w:r w:rsidR="00FE43B1" w:rsidRPr="00B3061D">
        <w:rPr>
          <w:rFonts w:cs="Arial"/>
          <w:color w:val="222222"/>
          <w:lang w:val="en-GB"/>
        </w:rPr>
        <w:t>which has high importance to the entire ecosystem</w:t>
      </w:r>
      <w:r w:rsidR="00451842" w:rsidRPr="00B3061D">
        <w:rPr>
          <w:rFonts w:cs="Arial"/>
          <w:color w:val="222222"/>
          <w:lang w:val="en-GB"/>
        </w:rPr>
        <w:t xml:space="preserve"> (</w:t>
      </w:r>
      <w:r w:rsidR="00451842" w:rsidRPr="006D3476">
        <w:rPr>
          <w:rFonts w:cs="Arial"/>
          <w:color w:val="222222"/>
          <w:highlight w:val="yellow"/>
          <w:lang w:val="en-GB"/>
        </w:rPr>
        <w:t xml:space="preserve">such as </w:t>
      </w:r>
      <w:r w:rsidRPr="006D3476">
        <w:rPr>
          <w:rFonts w:cs="Arial"/>
          <w:color w:val="222222"/>
          <w:highlight w:val="yellow"/>
          <w:lang w:val="en-GB"/>
        </w:rPr>
        <w:t>springs/</w:t>
      </w:r>
      <w:r w:rsidR="00451842" w:rsidRPr="006D3476">
        <w:rPr>
          <w:rFonts w:cs="Arial"/>
          <w:color w:val="222222"/>
          <w:highlight w:val="yellow"/>
          <w:lang w:val="en-GB"/>
        </w:rPr>
        <w:t xml:space="preserve">wells </w:t>
      </w:r>
      <w:r w:rsidR="006D3476" w:rsidRPr="006D3476">
        <w:rPr>
          <w:rFonts w:cs="Arial"/>
          <w:color w:val="222222"/>
          <w:highlight w:val="yellow"/>
          <w:lang w:val="en-GB"/>
        </w:rPr>
        <w:t>–</w:t>
      </w:r>
      <w:r w:rsidR="00451842" w:rsidRPr="006D3476">
        <w:rPr>
          <w:rFonts w:cs="Arial"/>
          <w:color w:val="222222"/>
          <w:highlight w:val="yellow"/>
          <w:lang w:val="en-GB"/>
        </w:rPr>
        <w:t xml:space="preserve"> Thailand</w:t>
      </w:r>
      <w:r w:rsidR="006D3476" w:rsidRPr="006D3476">
        <w:rPr>
          <w:rFonts w:cs="Arial"/>
          <w:color w:val="222222"/>
          <w:highlight w:val="yellow"/>
          <w:lang w:val="en-GB"/>
        </w:rPr>
        <w:t xml:space="preserve"> – look up details</w:t>
      </w:r>
      <w:r w:rsidR="00451842" w:rsidRPr="00B3061D">
        <w:rPr>
          <w:rFonts w:cs="Arial"/>
          <w:color w:val="222222"/>
          <w:lang w:val="en-GB"/>
        </w:rPr>
        <w:t>)</w:t>
      </w:r>
      <w:r w:rsidR="00B55AD8">
        <w:rPr>
          <w:rFonts w:cs="Arial"/>
          <w:color w:val="222222"/>
          <w:lang w:val="en-GB"/>
        </w:rPr>
        <w:t xml:space="preserve">: see also the case from </w:t>
      </w:r>
      <w:r w:rsidR="00B55AD8" w:rsidRPr="00B3061D">
        <w:rPr>
          <w:rFonts w:eastAsia="Times New Roman" w:cs="Tahoma"/>
          <w:color w:val="000000"/>
          <w:lang w:val="en-GB" w:eastAsia="nl-NL"/>
        </w:rPr>
        <w:t>La-</w:t>
      </w:r>
      <w:proofErr w:type="spellStart"/>
      <w:r w:rsidR="00B55AD8" w:rsidRPr="00B3061D">
        <w:rPr>
          <w:rFonts w:eastAsia="Times New Roman" w:cs="Tahoma"/>
          <w:color w:val="000000"/>
          <w:lang w:val="en-GB" w:eastAsia="nl-NL"/>
        </w:rPr>
        <w:t>oop</w:t>
      </w:r>
      <w:proofErr w:type="spellEnd"/>
      <w:r w:rsidR="00B55AD8">
        <w:rPr>
          <w:rFonts w:cs="Arial"/>
          <w:color w:val="222222"/>
          <w:lang w:val="en-GB"/>
        </w:rPr>
        <w:t xml:space="preserve"> village in </w:t>
      </w:r>
      <w:r w:rsidR="00B55AD8" w:rsidRPr="00B3061D">
        <w:rPr>
          <w:rFonts w:eastAsia="Times New Roman" w:cs="Tahoma"/>
          <w:color w:val="000000"/>
          <w:lang w:val="en-GB" w:eastAsia="nl-NL"/>
        </w:rPr>
        <w:t xml:space="preserve">northern Thailand, </w:t>
      </w:r>
      <w:r w:rsidR="00B55AD8">
        <w:rPr>
          <w:rFonts w:cs="Arial"/>
          <w:color w:val="222222"/>
          <w:lang w:val="en-GB"/>
        </w:rPr>
        <w:t>from t</w:t>
      </w:r>
      <w:r w:rsidR="00B55AD8" w:rsidRPr="00B3061D">
        <w:rPr>
          <w:rFonts w:eastAsia="Times New Roman" w:cs="Tahoma"/>
          <w:color w:val="000000"/>
          <w:lang w:val="en-GB" w:eastAsia="nl-NL"/>
        </w:rPr>
        <w:t>he video </w:t>
      </w:r>
      <w:r w:rsidR="00B55AD8" w:rsidRPr="00B3061D">
        <w:rPr>
          <w:rFonts w:eastAsia="Times New Roman" w:cs="Tahoma"/>
          <w:bCs/>
          <w:color w:val="000000"/>
          <w:lang w:val="en-GB" w:eastAsia="nl-NL"/>
        </w:rPr>
        <w:t xml:space="preserve">“Community Based Forest Management: Local Solutions to Global Challenges”, </w:t>
      </w:r>
      <w:r w:rsidR="00B55AD8">
        <w:rPr>
          <w:rFonts w:eastAsia="Times New Roman" w:cs="Tahoma"/>
          <w:bCs/>
          <w:color w:val="000000"/>
          <w:lang w:val="en-GB" w:eastAsia="nl-NL"/>
        </w:rPr>
        <w:t xml:space="preserve">that explains the customary classification of forest areas: </w:t>
      </w:r>
      <w:r w:rsidR="00B55AD8" w:rsidRPr="00B3061D">
        <w:rPr>
          <w:rFonts w:eastAsia="Times New Roman" w:cs="Tahoma"/>
          <w:color w:val="000000"/>
          <w:lang w:val="en-GB" w:eastAsia="nl-NL"/>
        </w:rPr>
        <w:t xml:space="preserve">conservation forests </w:t>
      </w:r>
      <w:r w:rsidR="00B55AD8">
        <w:rPr>
          <w:rFonts w:eastAsia="Times New Roman" w:cs="Tahoma"/>
          <w:color w:val="000000"/>
          <w:lang w:val="en-GB" w:eastAsia="nl-NL"/>
        </w:rPr>
        <w:t xml:space="preserve">and </w:t>
      </w:r>
      <w:r w:rsidR="00B55AD8" w:rsidRPr="00B3061D">
        <w:rPr>
          <w:rFonts w:eastAsia="Times New Roman" w:cs="Tahoma"/>
          <w:color w:val="000000"/>
          <w:lang w:val="en-GB" w:eastAsia="nl-NL"/>
        </w:rPr>
        <w:t>sacred forest (only rituals</w:t>
      </w:r>
      <w:r w:rsidR="00B55AD8">
        <w:rPr>
          <w:rFonts w:eastAsia="Times New Roman" w:cs="Tahoma"/>
          <w:color w:val="000000"/>
          <w:lang w:val="en-GB" w:eastAsia="nl-NL"/>
        </w:rPr>
        <w:t xml:space="preserve"> allowed here</w:t>
      </w:r>
      <w:r w:rsidR="00B55AD8" w:rsidRPr="00B3061D">
        <w:rPr>
          <w:rFonts w:eastAsia="Times New Roman" w:cs="Tahoma"/>
          <w:color w:val="000000"/>
          <w:lang w:val="en-GB" w:eastAsia="nl-NL"/>
        </w:rPr>
        <w:t xml:space="preserve">), to forests </w:t>
      </w:r>
      <w:r w:rsidR="00B55AD8">
        <w:rPr>
          <w:rFonts w:eastAsia="Times New Roman" w:cs="Tahoma"/>
          <w:color w:val="000000"/>
          <w:lang w:val="en-GB" w:eastAsia="nl-NL"/>
        </w:rPr>
        <w:t>that can be used by the community and anything in the middle (e.g. cutting trees isn’t permitted but gathering NTFPs is).</w:t>
      </w:r>
    </w:p>
    <w:p w14:paraId="1596205A" w14:textId="7722ADC0" w:rsidR="00B769F9" w:rsidRPr="00B3061D" w:rsidRDefault="00B769F9" w:rsidP="00626832">
      <w:pPr>
        <w:pStyle w:val="ListParagraph"/>
        <w:numPr>
          <w:ilvl w:val="0"/>
          <w:numId w:val="10"/>
        </w:numPr>
        <w:ind w:left="0"/>
        <w:rPr>
          <w:rFonts w:cs="Arial"/>
          <w:color w:val="222222"/>
          <w:sz w:val="22"/>
          <w:szCs w:val="22"/>
          <w:lang w:val="en-GB"/>
        </w:rPr>
      </w:pPr>
      <w:proofErr w:type="gramStart"/>
      <w:r w:rsidRPr="00B3061D">
        <w:rPr>
          <w:rFonts w:cs="Arial"/>
          <w:color w:val="222222"/>
          <w:sz w:val="22"/>
          <w:szCs w:val="22"/>
          <w:lang w:val="en-GB"/>
        </w:rPr>
        <w:t>a</w:t>
      </w:r>
      <w:proofErr w:type="gramEnd"/>
      <w:r w:rsidRPr="00B3061D">
        <w:rPr>
          <w:rFonts w:cs="Arial"/>
          <w:color w:val="222222"/>
          <w:sz w:val="22"/>
          <w:szCs w:val="22"/>
          <w:lang w:val="en-GB"/>
        </w:rPr>
        <w:t xml:space="preserve"> particular area or species which has </w:t>
      </w:r>
      <w:r w:rsidR="00FE43B1" w:rsidRPr="00B3061D">
        <w:rPr>
          <w:rFonts w:cs="Arial"/>
          <w:color w:val="222222"/>
          <w:sz w:val="22"/>
          <w:szCs w:val="22"/>
          <w:lang w:val="en-GB"/>
        </w:rPr>
        <w:t>specific cultural value</w:t>
      </w:r>
      <w:r w:rsidR="00451842" w:rsidRPr="00B3061D">
        <w:rPr>
          <w:rFonts w:cs="Arial"/>
          <w:color w:val="222222"/>
          <w:sz w:val="22"/>
          <w:szCs w:val="22"/>
          <w:lang w:val="en-GB"/>
        </w:rPr>
        <w:t>, like sacred areas or animals (</w:t>
      </w:r>
      <w:r w:rsidR="00451842" w:rsidRPr="006D3476">
        <w:rPr>
          <w:rFonts w:cs="Arial"/>
          <w:color w:val="222222"/>
          <w:sz w:val="22"/>
          <w:szCs w:val="22"/>
          <w:highlight w:val="yellow"/>
          <w:lang w:val="en-GB"/>
        </w:rPr>
        <w:t>sea turtles and dolphins</w:t>
      </w:r>
      <w:r w:rsidR="00166228">
        <w:rPr>
          <w:rFonts w:cs="Arial"/>
          <w:color w:val="222222"/>
          <w:sz w:val="22"/>
          <w:szCs w:val="22"/>
          <w:highlight w:val="yellow"/>
          <w:lang w:val="en-GB"/>
        </w:rPr>
        <w:t>, sacred trees</w:t>
      </w:r>
      <w:r w:rsidR="00451842" w:rsidRPr="006D3476">
        <w:rPr>
          <w:rFonts w:cs="Arial"/>
          <w:color w:val="222222"/>
          <w:sz w:val="22"/>
          <w:szCs w:val="22"/>
          <w:highlight w:val="yellow"/>
          <w:lang w:val="en-GB"/>
        </w:rPr>
        <w:t xml:space="preserve"> in Suriname</w:t>
      </w:r>
      <w:r w:rsidR="00451842" w:rsidRPr="00B3061D">
        <w:rPr>
          <w:rFonts w:cs="Arial"/>
          <w:color w:val="222222"/>
          <w:sz w:val="22"/>
          <w:szCs w:val="22"/>
          <w:lang w:val="en-GB"/>
        </w:rPr>
        <w:t>), burial sites, or taboo areas</w:t>
      </w:r>
      <w:r w:rsidR="00FE43B1" w:rsidRPr="00B3061D">
        <w:rPr>
          <w:rFonts w:cs="Arial"/>
          <w:color w:val="222222"/>
          <w:sz w:val="22"/>
          <w:szCs w:val="22"/>
          <w:lang w:val="en-GB"/>
        </w:rPr>
        <w:t xml:space="preserve">. </w:t>
      </w:r>
    </w:p>
    <w:p w14:paraId="381EAD02" w14:textId="40160250" w:rsidR="006D3476" w:rsidRDefault="00FE43B1" w:rsidP="00626832">
      <w:pPr>
        <w:pStyle w:val="ListParagraph"/>
        <w:numPr>
          <w:ilvl w:val="0"/>
          <w:numId w:val="10"/>
        </w:numPr>
        <w:ind w:left="0"/>
        <w:rPr>
          <w:rFonts w:cs="Arial"/>
          <w:color w:val="222222"/>
          <w:sz w:val="22"/>
          <w:szCs w:val="22"/>
          <w:lang w:val="en-GB"/>
        </w:rPr>
      </w:pPr>
      <w:r w:rsidRPr="00B3061D">
        <w:rPr>
          <w:rFonts w:cs="Arial"/>
          <w:color w:val="222222"/>
          <w:sz w:val="22"/>
          <w:szCs w:val="22"/>
          <w:lang w:val="en-GB"/>
        </w:rPr>
        <w:t xml:space="preserve">Sometimes customary rules restrict temporary/seasonal access to certain areas, for instance in times of reproduction. </w:t>
      </w:r>
      <w:r w:rsidR="00C26C3C">
        <w:rPr>
          <w:rStyle w:val="FootnoteReference"/>
          <w:rFonts w:cs="Arial"/>
          <w:color w:val="222222"/>
          <w:sz w:val="22"/>
          <w:szCs w:val="22"/>
          <w:lang w:val="en-GB"/>
        </w:rPr>
        <w:footnoteReference w:id="21"/>
      </w:r>
    </w:p>
    <w:p w14:paraId="299603C8" w14:textId="77777777" w:rsidR="006D3476" w:rsidRDefault="006D3476" w:rsidP="006D3476">
      <w:pPr>
        <w:pStyle w:val="ListParagraph"/>
        <w:ind w:left="0"/>
        <w:rPr>
          <w:rFonts w:cs="Arial"/>
          <w:color w:val="222222"/>
          <w:sz w:val="22"/>
          <w:szCs w:val="22"/>
          <w:lang w:val="en-GB"/>
        </w:rPr>
      </w:pPr>
    </w:p>
    <w:p w14:paraId="27A9EFC4" w14:textId="0BDFF3BB" w:rsidR="00FE43B1" w:rsidRPr="00B3061D" w:rsidRDefault="00D67DB3" w:rsidP="006D3476">
      <w:pPr>
        <w:pStyle w:val="ListParagraph"/>
        <w:ind w:left="0"/>
        <w:rPr>
          <w:rFonts w:cs="Arial"/>
          <w:color w:val="222222"/>
          <w:sz w:val="22"/>
          <w:szCs w:val="22"/>
          <w:lang w:val="en-GB"/>
        </w:rPr>
      </w:pPr>
      <w:r w:rsidRPr="00B3061D">
        <w:rPr>
          <w:rFonts w:cs="Arial"/>
          <w:color w:val="222222"/>
          <w:sz w:val="22"/>
          <w:szCs w:val="22"/>
          <w:lang w:val="en-GB"/>
        </w:rPr>
        <w:t xml:space="preserve">An example of a conservation-dimension in an integrated management and development initiative is below: </w:t>
      </w:r>
    </w:p>
    <w:p w14:paraId="4401FD95" w14:textId="77777777" w:rsidR="00D67DB3" w:rsidRPr="00B3061D" w:rsidRDefault="00D67DB3" w:rsidP="00B3061D">
      <w:pPr>
        <w:spacing w:after="0" w:line="240" w:lineRule="auto"/>
        <w:rPr>
          <w:rFonts w:cs="Arial"/>
          <w:color w:val="222222"/>
          <w:lang w:val="en-GB"/>
        </w:rPr>
      </w:pPr>
    </w:p>
    <w:p w14:paraId="4F67A09F" w14:textId="3735D38B" w:rsidR="00D67DB3" w:rsidRPr="00B3061D" w:rsidRDefault="00D67DB3" w:rsidP="00572CA6">
      <w:pPr>
        <w:spacing w:after="0" w:line="240" w:lineRule="auto"/>
        <w:ind w:left="708"/>
        <w:rPr>
          <w:color w:val="4F81BD" w:themeColor="accent1"/>
          <w:lang w:val="en-GB"/>
        </w:rPr>
      </w:pPr>
      <w:r w:rsidRPr="00B3061D">
        <w:rPr>
          <w:color w:val="4F81BD" w:themeColor="accent1"/>
          <w:lang w:val="en-GB"/>
        </w:rPr>
        <w:t xml:space="preserve">Case study: </w:t>
      </w:r>
      <w:r w:rsidR="00260C81">
        <w:rPr>
          <w:color w:val="4F81BD" w:themeColor="accent1"/>
          <w:lang w:val="en-GB"/>
        </w:rPr>
        <w:t xml:space="preserve">proposed </w:t>
      </w:r>
      <w:proofErr w:type="spellStart"/>
      <w:r w:rsidR="00260C81">
        <w:rPr>
          <w:color w:val="4F81BD" w:themeColor="accent1"/>
          <w:lang w:val="en-GB"/>
        </w:rPr>
        <w:t>Wapichan</w:t>
      </w:r>
      <w:proofErr w:type="spellEnd"/>
      <w:r w:rsidR="00260C81">
        <w:rPr>
          <w:color w:val="4F81BD" w:themeColor="accent1"/>
          <w:lang w:val="en-GB"/>
        </w:rPr>
        <w:t xml:space="preserve"> </w:t>
      </w:r>
      <w:r w:rsidRPr="00B3061D">
        <w:rPr>
          <w:color w:val="4F81BD" w:themeColor="accent1"/>
          <w:lang w:val="en-GB"/>
        </w:rPr>
        <w:t>conserved forests in Guyana</w:t>
      </w:r>
    </w:p>
    <w:p w14:paraId="0EBC3361" w14:textId="6D21D1FE" w:rsidR="00391065" w:rsidRDefault="00D67DB3" w:rsidP="00572CA6">
      <w:pPr>
        <w:spacing w:after="0" w:line="240" w:lineRule="auto"/>
        <w:ind w:left="708"/>
        <w:rPr>
          <w:lang w:val="en"/>
        </w:rPr>
      </w:pPr>
      <w:r w:rsidRPr="00B3061D">
        <w:rPr>
          <w:color w:val="000000" w:themeColor="text1"/>
          <w:lang w:val="en-GB"/>
        </w:rPr>
        <w:t xml:space="preserve">In 2012 the </w:t>
      </w:r>
      <w:proofErr w:type="spellStart"/>
      <w:r w:rsidRPr="00B3061D">
        <w:rPr>
          <w:color w:val="000000" w:themeColor="text1"/>
          <w:lang w:val="en-GB"/>
        </w:rPr>
        <w:t>Wapichan</w:t>
      </w:r>
      <w:proofErr w:type="spellEnd"/>
      <w:r w:rsidRPr="00B3061D">
        <w:rPr>
          <w:color w:val="000000" w:themeColor="text1"/>
          <w:lang w:val="en-GB"/>
        </w:rPr>
        <w:t xml:space="preserve"> people from Guyana published an integral plan for sustainable community-based use and development of their ancestral territory, titled “</w:t>
      </w:r>
      <w:r w:rsidRPr="00B3061D">
        <w:rPr>
          <w:lang w:val="en-GB"/>
        </w:rPr>
        <w:t>Thinking Together for Those Coming Behind Us”</w:t>
      </w:r>
      <w:r w:rsidRPr="00B3061D">
        <w:rPr>
          <w:color w:val="000000" w:themeColor="text1"/>
          <w:lang w:val="en-GB"/>
        </w:rPr>
        <w:t xml:space="preserve">, </w:t>
      </w:r>
      <w:r w:rsidRPr="00B3061D">
        <w:rPr>
          <w:lang w:val="en-GB"/>
        </w:rPr>
        <w:t xml:space="preserve">supplemented by a detailed and digital territorial map. The </w:t>
      </w:r>
      <w:proofErr w:type="gramStart"/>
      <w:r w:rsidRPr="00B3061D">
        <w:rPr>
          <w:lang w:val="en-GB"/>
        </w:rPr>
        <w:t>plan includes</w:t>
      </w:r>
      <w:r w:rsidRPr="00B3061D">
        <w:rPr>
          <w:lang w:val="en"/>
        </w:rPr>
        <w:t xml:space="preserve"> more than one hundred inter-community agreements on sustainable land use and care</w:t>
      </w:r>
      <w:proofErr w:type="gramEnd"/>
      <w:r w:rsidRPr="00B3061D">
        <w:rPr>
          <w:lang w:val="en"/>
        </w:rPr>
        <w:t xml:space="preserve"> for their lands, forests, savannahs, wetlands and mountains and promote self-determined development in Wapichan communities, </w:t>
      </w:r>
      <w:r w:rsidRPr="0091482B">
        <w:rPr>
          <w:lang w:val="en"/>
        </w:rPr>
        <w:t>including proposals to establish an extensive Wapichan Conserved Forest over old-growth rainforest in the eastern part of their territory</w:t>
      </w:r>
      <w:r w:rsidRPr="00B3061D">
        <w:rPr>
          <w:lang w:val="en"/>
        </w:rPr>
        <w:t>.</w:t>
      </w:r>
      <w:r w:rsidR="00E32663">
        <w:rPr>
          <w:rStyle w:val="FootnoteReference"/>
          <w:lang w:val="en"/>
        </w:rPr>
        <w:footnoteReference w:id="22"/>
      </w:r>
    </w:p>
    <w:p w14:paraId="687B2A4D" w14:textId="77777777" w:rsidR="007B64C0" w:rsidRDefault="007B64C0" w:rsidP="00572CA6">
      <w:pPr>
        <w:spacing w:after="0" w:line="240" w:lineRule="auto"/>
        <w:ind w:left="708"/>
        <w:rPr>
          <w:lang w:val="en"/>
        </w:rPr>
      </w:pPr>
    </w:p>
    <w:p w14:paraId="1AAC185A" w14:textId="526B864D" w:rsidR="007B64C0" w:rsidRDefault="007B64C0" w:rsidP="00572CA6">
      <w:pPr>
        <w:spacing w:after="0" w:line="240" w:lineRule="auto"/>
        <w:ind w:left="708"/>
        <w:rPr>
          <w:lang w:val="en"/>
        </w:rPr>
      </w:pPr>
      <w:r>
        <w:rPr>
          <w:lang w:val="en"/>
        </w:rPr>
        <w:t>Their plan contains a section on import</w:t>
      </w:r>
      <w:r w:rsidR="00FC294B">
        <w:rPr>
          <w:lang w:val="en"/>
        </w:rPr>
        <w:t>ant places</w:t>
      </w:r>
      <w:r w:rsidR="009A3532">
        <w:rPr>
          <w:lang w:val="en"/>
        </w:rPr>
        <w:t xml:space="preserve">. </w:t>
      </w:r>
    </w:p>
    <w:p w14:paraId="40C0ECCC" w14:textId="77777777" w:rsidR="007B64C0" w:rsidRDefault="007B64C0" w:rsidP="00572CA6">
      <w:pPr>
        <w:spacing w:after="0" w:line="240" w:lineRule="auto"/>
        <w:ind w:left="708"/>
        <w:rPr>
          <w:lang w:val="en"/>
        </w:rPr>
      </w:pPr>
    </w:p>
    <w:p w14:paraId="5812C342" w14:textId="3825F1D2" w:rsidR="007B64C0" w:rsidRDefault="007B64C0" w:rsidP="00572CA6">
      <w:pPr>
        <w:spacing w:after="0" w:line="240" w:lineRule="auto"/>
        <w:ind w:left="708"/>
        <w:rPr>
          <w:lang w:val="en"/>
        </w:rPr>
      </w:pPr>
      <w:r>
        <w:rPr>
          <w:lang w:val="en"/>
        </w:rPr>
        <w:t>On sensitive sites:</w:t>
      </w:r>
    </w:p>
    <w:p w14:paraId="1E7636ED" w14:textId="3CC009B2" w:rsidR="007B64C0" w:rsidRDefault="007B64C0" w:rsidP="00572CA6">
      <w:pPr>
        <w:spacing w:after="0" w:line="240" w:lineRule="auto"/>
        <w:ind w:left="708"/>
        <w:rPr>
          <w:lang w:val="en"/>
        </w:rPr>
      </w:pPr>
      <w:r w:rsidRPr="007B64C0">
        <w:rPr>
          <w:lang w:val="en"/>
        </w:rPr>
        <w:t>All of Wapichan wiizi is populated by spirit beings and so all of our traditional lands and resources are sacred to us Wapichannao. We believe strongly that we must respect spirits, including the grandfather spirits of the animals, birds and fishes. Some areas with tapiki (spirit masters), including powerful beings such as Aro Dokozu, Bakuru Dokozu, Kodoidin,  Baudokorudin, Namachidin, Sazakdin, Ora Piro, Onorii, Uwadun, Udun, Kadorara and Udoro, should not be disturbed. We know these places are shokorodin ba'o (sensitive areas) and we treat many as akaa kikiizai (no-go zones). They are found in the forest, savannah, mountains, bush islands and creeks. Proper respect for these spirits and their homes is essential for the wellbeing of our communities and the health and abundance of our games and fishes. Lack of respect can cause a person to shokordan amazada (offend the spirits in a place).</w:t>
      </w:r>
    </w:p>
    <w:p w14:paraId="2E40B7B9" w14:textId="77777777" w:rsidR="007B64C0" w:rsidRDefault="007B64C0" w:rsidP="00572CA6">
      <w:pPr>
        <w:spacing w:after="0" w:line="240" w:lineRule="auto"/>
        <w:ind w:left="708"/>
        <w:rPr>
          <w:lang w:val="en"/>
        </w:rPr>
      </w:pPr>
    </w:p>
    <w:p w14:paraId="03D507AE" w14:textId="67DD4099" w:rsidR="007B64C0" w:rsidRDefault="007B64C0" w:rsidP="00572CA6">
      <w:pPr>
        <w:spacing w:after="0" w:line="240" w:lineRule="auto"/>
        <w:ind w:left="708"/>
        <w:rPr>
          <w:lang w:val="en"/>
        </w:rPr>
      </w:pPr>
      <w:r>
        <w:rPr>
          <w:lang w:val="en"/>
        </w:rPr>
        <w:t>On cultural heritage sites:</w:t>
      </w:r>
    </w:p>
    <w:p w14:paraId="3D0E4797" w14:textId="1274A3FB" w:rsidR="007B64C0" w:rsidRDefault="007B64C0" w:rsidP="00572CA6">
      <w:pPr>
        <w:spacing w:after="0" w:line="240" w:lineRule="auto"/>
        <w:ind w:left="708"/>
        <w:rPr>
          <w:lang w:val="en"/>
        </w:rPr>
      </w:pPr>
      <w:r w:rsidRPr="007B64C0">
        <w:rPr>
          <w:lang w:val="en"/>
        </w:rPr>
        <w:t xml:space="preserve">Our ancestors have left behind many valuable places and things that teach us of our past. In the forest, mountains, bush mouth and savannah we find stone axes, arrow heads, beads, pottery and burial grounds in the places where our ancestors lived and carried out ceremonies. Some places like Shizizi Paawaz have caves with pots and human remains. Several sites also have kubu zuidu karwai (rock carvings) and paintings dating back centuries and even thousands of years (e.g. at Maoka taawa). These sites are spiritually sensitive and </w:t>
      </w:r>
      <w:r w:rsidRPr="007B64C0">
        <w:rPr>
          <w:lang w:val="en"/>
        </w:rPr>
        <w:lastRenderedPageBreak/>
        <w:t>link us to the history of our peoples and territory. Our forefathers also left behind kotu’ainao zakapun k’i (Nature Farms) that we highly value for their ancient seeds, root suckers and bina, which we harvest carefully up until today for use in our farms and gardens. These sites make up part of the rich history of our country and some are proposed for recognition as national monuments.</w:t>
      </w:r>
    </w:p>
    <w:p w14:paraId="6FC2F75E" w14:textId="77777777" w:rsidR="00FC294B" w:rsidRDefault="00FC294B" w:rsidP="00572CA6">
      <w:pPr>
        <w:spacing w:after="0" w:line="240" w:lineRule="auto"/>
        <w:ind w:left="708"/>
        <w:rPr>
          <w:lang w:val="en"/>
        </w:rPr>
      </w:pPr>
    </w:p>
    <w:p w14:paraId="2598C9A3" w14:textId="4331C3CD" w:rsidR="00FC294B" w:rsidRDefault="00FC294B" w:rsidP="00572CA6">
      <w:pPr>
        <w:spacing w:after="0" w:line="240" w:lineRule="auto"/>
        <w:ind w:left="708"/>
        <w:rPr>
          <w:lang w:val="en"/>
        </w:rPr>
      </w:pPr>
      <w:r>
        <w:rPr>
          <w:lang w:val="en"/>
        </w:rPr>
        <w:t>On wildlife sites:</w:t>
      </w:r>
    </w:p>
    <w:p w14:paraId="717C28AF" w14:textId="7E52B25F" w:rsidR="00FC294B" w:rsidRDefault="00FC294B" w:rsidP="00572CA6">
      <w:pPr>
        <w:spacing w:after="0" w:line="240" w:lineRule="auto"/>
        <w:ind w:left="708"/>
        <w:rPr>
          <w:lang w:val="en"/>
        </w:rPr>
      </w:pPr>
      <w:r w:rsidRPr="00FC294B">
        <w:rPr>
          <w:lang w:val="en"/>
        </w:rPr>
        <w:t>Our Wapichan wiizi is home to many different animals, reptiles, plants, insects, birds, fishes and other water creatures. Some add delicacy to our damorudu (pepper pot). Others that we do not eat, like wildflowers, butterflies and small colourful birds, beautify our mountains, forests and savannahs. We value certain flowers, birds and insects in our traditional knowledge system as signs of the health of our lands and the environment. We use the activities of wildlife through the year as markers in our Wapichan seasonal calendar (see back cover). Wildlife also plays a big part in our stories and legends and we believe that a long time ago animals and birds were like people. Many species that are internationally rare or endangered are abundant in certain places in our Wapichan wiizi, such as the kitanaaru (jaguar), saaro (giant river otter), wichaa waru (bush dog), crested eagle, kawanaru (cock-of-the-rock), udaru’o kokoi (harpy eagle) and dyuwudan uzu (red siskin).  Given the richness of our birdlife, including species that are not found anywhere else, part of our territory in the west falls within an Important Bird Area. Our villages and communities are resolved to protect this important wildlife on our traditional lands.</w:t>
      </w:r>
      <w:r>
        <w:rPr>
          <w:rStyle w:val="FootnoteReference"/>
          <w:lang w:val="en"/>
        </w:rPr>
        <w:footnoteReference w:id="23"/>
      </w:r>
    </w:p>
    <w:p w14:paraId="512BDC37" w14:textId="77777777" w:rsidR="007B64C0" w:rsidRPr="00B3061D" w:rsidRDefault="007B64C0" w:rsidP="00572CA6">
      <w:pPr>
        <w:spacing w:after="0" w:line="240" w:lineRule="auto"/>
        <w:ind w:left="708"/>
        <w:rPr>
          <w:lang w:val="en"/>
        </w:rPr>
      </w:pPr>
    </w:p>
    <w:p w14:paraId="1B6A1300" w14:textId="77777777" w:rsidR="00D67DB3" w:rsidRPr="00B3061D" w:rsidRDefault="00D67DB3" w:rsidP="00B3061D">
      <w:pPr>
        <w:spacing w:after="0" w:line="240" w:lineRule="auto"/>
        <w:rPr>
          <w:rFonts w:cs="Arial"/>
          <w:color w:val="222222"/>
          <w:lang w:val="en-GB"/>
        </w:rPr>
      </w:pPr>
    </w:p>
    <w:p w14:paraId="3352BAFF" w14:textId="370FF784" w:rsidR="00400A1E" w:rsidRPr="00B3061D" w:rsidRDefault="00451842" w:rsidP="00B3061D">
      <w:pPr>
        <w:spacing w:after="0" w:line="240" w:lineRule="auto"/>
        <w:rPr>
          <w:rFonts w:eastAsia="Times New Roman" w:cs="Tahoma"/>
          <w:color w:val="000000"/>
          <w:lang w:val="en-GB" w:eastAsia="nl-NL"/>
        </w:rPr>
      </w:pPr>
      <w:r w:rsidRPr="0091482B">
        <w:rPr>
          <w:rFonts w:cs="Arial"/>
          <w:color w:val="222222"/>
          <w:lang w:val="en-GB"/>
        </w:rPr>
        <w:t xml:space="preserve">In the CBD, </w:t>
      </w:r>
      <w:r w:rsidR="0091482B" w:rsidRPr="0091482B">
        <w:rPr>
          <w:bCs/>
          <w:iCs/>
          <w:lang w:val="en-GB" w:bidi="en-US"/>
        </w:rPr>
        <w:t>Indigenous Peoples’ and Local Community Conserved Territories and Areas (</w:t>
      </w:r>
      <w:r w:rsidRPr="0091482B">
        <w:rPr>
          <w:rFonts w:cs="Arial"/>
          <w:color w:val="222222"/>
          <w:lang w:val="en-GB"/>
        </w:rPr>
        <w:t>ICCA’s</w:t>
      </w:r>
      <w:r w:rsidR="0091482B" w:rsidRPr="0091482B">
        <w:rPr>
          <w:rFonts w:cs="Arial"/>
          <w:color w:val="222222"/>
          <w:lang w:val="en-GB"/>
        </w:rPr>
        <w:t>)</w:t>
      </w:r>
      <w:r w:rsidRPr="0091482B">
        <w:rPr>
          <w:rFonts w:cs="Arial"/>
          <w:color w:val="222222"/>
          <w:lang w:val="en-GB"/>
        </w:rPr>
        <w:t xml:space="preserve"> have gained increasing acknowledgement and attention, </w:t>
      </w:r>
      <w:r w:rsidR="00572CA6">
        <w:rPr>
          <w:rFonts w:cs="Arial"/>
          <w:color w:val="222222"/>
          <w:lang w:val="en-GB"/>
        </w:rPr>
        <w:t>also due to</w:t>
      </w:r>
      <w:r w:rsidRPr="0091482B">
        <w:rPr>
          <w:rFonts w:cs="Arial"/>
          <w:color w:val="222222"/>
          <w:lang w:val="en-GB"/>
        </w:rPr>
        <w:t xml:space="preserve"> the efforts of the ICCA consortium</w:t>
      </w:r>
      <w:r w:rsidR="001F2104">
        <w:rPr>
          <w:rFonts w:cs="Arial"/>
          <w:color w:val="222222"/>
          <w:lang w:val="en-GB"/>
        </w:rPr>
        <w:t>.</w:t>
      </w:r>
      <w:r w:rsidR="00572CA6">
        <w:rPr>
          <w:rStyle w:val="FootnoteReference"/>
          <w:rFonts w:cs="Arial"/>
          <w:color w:val="222222"/>
          <w:lang w:val="en-GB"/>
        </w:rPr>
        <w:footnoteReference w:id="24"/>
      </w:r>
      <w:r w:rsidRPr="0091482B">
        <w:rPr>
          <w:rFonts w:cs="Arial"/>
          <w:color w:val="222222"/>
          <w:lang w:val="en-GB"/>
        </w:rPr>
        <w:t xml:space="preserve"> </w:t>
      </w:r>
      <w:r w:rsidR="000510E8">
        <w:rPr>
          <w:rFonts w:cs="Arial"/>
          <w:color w:val="222222"/>
          <w:lang w:val="en-GB"/>
        </w:rPr>
        <w:t xml:space="preserve">The consortium estimates that the </w:t>
      </w:r>
      <w:r w:rsidR="000510E8" w:rsidRPr="000510E8">
        <w:rPr>
          <w:lang w:val="en-GB"/>
        </w:rPr>
        <w:t xml:space="preserve">global coverage of ICCAs </w:t>
      </w:r>
      <w:r w:rsidR="000510E8">
        <w:rPr>
          <w:lang w:val="en-GB"/>
        </w:rPr>
        <w:t xml:space="preserve">is </w:t>
      </w:r>
      <w:r w:rsidR="000510E8" w:rsidRPr="000510E8">
        <w:rPr>
          <w:lang w:val="en-GB"/>
        </w:rPr>
        <w:t>about 13% of the terrestrial surface of the planet</w:t>
      </w:r>
      <w:r w:rsidR="000510E8">
        <w:rPr>
          <w:lang w:val="en-GB"/>
        </w:rPr>
        <w:t xml:space="preserve"> and that </w:t>
      </w:r>
      <w:r w:rsidR="000510E8" w:rsidRPr="000510E8">
        <w:rPr>
          <w:lang w:val="en-GB"/>
        </w:rPr>
        <w:t>400-800 million hectares of forest are owned/administered by communities</w:t>
      </w:r>
      <w:r w:rsidR="000510E8">
        <w:rPr>
          <w:lang w:val="en-GB"/>
        </w:rPr>
        <w:t xml:space="preserve"> around the globe</w:t>
      </w:r>
      <w:r w:rsidR="000510E8" w:rsidRPr="000510E8">
        <w:rPr>
          <w:rFonts w:ascii="gothic" w:hAnsi="gothic"/>
          <w:color w:val="003300"/>
          <w:lang w:val="en-GB"/>
        </w:rPr>
        <w:t>.</w:t>
      </w:r>
      <w:r w:rsidR="000510E8">
        <w:rPr>
          <w:rFonts w:ascii="gothic" w:hAnsi="gothic"/>
          <w:color w:val="003300"/>
          <w:lang w:val="en-GB"/>
        </w:rPr>
        <w:t xml:space="preserve"> </w:t>
      </w:r>
      <w:r w:rsidRPr="0091482B">
        <w:rPr>
          <w:rFonts w:cs="Arial"/>
          <w:color w:val="222222"/>
          <w:lang w:val="en-GB"/>
        </w:rPr>
        <w:t xml:space="preserve">In a recent publication, </w:t>
      </w:r>
      <w:r w:rsidR="00E102BD" w:rsidRPr="0091482B">
        <w:rPr>
          <w:rFonts w:cs="Arial"/>
          <w:color w:val="222222"/>
          <w:lang w:val="en-GB"/>
        </w:rPr>
        <w:t xml:space="preserve">to be </w:t>
      </w:r>
      <w:r w:rsidRPr="0091482B">
        <w:rPr>
          <w:rFonts w:cs="Arial"/>
          <w:color w:val="222222"/>
          <w:lang w:val="en-GB"/>
        </w:rPr>
        <w:t xml:space="preserve">launched at COP12, the consortium documents the contribution of ICCA’s to </w:t>
      </w:r>
      <w:r w:rsidR="00E102BD" w:rsidRPr="0091482B">
        <w:rPr>
          <w:rFonts w:cs="Arial"/>
          <w:color w:val="222222"/>
          <w:lang w:val="en-GB"/>
        </w:rPr>
        <w:t>each of t</w:t>
      </w:r>
      <w:r w:rsidRPr="0091482B">
        <w:rPr>
          <w:rFonts w:cs="Arial"/>
          <w:color w:val="222222"/>
          <w:lang w:val="en-GB"/>
        </w:rPr>
        <w:t>he Aichi Targets, illustrated by many local examples from all other the world.</w:t>
      </w:r>
      <w:r w:rsidRPr="0091482B">
        <w:rPr>
          <w:rStyle w:val="FootnoteReference"/>
          <w:rFonts w:cs="Arial"/>
          <w:color w:val="222222"/>
          <w:lang w:val="en-GB"/>
        </w:rPr>
        <w:footnoteReference w:id="25"/>
      </w:r>
      <w:r w:rsidRPr="0091482B">
        <w:rPr>
          <w:rFonts w:cs="Arial"/>
          <w:color w:val="222222"/>
          <w:lang w:val="en-GB"/>
        </w:rPr>
        <w:t xml:space="preserve">  </w:t>
      </w:r>
      <w:r w:rsidR="00576E53" w:rsidRPr="00B3061D">
        <w:rPr>
          <w:rFonts w:eastAsia="Times New Roman" w:cs="Tahoma"/>
          <w:color w:val="000000"/>
          <w:lang w:val="en-GB" w:eastAsia="nl-NL"/>
        </w:rPr>
        <w:t xml:space="preserve">Such conservation areas or sites </w:t>
      </w:r>
      <w:r w:rsidR="00E102BD" w:rsidRPr="00B3061D">
        <w:rPr>
          <w:rFonts w:eastAsia="Times New Roman" w:cs="Tahoma"/>
          <w:color w:val="000000"/>
          <w:lang w:val="en-GB" w:eastAsia="nl-NL"/>
        </w:rPr>
        <w:t xml:space="preserve">obviously </w:t>
      </w:r>
      <w:r w:rsidR="00576E53" w:rsidRPr="00B3061D">
        <w:rPr>
          <w:rFonts w:eastAsia="Times New Roman" w:cs="Tahoma"/>
          <w:color w:val="000000"/>
          <w:lang w:val="en-GB" w:eastAsia="nl-NL"/>
        </w:rPr>
        <w:t xml:space="preserve">contribute to the implementation of target 11, </w:t>
      </w:r>
      <w:r w:rsidR="00EA7F87" w:rsidRPr="00EA7F87">
        <w:rPr>
          <w:rFonts w:eastAsia="Times New Roman" w:cs="Tahoma"/>
          <w:color w:val="000000"/>
          <w:lang w:val="en-GB" w:eastAsia="nl-NL"/>
        </w:rPr>
        <w:t>either as protected areas, or as ‘other effective area-based conservation measures’</w:t>
      </w:r>
      <w:r w:rsidR="006773FC">
        <w:rPr>
          <w:rFonts w:eastAsia="Times New Roman" w:cs="Tahoma"/>
          <w:color w:val="000000"/>
          <w:lang w:val="en-GB" w:eastAsia="nl-NL"/>
        </w:rPr>
        <w:t xml:space="preserve">. </w:t>
      </w:r>
    </w:p>
    <w:p w14:paraId="46C6C4A3" w14:textId="77777777" w:rsidR="001F2104" w:rsidRDefault="001F2104" w:rsidP="00B3061D">
      <w:pPr>
        <w:spacing w:after="0" w:line="240" w:lineRule="auto"/>
        <w:rPr>
          <w:rFonts w:cs="Arial"/>
          <w:color w:val="222222"/>
          <w:lang w:val="en-GB"/>
        </w:rPr>
      </w:pPr>
    </w:p>
    <w:p w14:paraId="551D4807" w14:textId="069C271E" w:rsidR="00400A1E" w:rsidRDefault="001F2104" w:rsidP="00B3061D">
      <w:pPr>
        <w:spacing w:after="0" w:line="240" w:lineRule="auto"/>
        <w:rPr>
          <w:rFonts w:cs="Arial"/>
          <w:color w:val="222222"/>
          <w:lang w:val="en-GB"/>
        </w:rPr>
      </w:pPr>
      <w:r>
        <w:rPr>
          <w:rFonts w:cs="Arial"/>
          <w:color w:val="222222"/>
          <w:lang w:val="en-GB"/>
        </w:rPr>
        <w:t>C</w:t>
      </w:r>
      <w:r w:rsidRPr="00B3061D">
        <w:rPr>
          <w:rFonts w:cs="Arial"/>
          <w:color w:val="222222"/>
          <w:lang w:val="en-GB"/>
        </w:rPr>
        <w:t>ommunity-based initiatives</w:t>
      </w:r>
      <w:r>
        <w:rPr>
          <w:rFonts w:cs="Arial"/>
          <w:color w:val="222222"/>
          <w:lang w:val="en-GB"/>
        </w:rPr>
        <w:t xml:space="preserve"> </w:t>
      </w:r>
      <w:r w:rsidR="00EA7F87">
        <w:rPr>
          <w:rFonts w:cs="Arial"/>
          <w:color w:val="222222"/>
          <w:lang w:val="en-GB"/>
        </w:rPr>
        <w:t xml:space="preserve">or measures </w:t>
      </w:r>
      <w:r w:rsidRPr="00B3061D">
        <w:rPr>
          <w:rFonts w:cs="Arial"/>
          <w:color w:val="222222"/>
          <w:lang w:val="en-GB"/>
        </w:rPr>
        <w:t xml:space="preserve">to protect specific elements of ecosystems </w:t>
      </w:r>
      <w:r w:rsidR="00400A1E" w:rsidRPr="00B3061D">
        <w:rPr>
          <w:rFonts w:cs="Arial"/>
          <w:color w:val="222222"/>
          <w:lang w:val="en-GB"/>
        </w:rPr>
        <w:t xml:space="preserve">also contribute to other </w:t>
      </w:r>
      <w:r w:rsidR="001B51C0">
        <w:rPr>
          <w:rFonts w:cs="Arial"/>
          <w:color w:val="222222"/>
          <w:lang w:val="en-GB"/>
        </w:rPr>
        <w:t xml:space="preserve">Aichi </w:t>
      </w:r>
      <w:r w:rsidR="00400A1E" w:rsidRPr="00B3061D">
        <w:rPr>
          <w:rFonts w:cs="Arial"/>
          <w:color w:val="222222"/>
          <w:lang w:val="en-GB"/>
        </w:rPr>
        <w:t>targets</w:t>
      </w:r>
      <w:r w:rsidR="001B51C0">
        <w:rPr>
          <w:rFonts w:cs="Arial"/>
          <w:color w:val="222222"/>
          <w:lang w:val="en-GB"/>
        </w:rPr>
        <w:t xml:space="preserve">, such as: </w:t>
      </w:r>
    </w:p>
    <w:p w14:paraId="51584C9F" w14:textId="77777777" w:rsidR="001B51C0" w:rsidRPr="00B3061D" w:rsidRDefault="001B51C0" w:rsidP="00B3061D">
      <w:pPr>
        <w:spacing w:after="0" w:line="240" w:lineRule="auto"/>
        <w:rPr>
          <w:rFonts w:cs="Arial"/>
          <w:color w:val="222222"/>
          <w:lang w:val="en-GB"/>
        </w:rPr>
      </w:pPr>
    </w:p>
    <w:p w14:paraId="2828C419" w14:textId="77777777" w:rsidR="00596C42" w:rsidRDefault="00D67DB3" w:rsidP="00C16B9E">
      <w:pPr>
        <w:pStyle w:val="ListParagraph"/>
        <w:numPr>
          <w:ilvl w:val="0"/>
          <w:numId w:val="9"/>
        </w:numPr>
        <w:ind w:left="360"/>
        <w:rPr>
          <w:sz w:val="22"/>
          <w:szCs w:val="22"/>
          <w:lang w:val="en"/>
        </w:rPr>
      </w:pPr>
      <w:r w:rsidRPr="00F4133D">
        <w:rPr>
          <w:rFonts w:eastAsia="Times New Roman" w:cs="Tahoma"/>
          <w:color w:val="000000"/>
          <w:sz w:val="22"/>
          <w:szCs w:val="22"/>
          <w:lang w:val="en-GB" w:eastAsia="nl-NL"/>
        </w:rPr>
        <w:t>Reduce habitat loss or degradation</w:t>
      </w:r>
      <w:r w:rsidR="00525A1F" w:rsidRPr="00F4133D">
        <w:rPr>
          <w:rFonts w:eastAsia="Times New Roman" w:cs="Tahoma"/>
          <w:color w:val="000000"/>
          <w:sz w:val="22"/>
          <w:szCs w:val="22"/>
          <w:lang w:val="en-GB" w:eastAsia="nl-NL"/>
        </w:rPr>
        <w:t>, including forests</w:t>
      </w:r>
      <w:r w:rsidR="00400A1E" w:rsidRPr="00F4133D">
        <w:rPr>
          <w:rFonts w:eastAsia="Times New Roman" w:cs="Tahoma"/>
          <w:color w:val="000000"/>
          <w:sz w:val="22"/>
          <w:szCs w:val="22"/>
          <w:lang w:val="en-GB" w:eastAsia="nl-NL"/>
        </w:rPr>
        <w:t xml:space="preserve"> (target 5)</w:t>
      </w:r>
      <w:r w:rsidR="00C16B9E" w:rsidRPr="00F4133D">
        <w:rPr>
          <w:rFonts w:eastAsia="Times New Roman" w:cs="Tahoma"/>
          <w:color w:val="000000"/>
          <w:sz w:val="22"/>
          <w:szCs w:val="22"/>
          <w:lang w:val="en-GB" w:eastAsia="nl-NL"/>
        </w:rPr>
        <w:t xml:space="preserve">. </w:t>
      </w:r>
      <w:r w:rsidR="00F4133D">
        <w:rPr>
          <w:rFonts w:eastAsia="Times New Roman" w:cs="Tahoma"/>
          <w:color w:val="000000"/>
          <w:sz w:val="22"/>
          <w:szCs w:val="22"/>
          <w:lang w:val="en-GB" w:eastAsia="nl-NL"/>
        </w:rPr>
        <w:t xml:space="preserve">Customary </w:t>
      </w:r>
      <w:r w:rsidR="00F4133D" w:rsidRPr="00F4133D">
        <w:rPr>
          <w:rFonts w:eastAsia="Times New Roman" w:cs="Tahoma"/>
          <w:color w:val="000000"/>
          <w:sz w:val="22"/>
          <w:szCs w:val="22"/>
          <w:lang w:val="en-GB" w:eastAsia="nl-NL"/>
        </w:rPr>
        <w:t xml:space="preserve">management </w:t>
      </w:r>
      <w:r w:rsidR="00F4133D">
        <w:rPr>
          <w:rFonts w:eastAsia="Times New Roman" w:cs="Tahoma"/>
          <w:color w:val="000000"/>
          <w:sz w:val="22"/>
          <w:szCs w:val="22"/>
          <w:lang w:val="en-GB" w:eastAsia="nl-NL"/>
        </w:rPr>
        <w:t xml:space="preserve">systems </w:t>
      </w:r>
      <w:r w:rsidR="00F4133D" w:rsidRPr="00F4133D">
        <w:rPr>
          <w:rFonts w:eastAsia="Times New Roman" w:cs="Tahoma"/>
          <w:color w:val="000000"/>
          <w:sz w:val="22"/>
          <w:szCs w:val="22"/>
          <w:lang w:val="en-GB" w:eastAsia="nl-NL"/>
        </w:rPr>
        <w:t xml:space="preserve">(some of </w:t>
      </w:r>
      <w:r w:rsidR="00F4133D">
        <w:rPr>
          <w:rFonts w:eastAsia="Times New Roman" w:cs="Tahoma"/>
          <w:color w:val="000000"/>
          <w:sz w:val="22"/>
          <w:szCs w:val="22"/>
          <w:lang w:val="en-GB" w:eastAsia="nl-NL"/>
        </w:rPr>
        <w:t xml:space="preserve">which may include targeted conservation </w:t>
      </w:r>
      <w:r w:rsidR="00F4133D" w:rsidRPr="00F4133D">
        <w:rPr>
          <w:rFonts w:eastAsia="Times New Roman" w:cs="Tahoma"/>
          <w:color w:val="000000"/>
          <w:sz w:val="22"/>
          <w:szCs w:val="22"/>
          <w:lang w:val="en-GB" w:eastAsia="nl-NL"/>
        </w:rPr>
        <w:t>actions</w:t>
      </w:r>
      <w:r w:rsidR="00F4133D">
        <w:rPr>
          <w:rFonts w:eastAsia="Times New Roman" w:cs="Tahoma"/>
          <w:color w:val="000000"/>
          <w:sz w:val="22"/>
          <w:szCs w:val="22"/>
          <w:lang w:val="en-GB" w:eastAsia="nl-NL"/>
        </w:rPr>
        <w:t>,</w:t>
      </w:r>
      <w:r w:rsidR="00F4133D" w:rsidRPr="00F4133D">
        <w:rPr>
          <w:rFonts w:eastAsia="Times New Roman" w:cs="Tahoma"/>
          <w:color w:val="000000"/>
          <w:sz w:val="22"/>
          <w:szCs w:val="22"/>
          <w:lang w:val="en-GB" w:eastAsia="nl-NL"/>
        </w:rPr>
        <w:t xml:space="preserve"> whereas others may not) in many places lead to </w:t>
      </w:r>
      <w:r w:rsidR="00596C42">
        <w:rPr>
          <w:rFonts w:eastAsia="Times New Roman" w:cs="Tahoma"/>
          <w:color w:val="000000"/>
          <w:sz w:val="22"/>
          <w:szCs w:val="22"/>
          <w:lang w:val="en-GB" w:eastAsia="nl-NL"/>
        </w:rPr>
        <w:t>successful</w:t>
      </w:r>
      <w:r w:rsidR="00F4133D" w:rsidRPr="00F4133D">
        <w:rPr>
          <w:rFonts w:eastAsia="Times New Roman" w:cs="Tahoma"/>
          <w:color w:val="000000"/>
          <w:sz w:val="22"/>
          <w:szCs w:val="22"/>
          <w:lang w:val="en-GB" w:eastAsia="nl-NL"/>
        </w:rPr>
        <w:t xml:space="preserve"> protection of forests and other valuable habitats. </w:t>
      </w:r>
      <w:r w:rsidR="002414FE" w:rsidRPr="00F4133D">
        <w:rPr>
          <w:sz w:val="22"/>
          <w:szCs w:val="22"/>
          <w:lang w:val="en"/>
        </w:rPr>
        <w:t>Two peer-reviewed studies published recently show that strict conservation is less effective in reducing deforestation than community forests that are managed and controlled by Indigenous Peoples and forest-dependent communities within multiple use systems (e.g. IUCN categories V and VI)</w:t>
      </w:r>
      <w:r w:rsidR="001B51C0" w:rsidRPr="00F4133D">
        <w:rPr>
          <w:sz w:val="22"/>
          <w:szCs w:val="22"/>
          <w:lang w:val="en"/>
        </w:rPr>
        <w:t>.</w:t>
      </w:r>
      <w:r w:rsidR="00C16B9E" w:rsidRPr="00F4133D">
        <w:rPr>
          <w:sz w:val="22"/>
          <w:szCs w:val="22"/>
          <w:lang w:val="en"/>
        </w:rPr>
        <w:t xml:space="preserve"> </w:t>
      </w:r>
    </w:p>
    <w:p w14:paraId="6196B04D" w14:textId="77777777" w:rsidR="00FC294B" w:rsidRDefault="00FC294B" w:rsidP="00FC294B">
      <w:pPr>
        <w:rPr>
          <w:lang w:val="en"/>
        </w:rPr>
      </w:pPr>
    </w:p>
    <w:p w14:paraId="1426100E" w14:textId="77777777" w:rsidR="008475E5" w:rsidRPr="00FC294B" w:rsidRDefault="008475E5" w:rsidP="00FC294B">
      <w:pPr>
        <w:rPr>
          <w:lang w:val="en"/>
        </w:rPr>
      </w:pPr>
    </w:p>
    <w:p w14:paraId="180175D3" w14:textId="77777777" w:rsidR="00596C42" w:rsidRDefault="00596C42" w:rsidP="00596C42">
      <w:pPr>
        <w:pStyle w:val="ListParagraph"/>
        <w:ind w:left="360"/>
        <w:rPr>
          <w:sz w:val="22"/>
          <w:szCs w:val="22"/>
          <w:lang w:val="en"/>
        </w:rPr>
      </w:pPr>
    </w:p>
    <w:p w14:paraId="69C58E97" w14:textId="461F87B0" w:rsidR="00596C42" w:rsidRDefault="00596C42" w:rsidP="00596C42">
      <w:pPr>
        <w:pStyle w:val="ListParagraph"/>
        <w:pBdr>
          <w:top w:val="single" w:sz="4" w:space="1" w:color="auto"/>
          <w:left w:val="single" w:sz="4" w:space="4" w:color="auto"/>
          <w:bottom w:val="single" w:sz="4" w:space="1" w:color="auto"/>
          <w:right w:val="single" w:sz="4" w:space="4" w:color="auto"/>
        </w:pBdr>
        <w:ind w:left="360"/>
        <w:rPr>
          <w:sz w:val="22"/>
          <w:szCs w:val="22"/>
          <w:lang w:val="en"/>
        </w:rPr>
      </w:pPr>
      <w:r>
        <w:rPr>
          <w:sz w:val="22"/>
          <w:szCs w:val="22"/>
          <w:lang w:val="en"/>
        </w:rPr>
        <w:lastRenderedPageBreak/>
        <w:t>Box: recent studies on community-managed forest and deforestation rates</w:t>
      </w:r>
    </w:p>
    <w:p w14:paraId="42A53245" w14:textId="77777777" w:rsidR="00596C42" w:rsidRDefault="00596C42" w:rsidP="00596C42">
      <w:pPr>
        <w:pStyle w:val="ListParagraph"/>
        <w:pBdr>
          <w:top w:val="single" w:sz="4" w:space="1" w:color="auto"/>
          <w:left w:val="single" w:sz="4" w:space="4" w:color="auto"/>
          <w:bottom w:val="single" w:sz="4" w:space="1" w:color="auto"/>
          <w:right w:val="single" w:sz="4" w:space="4" w:color="auto"/>
        </w:pBdr>
        <w:ind w:left="360"/>
        <w:rPr>
          <w:sz w:val="22"/>
          <w:szCs w:val="22"/>
          <w:lang w:val="en"/>
        </w:rPr>
      </w:pPr>
    </w:p>
    <w:p w14:paraId="48992744" w14:textId="3EF7B89E" w:rsidR="002414FE" w:rsidRPr="00596C42" w:rsidRDefault="002414FE" w:rsidP="00596C42">
      <w:pPr>
        <w:pStyle w:val="ListParagraph"/>
        <w:pBdr>
          <w:top w:val="single" w:sz="4" w:space="1" w:color="auto"/>
          <w:left w:val="single" w:sz="4" w:space="4" w:color="auto"/>
          <w:bottom w:val="single" w:sz="4" w:space="1" w:color="auto"/>
          <w:right w:val="single" w:sz="4" w:space="4" w:color="auto"/>
        </w:pBdr>
        <w:ind w:left="360"/>
        <w:rPr>
          <w:sz w:val="20"/>
          <w:szCs w:val="20"/>
          <w:lang w:val="en"/>
        </w:rPr>
      </w:pPr>
      <w:r w:rsidRPr="00596C42">
        <w:rPr>
          <w:sz w:val="20"/>
          <w:szCs w:val="20"/>
          <w:lang w:val="en"/>
        </w:rPr>
        <w:t xml:space="preserve">One study, </w:t>
      </w:r>
      <w:r w:rsidR="006F5484">
        <w:fldChar w:fldCharType="begin"/>
      </w:r>
      <w:r w:rsidR="006F5484">
        <w:instrText xml:space="preserve"> HYPERLINK "http://www.cifor.org/mediamultimedia/newsroom/press-releases/press-releases-detail-view/article/238/deforestation-much-higher-in-protected-areas-than-forests-run-by-local-communities.html" \t "_blank" </w:instrText>
      </w:r>
      <w:r w:rsidR="006F5484">
        <w:fldChar w:fldCharType="separate"/>
      </w:r>
      <w:r w:rsidRPr="00596C42">
        <w:rPr>
          <w:rStyle w:val="Hyperlink"/>
          <w:color w:val="auto"/>
          <w:sz w:val="20"/>
          <w:szCs w:val="20"/>
          <w:lang w:val="en"/>
        </w:rPr>
        <w:t>by Porter-Bolland et al. from CIFOR</w:t>
      </w:r>
      <w:r w:rsidR="006F5484">
        <w:rPr>
          <w:rStyle w:val="Hyperlink"/>
          <w:color w:val="auto"/>
          <w:sz w:val="20"/>
          <w:szCs w:val="20"/>
          <w:lang w:val="en"/>
        </w:rPr>
        <w:fldChar w:fldCharType="end"/>
      </w:r>
      <w:r w:rsidRPr="00596C42">
        <w:rPr>
          <w:sz w:val="20"/>
          <w:szCs w:val="20"/>
          <w:lang w:val="en"/>
        </w:rPr>
        <w:t>, is a statistical analysis of annual deforestation rates as reported in 73 case studies conducted in the tropics. They find that deforestation is significantly lower in community-managed forests than in strict protected forests.</w:t>
      </w:r>
      <w:r w:rsidR="00C16B9E" w:rsidRPr="00596C42">
        <w:rPr>
          <w:sz w:val="20"/>
          <w:szCs w:val="20"/>
          <w:lang w:val="en"/>
        </w:rPr>
        <w:t xml:space="preserve"> </w:t>
      </w:r>
      <w:r w:rsidRPr="00596C42">
        <w:rPr>
          <w:sz w:val="20"/>
          <w:szCs w:val="20"/>
          <w:lang w:val="en"/>
        </w:rPr>
        <w:t xml:space="preserve">The other </w:t>
      </w:r>
      <w:r w:rsidR="006F5484">
        <w:fldChar w:fldCharType="begin"/>
      </w:r>
      <w:r w:rsidR="006F5484">
        <w:instrText xml:space="preserve"> HYPERLINK "http://www.plosone.org/article/info%3Adoi%2F10.1371%2Fjournal.pone.0022722" \t "_blank" </w:instrText>
      </w:r>
      <w:r w:rsidR="006F5484">
        <w:fldChar w:fldCharType="separate"/>
      </w:r>
      <w:r w:rsidRPr="00596C42">
        <w:rPr>
          <w:rStyle w:val="Hyperlink"/>
          <w:color w:val="auto"/>
          <w:sz w:val="20"/>
          <w:szCs w:val="20"/>
          <w:lang w:val="en"/>
        </w:rPr>
        <w:t>study on forest loss undertaken by the World Bank Independent Evaluation Group</w:t>
      </w:r>
      <w:r w:rsidR="006F5484">
        <w:rPr>
          <w:rStyle w:val="Hyperlink"/>
          <w:color w:val="auto"/>
          <w:sz w:val="20"/>
          <w:szCs w:val="20"/>
          <w:lang w:val="en"/>
        </w:rPr>
        <w:fldChar w:fldCharType="end"/>
      </w:r>
      <w:r w:rsidRPr="00596C42">
        <w:rPr>
          <w:sz w:val="20"/>
          <w:szCs w:val="20"/>
          <w:lang w:val="en"/>
        </w:rPr>
        <w:t xml:space="preserve"> (authored by Nelson and Chomitz) finds that some community-managed forests are located in areas with higher deforestation pressures than strict protected areas. Taking this into account, they find that community-managed forests are much more effective in reducing deforestation than strict protected areas. Where there is data, they find that forest areas managed and controlled by Indigenous Peoples are even more effective.</w:t>
      </w:r>
      <w:r w:rsidR="001B51C0" w:rsidRPr="00596C42">
        <w:rPr>
          <w:rStyle w:val="FootnoteReference"/>
          <w:sz w:val="20"/>
          <w:szCs w:val="20"/>
          <w:lang w:val="en"/>
        </w:rPr>
        <w:footnoteReference w:id="26"/>
      </w:r>
    </w:p>
    <w:p w14:paraId="1B02289A" w14:textId="77777777" w:rsidR="002414FE" w:rsidRPr="001B51C0" w:rsidRDefault="002414FE" w:rsidP="00596C42">
      <w:pPr>
        <w:pBdr>
          <w:top w:val="single" w:sz="4" w:space="1" w:color="auto"/>
          <w:left w:val="single" w:sz="4" w:space="4" w:color="auto"/>
          <w:bottom w:val="single" w:sz="4" w:space="1" w:color="auto"/>
          <w:right w:val="single" w:sz="4" w:space="4" w:color="auto"/>
        </w:pBdr>
        <w:spacing w:after="0" w:line="240" w:lineRule="auto"/>
        <w:ind w:left="360"/>
        <w:rPr>
          <w:rFonts w:eastAsia="Times New Roman" w:cs="Tahoma"/>
          <w:color w:val="000000"/>
          <w:lang w:val="en" w:eastAsia="nl-NL"/>
        </w:rPr>
      </w:pPr>
    </w:p>
    <w:p w14:paraId="3927A9BA" w14:textId="77777777" w:rsidR="000464FE" w:rsidRDefault="000464FE" w:rsidP="000464FE">
      <w:pPr>
        <w:pStyle w:val="ListParagraph"/>
        <w:ind w:left="360"/>
        <w:rPr>
          <w:rFonts w:eastAsia="Times New Roman" w:cs="Tahoma"/>
          <w:color w:val="000000"/>
          <w:sz w:val="22"/>
          <w:szCs w:val="22"/>
          <w:lang w:val="en-GB" w:eastAsia="nl-NL"/>
        </w:rPr>
      </w:pPr>
    </w:p>
    <w:p w14:paraId="6863C6FF" w14:textId="3A187B4E" w:rsidR="00D67DB3" w:rsidRPr="00B3061D" w:rsidRDefault="00D67DB3" w:rsidP="00626832">
      <w:pPr>
        <w:pStyle w:val="ListParagraph"/>
        <w:numPr>
          <w:ilvl w:val="1"/>
          <w:numId w:val="6"/>
        </w:numPr>
        <w:ind w:left="360"/>
        <w:rPr>
          <w:rFonts w:eastAsia="Times New Roman" w:cs="Tahoma"/>
          <w:color w:val="000000"/>
          <w:sz w:val="22"/>
          <w:szCs w:val="22"/>
          <w:lang w:val="en-GB" w:eastAsia="nl-NL"/>
        </w:rPr>
      </w:pPr>
      <w:r w:rsidRPr="00B3061D">
        <w:rPr>
          <w:rFonts w:eastAsia="Times New Roman" w:cs="Tahoma"/>
          <w:color w:val="000000"/>
          <w:sz w:val="22"/>
          <w:szCs w:val="22"/>
          <w:lang w:val="en-GB" w:eastAsia="nl-NL"/>
        </w:rPr>
        <w:t>Sustain threatened species (Target 12)</w:t>
      </w:r>
      <w:r w:rsidR="00AF50EB">
        <w:rPr>
          <w:rFonts w:eastAsia="Times New Roman" w:cs="Tahoma"/>
          <w:color w:val="000000"/>
          <w:sz w:val="22"/>
          <w:szCs w:val="22"/>
          <w:lang w:val="en-GB" w:eastAsia="nl-NL"/>
        </w:rPr>
        <w:t xml:space="preserve">: community conservation initiatives or sites contribute to the protection of </w:t>
      </w:r>
      <w:r w:rsidR="00AF50EB" w:rsidRPr="00AF50EB">
        <w:rPr>
          <w:rStyle w:val="Strong"/>
          <w:b w:val="0"/>
          <w:sz w:val="22"/>
          <w:szCs w:val="22"/>
        </w:rPr>
        <w:t>critical ecosystems and threatened species</w:t>
      </w:r>
      <w:r w:rsidR="00AF50EB">
        <w:rPr>
          <w:rStyle w:val="Strong"/>
          <w:b w:val="0"/>
          <w:sz w:val="22"/>
          <w:szCs w:val="22"/>
        </w:rPr>
        <w:t xml:space="preserve">. </w:t>
      </w:r>
      <w:r w:rsidR="00B64576">
        <w:rPr>
          <w:rStyle w:val="Strong"/>
          <w:b w:val="0"/>
          <w:sz w:val="22"/>
          <w:szCs w:val="22"/>
        </w:rPr>
        <w:t xml:space="preserve">Some of these species overlap with species that are considered ‘sacred’ by indigenous peoples. </w:t>
      </w:r>
      <w:r w:rsidR="00AF50EB" w:rsidRPr="00AF50EB">
        <w:rPr>
          <w:sz w:val="22"/>
          <w:szCs w:val="22"/>
        </w:rPr>
        <w:t xml:space="preserve"> </w:t>
      </w:r>
      <w:r w:rsidR="006D2A7C" w:rsidRPr="00B3061D">
        <w:rPr>
          <w:rFonts w:eastAsia="Times New Roman" w:cs="Tahoma"/>
          <w:color w:val="000000"/>
          <w:sz w:val="22"/>
          <w:szCs w:val="22"/>
          <w:lang w:val="en-GB" w:eastAsia="nl-NL"/>
        </w:rPr>
        <w:t xml:space="preserve"> (</w:t>
      </w:r>
      <w:proofErr w:type="gramStart"/>
      <w:r w:rsidR="005803F0" w:rsidRPr="005803F0">
        <w:rPr>
          <w:rFonts w:eastAsia="Times New Roman" w:cs="Tahoma"/>
          <w:color w:val="000000"/>
          <w:sz w:val="22"/>
          <w:szCs w:val="22"/>
          <w:highlight w:val="yellow"/>
          <w:lang w:val="en-GB" w:eastAsia="nl-NL"/>
        </w:rPr>
        <w:t>example</w:t>
      </w:r>
      <w:proofErr w:type="gramEnd"/>
      <w:r w:rsidR="005803F0" w:rsidRPr="005803F0">
        <w:rPr>
          <w:rFonts w:eastAsia="Times New Roman" w:cs="Tahoma"/>
          <w:color w:val="000000"/>
          <w:sz w:val="22"/>
          <w:szCs w:val="22"/>
          <w:highlight w:val="yellow"/>
          <w:lang w:val="en-GB" w:eastAsia="nl-NL"/>
        </w:rPr>
        <w:t>: r</w:t>
      </w:r>
      <w:r w:rsidR="006D2A7C" w:rsidRPr="005803F0">
        <w:rPr>
          <w:rFonts w:eastAsia="Times New Roman" w:cs="Tahoma"/>
          <w:color w:val="000000"/>
          <w:sz w:val="22"/>
          <w:szCs w:val="22"/>
          <w:highlight w:val="yellow"/>
          <w:lang w:val="en-GB" w:eastAsia="nl-NL"/>
        </w:rPr>
        <w:t>ed Siskin Birds Guyana</w:t>
      </w:r>
      <w:r w:rsidR="005803F0" w:rsidRPr="005803F0">
        <w:rPr>
          <w:rFonts w:eastAsia="Times New Roman" w:cs="Tahoma"/>
          <w:color w:val="000000"/>
          <w:sz w:val="22"/>
          <w:szCs w:val="22"/>
          <w:highlight w:val="yellow"/>
          <w:lang w:val="en-GB" w:eastAsia="nl-NL"/>
        </w:rPr>
        <w:t xml:space="preserve"> – look up details</w:t>
      </w:r>
      <w:r w:rsidR="006D2A7C" w:rsidRPr="00B3061D">
        <w:rPr>
          <w:rFonts w:eastAsia="Times New Roman" w:cs="Tahoma"/>
          <w:color w:val="000000"/>
          <w:sz w:val="22"/>
          <w:szCs w:val="22"/>
          <w:lang w:val="en-GB" w:eastAsia="nl-NL"/>
        </w:rPr>
        <w:t>)</w:t>
      </w:r>
    </w:p>
    <w:p w14:paraId="122293F7" w14:textId="33E217B3" w:rsidR="00B52208" w:rsidRPr="00B3061D" w:rsidRDefault="00B52208" w:rsidP="00626832">
      <w:pPr>
        <w:pStyle w:val="ListParagraph"/>
        <w:numPr>
          <w:ilvl w:val="1"/>
          <w:numId w:val="6"/>
        </w:numPr>
        <w:ind w:left="360"/>
        <w:rPr>
          <w:rFonts w:eastAsia="Times New Roman" w:cs="Tahoma"/>
          <w:color w:val="000000"/>
          <w:sz w:val="22"/>
          <w:szCs w:val="22"/>
          <w:lang w:val="en-GB" w:eastAsia="nl-NL"/>
        </w:rPr>
      </w:pPr>
      <w:r w:rsidRPr="00B3061D">
        <w:rPr>
          <w:rFonts w:eastAsia="Times New Roman" w:cs="Tahoma"/>
          <w:color w:val="000000"/>
          <w:sz w:val="22"/>
          <w:szCs w:val="22"/>
          <w:lang w:val="en-GB" w:eastAsia="nl-NL"/>
        </w:rPr>
        <w:t>Target 9: controlling invasive species</w:t>
      </w:r>
      <w:r w:rsidR="006D2A7C" w:rsidRPr="00B3061D">
        <w:rPr>
          <w:rFonts w:eastAsia="Times New Roman" w:cs="Tahoma"/>
          <w:color w:val="000000"/>
          <w:sz w:val="22"/>
          <w:szCs w:val="22"/>
          <w:lang w:val="en-GB" w:eastAsia="nl-NL"/>
        </w:rPr>
        <w:t xml:space="preserve"> – </w:t>
      </w:r>
      <w:r w:rsidR="006B11C6">
        <w:rPr>
          <w:rFonts w:eastAsia="Times New Roman" w:cs="Tahoma"/>
          <w:color w:val="000000"/>
          <w:sz w:val="22"/>
          <w:szCs w:val="22"/>
          <w:lang w:val="en-GB" w:eastAsia="nl-NL"/>
        </w:rPr>
        <w:t>There are community who are actively monitoring and controlling invasive species in their territories: s</w:t>
      </w:r>
      <w:r w:rsidR="006D2A7C" w:rsidRPr="00B3061D">
        <w:rPr>
          <w:rFonts w:eastAsia="Times New Roman" w:cs="Tahoma"/>
          <w:color w:val="000000"/>
          <w:sz w:val="22"/>
          <w:szCs w:val="22"/>
          <w:lang w:val="en-GB" w:eastAsia="nl-NL"/>
        </w:rPr>
        <w:t xml:space="preserve">ee </w:t>
      </w:r>
      <w:r w:rsidR="006B11C6">
        <w:rPr>
          <w:rFonts w:eastAsia="Times New Roman" w:cs="Tahoma"/>
          <w:color w:val="000000"/>
          <w:sz w:val="22"/>
          <w:szCs w:val="22"/>
          <w:lang w:val="en-GB" w:eastAsia="nl-NL"/>
        </w:rPr>
        <w:t xml:space="preserve">the </w:t>
      </w:r>
      <w:proofErr w:type="spellStart"/>
      <w:r w:rsidR="005803F0">
        <w:rPr>
          <w:rFonts w:eastAsia="Times New Roman" w:cs="Tahoma"/>
          <w:color w:val="000000"/>
          <w:sz w:val="22"/>
          <w:szCs w:val="22"/>
          <w:lang w:val="en-GB" w:eastAsia="nl-NL"/>
        </w:rPr>
        <w:t>Hgati</w:t>
      </w:r>
      <w:proofErr w:type="spellEnd"/>
      <w:r w:rsidR="006D2A7C" w:rsidRPr="00B3061D">
        <w:rPr>
          <w:rFonts w:eastAsia="Times New Roman" w:cs="Tahoma"/>
          <w:color w:val="000000"/>
          <w:sz w:val="22"/>
          <w:szCs w:val="22"/>
          <w:lang w:val="en-GB" w:eastAsia="nl-NL"/>
        </w:rPr>
        <w:t xml:space="preserve"> Hine</w:t>
      </w:r>
      <w:r w:rsidR="005803F0">
        <w:rPr>
          <w:rFonts w:eastAsia="Times New Roman" w:cs="Tahoma"/>
          <w:color w:val="000000"/>
          <w:sz w:val="22"/>
          <w:szCs w:val="22"/>
          <w:lang w:val="en-GB" w:eastAsia="nl-NL"/>
        </w:rPr>
        <w:t xml:space="preserve"> case</w:t>
      </w:r>
      <w:r w:rsidR="006B11C6">
        <w:rPr>
          <w:rFonts w:eastAsia="Times New Roman" w:cs="Tahoma"/>
          <w:color w:val="000000"/>
          <w:sz w:val="22"/>
          <w:szCs w:val="22"/>
          <w:lang w:val="en-GB" w:eastAsia="nl-NL"/>
        </w:rPr>
        <w:t xml:space="preserve"> (</w:t>
      </w:r>
      <w:proofErr w:type="spellStart"/>
      <w:r w:rsidR="006B11C6">
        <w:rPr>
          <w:rFonts w:eastAsia="Times New Roman" w:cs="Tahoma"/>
          <w:color w:val="000000"/>
          <w:sz w:val="22"/>
          <w:szCs w:val="22"/>
          <w:lang w:val="en-GB" w:eastAsia="nl-NL"/>
        </w:rPr>
        <w:t>Aotearoa</w:t>
      </w:r>
      <w:proofErr w:type="spellEnd"/>
      <w:r w:rsidR="006B11C6">
        <w:rPr>
          <w:rFonts w:eastAsia="Times New Roman" w:cs="Tahoma"/>
          <w:color w:val="000000"/>
          <w:sz w:val="22"/>
          <w:szCs w:val="22"/>
          <w:lang w:val="en-GB" w:eastAsia="nl-NL"/>
        </w:rPr>
        <w:t>/New Zealand)</w:t>
      </w:r>
      <w:r w:rsidR="005803F0">
        <w:rPr>
          <w:rFonts w:eastAsia="Times New Roman" w:cs="Tahoma"/>
          <w:color w:val="000000"/>
          <w:sz w:val="22"/>
          <w:szCs w:val="22"/>
          <w:lang w:val="en-GB" w:eastAsia="nl-NL"/>
        </w:rPr>
        <w:t xml:space="preserve"> on page 4-5. </w:t>
      </w:r>
    </w:p>
    <w:p w14:paraId="5FF9ABD7" w14:textId="60770E07" w:rsidR="002C727B" w:rsidRPr="00B3061D" w:rsidRDefault="002C727B" w:rsidP="00626832">
      <w:pPr>
        <w:pStyle w:val="ListParagraph"/>
        <w:numPr>
          <w:ilvl w:val="1"/>
          <w:numId w:val="6"/>
        </w:numPr>
        <w:ind w:left="360"/>
        <w:rPr>
          <w:rFonts w:eastAsia="Times New Roman" w:cs="Tahoma"/>
          <w:color w:val="000000"/>
          <w:sz w:val="22"/>
          <w:szCs w:val="22"/>
          <w:lang w:val="en-GB" w:eastAsia="nl-NL"/>
        </w:rPr>
      </w:pPr>
      <w:r w:rsidRPr="00B3061D">
        <w:rPr>
          <w:rFonts w:eastAsia="Times New Roman" w:cs="Tahoma"/>
          <w:color w:val="000000"/>
          <w:sz w:val="22"/>
          <w:szCs w:val="22"/>
          <w:lang w:val="en-GB" w:eastAsia="nl-NL"/>
        </w:rPr>
        <w:t>Target 14: safeguard ecosystems that provide essential ecosystem services</w:t>
      </w:r>
      <w:r w:rsidR="0009066B">
        <w:rPr>
          <w:rFonts w:eastAsia="Times New Roman" w:cs="Tahoma"/>
          <w:color w:val="000000"/>
          <w:sz w:val="22"/>
          <w:szCs w:val="22"/>
          <w:lang w:val="en-GB" w:eastAsia="nl-NL"/>
        </w:rPr>
        <w:t xml:space="preserve">: </w:t>
      </w:r>
      <w:r w:rsidR="00256DEF">
        <w:rPr>
          <w:rFonts w:eastAsia="Times New Roman" w:cs="Tahoma"/>
          <w:color w:val="000000"/>
          <w:sz w:val="22"/>
          <w:szCs w:val="22"/>
          <w:lang w:val="en-GB" w:eastAsia="nl-NL"/>
        </w:rPr>
        <w:t xml:space="preserve">collective </w:t>
      </w:r>
      <w:r w:rsidR="0009066B">
        <w:rPr>
          <w:rFonts w:eastAsia="Times New Roman" w:cs="Tahoma"/>
          <w:color w:val="000000"/>
          <w:sz w:val="22"/>
          <w:szCs w:val="22"/>
          <w:lang w:val="en-GB" w:eastAsia="nl-NL"/>
        </w:rPr>
        <w:t>community actions to conserve key areas and resources in their territories help</w:t>
      </w:r>
      <w:r w:rsidRPr="00B3061D">
        <w:rPr>
          <w:rFonts w:eastAsia="Times New Roman" w:cs="Tahoma"/>
          <w:color w:val="000000"/>
          <w:sz w:val="22"/>
          <w:szCs w:val="22"/>
          <w:lang w:val="en-GB" w:eastAsia="nl-NL"/>
        </w:rPr>
        <w:t xml:space="preserve"> </w:t>
      </w:r>
      <w:r w:rsidR="00AF50EB" w:rsidRPr="00AF50EB">
        <w:rPr>
          <w:sz w:val="22"/>
          <w:szCs w:val="22"/>
        </w:rPr>
        <w:t>to maintain essential ecosystem functions (e.g. water security</w:t>
      </w:r>
      <w:r w:rsidR="0009066B">
        <w:rPr>
          <w:sz w:val="22"/>
          <w:szCs w:val="22"/>
        </w:rPr>
        <w:t xml:space="preserve"> in the example from Thailand above). </w:t>
      </w:r>
    </w:p>
    <w:p w14:paraId="56D60A50" w14:textId="52620838" w:rsidR="00D67DB3" w:rsidRPr="00B3061D" w:rsidRDefault="00256DEF" w:rsidP="001B51C0">
      <w:pPr>
        <w:pStyle w:val="ListParagraph"/>
        <w:ind w:left="360"/>
        <w:rPr>
          <w:rFonts w:eastAsia="Times New Roman" w:cs="Tahoma"/>
          <w:color w:val="000000"/>
          <w:sz w:val="22"/>
          <w:szCs w:val="22"/>
          <w:lang w:val="en-GB" w:eastAsia="nl-NL"/>
        </w:rPr>
      </w:pPr>
      <w:r>
        <w:rPr>
          <w:rFonts w:eastAsia="Times New Roman" w:cs="Tahoma"/>
          <w:color w:val="000000"/>
          <w:sz w:val="22"/>
          <w:szCs w:val="22"/>
          <w:lang w:val="en-GB" w:eastAsia="nl-NL"/>
        </w:rPr>
        <w:t xml:space="preserve"> </w:t>
      </w:r>
    </w:p>
    <w:p w14:paraId="14DBAF26" w14:textId="15E238D8" w:rsidR="00D67DB3" w:rsidRPr="00B3061D" w:rsidRDefault="00400A1E" w:rsidP="00B3061D">
      <w:pPr>
        <w:spacing w:after="0" w:line="240" w:lineRule="auto"/>
        <w:rPr>
          <w:rFonts w:cs="Arial"/>
          <w:color w:val="222222"/>
          <w:lang w:val="en-GB"/>
        </w:rPr>
      </w:pPr>
      <w:r w:rsidRPr="00B3061D">
        <w:rPr>
          <w:rFonts w:cs="Arial"/>
          <w:color w:val="222222"/>
          <w:lang w:val="en-GB"/>
        </w:rPr>
        <w:t xml:space="preserve">Community-based monitoring plays an important role in this, as regular monitoring of the status and health of key species and areas contributes to early signalling </w:t>
      </w:r>
      <w:r w:rsidR="00256DEF">
        <w:rPr>
          <w:rFonts w:cs="Arial"/>
          <w:color w:val="222222"/>
          <w:lang w:val="en-GB"/>
        </w:rPr>
        <w:t xml:space="preserve">of </w:t>
      </w:r>
      <w:r w:rsidRPr="00B3061D">
        <w:rPr>
          <w:rFonts w:cs="Arial"/>
          <w:color w:val="222222"/>
          <w:lang w:val="en-GB"/>
        </w:rPr>
        <w:t>changes of problems/ threats and tackling these. Again, deep knowledge of ecosystems</w:t>
      </w:r>
      <w:r w:rsidR="00BE2D32" w:rsidRPr="00B3061D">
        <w:rPr>
          <w:rFonts w:cs="Arial"/>
          <w:color w:val="222222"/>
          <w:lang w:val="en-GB"/>
        </w:rPr>
        <w:t xml:space="preserve"> and the interactions in it</w:t>
      </w:r>
      <w:r w:rsidR="00A17D74" w:rsidRPr="00B3061D">
        <w:rPr>
          <w:rFonts w:cs="Arial"/>
          <w:color w:val="222222"/>
          <w:lang w:val="en-GB"/>
        </w:rPr>
        <w:t xml:space="preserve"> (target 18)</w:t>
      </w:r>
      <w:r w:rsidR="00BE2D32" w:rsidRPr="00B3061D">
        <w:rPr>
          <w:rFonts w:cs="Arial"/>
          <w:color w:val="222222"/>
          <w:lang w:val="en-GB"/>
        </w:rPr>
        <w:t xml:space="preserve"> </w:t>
      </w:r>
      <w:proofErr w:type="gramStart"/>
      <w:r w:rsidR="00BE2D32" w:rsidRPr="00B3061D">
        <w:rPr>
          <w:rFonts w:cs="Arial"/>
          <w:color w:val="222222"/>
          <w:lang w:val="en-GB"/>
        </w:rPr>
        <w:t>lay</w:t>
      </w:r>
      <w:proofErr w:type="gramEnd"/>
      <w:r w:rsidR="00BE2D32" w:rsidRPr="00B3061D">
        <w:rPr>
          <w:rFonts w:cs="Arial"/>
          <w:color w:val="222222"/>
          <w:lang w:val="en-GB"/>
        </w:rPr>
        <w:t xml:space="preserve"> the basis for this type of action-based research. </w:t>
      </w:r>
      <w:proofErr w:type="gramStart"/>
      <w:r w:rsidR="005803F0">
        <w:rPr>
          <w:rFonts w:cs="Arial"/>
          <w:color w:val="222222"/>
          <w:lang w:val="en-GB"/>
        </w:rPr>
        <w:t>More on community-based monitoring in section 5.</w:t>
      </w:r>
      <w:proofErr w:type="gramEnd"/>
      <w:r w:rsidR="005803F0">
        <w:rPr>
          <w:rFonts w:cs="Arial"/>
          <w:color w:val="222222"/>
          <w:lang w:val="en-GB"/>
        </w:rPr>
        <w:t xml:space="preserve"> </w:t>
      </w:r>
    </w:p>
    <w:p w14:paraId="5C09CD44" w14:textId="77777777" w:rsidR="009612C0" w:rsidRPr="00B3061D" w:rsidRDefault="009612C0" w:rsidP="00B3061D">
      <w:pPr>
        <w:pStyle w:val="ListParagraph"/>
        <w:ind w:left="0"/>
        <w:rPr>
          <w:rFonts w:eastAsia="Times New Roman" w:cs="Tahoma"/>
          <w:color w:val="000000"/>
          <w:sz w:val="22"/>
          <w:szCs w:val="22"/>
          <w:lang w:val="en-GB" w:eastAsia="nl-NL"/>
        </w:rPr>
      </w:pPr>
    </w:p>
    <w:p w14:paraId="6E590F7A" w14:textId="6CF027ED" w:rsidR="005174A5" w:rsidRPr="00B3061D" w:rsidRDefault="005174A5" w:rsidP="00626832">
      <w:pPr>
        <w:pStyle w:val="ListParagraph"/>
        <w:numPr>
          <w:ilvl w:val="1"/>
          <w:numId w:val="3"/>
        </w:numPr>
        <w:ind w:left="0"/>
        <w:rPr>
          <w:rFonts w:eastAsia="Times New Roman" w:cs="Tahoma"/>
          <w:b/>
          <w:color w:val="000000"/>
          <w:sz w:val="22"/>
          <w:szCs w:val="22"/>
          <w:lang w:val="en-GB" w:eastAsia="nl-NL"/>
        </w:rPr>
      </w:pPr>
      <w:r w:rsidRPr="00B3061D">
        <w:rPr>
          <w:rFonts w:eastAsia="Times New Roman" w:cs="Tahoma"/>
          <w:b/>
          <w:color w:val="000000"/>
          <w:sz w:val="22"/>
          <w:szCs w:val="22"/>
          <w:lang w:val="en-GB" w:eastAsia="nl-NL"/>
        </w:rPr>
        <w:t>Sustainable production, consumption</w:t>
      </w:r>
      <w:r w:rsidR="000C75A3" w:rsidRPr="00B3061D">
        <w:rPr>
          <w:rFonts w:eastAsia="Times New Roman" w:cs="Tahoma"/>
          <w:b/>
          <w:color w:val="000000"/>
          <w:sz w:val="22"/>
          <w:szCs w:val="22"/>
          <w:lang w:val="en-GB" w:eastAsia="nl-NL"/>
        </w:rPr>
        <w:t>, genetic diversity of cultivated pants and domesticated animals</w:t>
      </w:r>
    </w:p>
    <w:p w14:paraId="1CD834E5" w14:textId="77777777" w:rsidR="009612C0" w:rsidRPr="00B3061D" w:rsidRDefault="009612C0" w:rsidP="00B3061D">
      <w:pPr>
        <w:spacing w:after="0" w:line="240" w:lineRule="auto"/>
        <w:rPr>
          <w:rFonts w:eastAsia="Times New Roman" w:cs="Tahoma"/>
          <w:b/>
          <w:color w:val="000000"/>
          <w:lang w:val="en-GB" w:eastAsia="nl-NL"/>
        </w:rPr>
      </w:pPr>
    </w:p>
    <w:p w14:paraId="3C677336" w14:textId="5C82B50C" w:rsidR="002C727B" w:rsidRPr="00B3061D" w:rsidRDefault="00A17D74"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 xml:space="preserve">Many indigenous peoples and local communities rely on their natural resources for their livelihoods. </w:t>
      </w:r>
      <w:r w:rsidR="002C727B" w:rsidRPr="00B3061D">
        <w:rPr>
          <w:rFonts w:eastAsia="Times New Roman" w:cs="Tahoma"/>
          <w:color w:val="000000"/>
          <w:lang w:val="en-GB" w:eastAsia="nl-NL"/>
        </w:rPr>
        <w:t>Their knowledge and practices (</w:t>
      </w:r>
      <w:r w:rsidR="003D7B40">
        <w:rPr>
          <w:rFonts w:eastAsia="Times New Roman" w:cs="Tahoma"/>
          <w:color w:val="000000"/>
          <w:lang w:val="en-GB" w:eastAsia="nl-NL"/>
        </w:rPr>
        <w:t xml:space="preserve">including </w:t>
      </w:r>
      <w:r w:rsidR="002C727B" w:rsidRPr="00B3061D">
        <w:rPr>
          <w:rFonts w:eastAsia="Times New Roman" w:cs="Tahoma"/>
          <w:color w:val="000000"/>
          <w:lang w:val="en-GB" w:eastAsia="nl-NL"/>
        </w:rPr>
        <w:t>traditional occupations) concerning food production is relevant for many other Targets.</w:t>
      </w:r>
    </w:p>
    <w:p w14:paraId="15AA2E6A" w14:textId="77777777" w:rsidR="00083D4A" w:rsidRPr="00B3061D" w:rsidRDefault="00083D4A" w:rsidP="00B3061D">
      <w:pPr>
        <w:spacing w:after="0" w:line="240" w:lineRule="auto"/>
        <w:rPr>
          <w:rFonts w:eastAsia="Times New Roman" w:cs="Tahoma"/>
          <w:color w:val="000000"/>
          <w:lang w:val="en-GB" w:eastAsia="nl-NL"/>
        </w:rPr>
      </w:pPr>
    </w:p>
    <w:p w14:paraId="11D6739A" w14:textId="64890CC7" w:rsidR="00E6008D" w:rsidRDefault="002C727B" w:rsidP="00E6008D">
      <w:pPr>
        <w:spacing w:after="0" w:line="240" w:lineRule="auto"/>
        <w:rPr>
          <w:lang w:val="en-GB"/>
        </w:rPr>
      </w:pPr>
      <w:r w:rsidRPr="00B3061D">
        <w:rPr>
          <w:rFonts w:eastAsia="Times New Roman" w:cs="Tahoma"/>
          <w:color w:val="000000"/>
          <w:lang w:val="en-GB" w:eastAsia="nl-NL"/>
        </w:rPr>
        <w:t>For instance t</w:t>
      </w:r>
      <w:r w:rsidR="00A17D74" w:rsidRPr="00B3061D">
        <w:rPr>
          <w:rFonts w:eastAsia="Times New Roman" w:cs="Tahoma"/>
          <w:color w:val="000000"/>
          <w:lang w:val="en-GB" w:eastAsia="nl-NL"/>
        </w:rPr>
        <w:t>arget 4</w:t>
      </w:r>
      <w:r w:rsidRPr="00B3061D">
        <w:rPr>
          <w:rFonts w:eastAsia="Times New Roman" w:cs="Tahoma"/>
          <w:color w:val="000000"/>
          <w:lang w:val="en-GB" w:eastAsia="nl-NL"/>
        </w:rPr>
        <w:t xml:space="preserve">: this target should </w:t>
      </w:r>
      <w:r w:rsidR="00A17D74" w:rsidRPr="00B3061D">
        <w:rPr>
          <w:lang w:val="en-GB"/>
        </w:rPr>
        <w:t xml:space="preserve">not only </w:t>
      </w:r>
      <w:r w:rsidRPr="00B3061D">
        <w:rPr>
          <w:lang w:val="en-GB"/>
        </w:rPr>
        <w:t xml:space="preserve">be </w:t>
      </w:r>
      <w:r w:rsidR="00A17D74" w:rsidRPr="00B3061D">
        <w:rPr>
          <w:lang w:val="en-GB"/>
        </w:rPr>
        <w:t xml:space="preserve">about plans for sustainable production and consumption generated by business and government, but also about the </w:t>
      </w:r>
      <w:r w:rsidR="00843A0F">
        <w:rPr>
          <w:lang w:val="en-GB"/>
        </w:rPr>
        <w:t>initiatives and r</w:t>
      </w:r>
      <w:r w:rsidR="00A17D74" w:rsidRPr="00B3061D">
        <w:rPr>
          <w:lang w:val="en-GB"/>
        </w:rPr>
        <w:t>ole</w:t>
      </w:r>
      <w:r w:rsidR="00843A0F">
        <w:rPr>
          <w:lang w:val="en-GB"/>
        </w:rPr>
        <w:t>s</w:t>
      </w:r>
      <w:r w:rsidR="00A17D74" w:rsidRPr="00B3061D">
        <w:rPr>
          <w:lang w:val="en-GB"/>
        </w:rPr>
        <w:t xml:space="preserve"> of indigenous and local communities and the value of customary sustainable use. </w:t>
      </w:r>
    </w:p>
    <w:p w14:paraId="1EB0736D" w14:textId="77777777" w:rsidR="00843A0F" w:rsidRDefault="00843A0F" w:rsidP="00E6008D">
      <w:pPr>
        <w:spacing w:after="0" w:line="240" w:lineRule="auto"/>
        <w:rPr>
          <w:lang w:val="en-GB"/>
        </w:rPr>
      </w:pPr>
    </w:p>
    <w:p w14:paraId="36A99C24" w14:textId="1F7B1A4C" w:rsidR="00E6008D" w:rsidRPr="00B3061D" w:rsidRDefault="00E6008D" w:rsidP="00E6008D">
      <w:pPr>
        <w:spacing w:after="0" w:line="240" w:lineRule="auto"/>
        <w:rPr>
          <w:rFonts w:eastAsia="MS Mincho"/>
          <w:b/>
          <w:color w:val="0070C0"/>
          <w:lang w:val="en-GB" w:eastAsia="ja-JP"/>
        </w:rPr>
      </w:pPr>
      <w:r>
        <w:rPr>
          <w:lang w:val="en-GB"/>
        </w:rPr>
        <w:t>One example is the importance of (traditional) livestock keepers to biodiversity and food security. A case study by the FAO (2009) describes how p</w:t>
      </w:r>
      <w:r w:rsidRPr="00B3061D">
        <w:rPr>
          <w:rFonts w:eastAsia="MS Mincho"/>
          <w:lang w:val="en-GB" w:eastAsia="ja-JP"/>
        </w:rPr>
        <w:t>astoralists</w:t>
      </w:r>
      <w:r w:rsidRPr="00B3061D">
        <w:rPr>
          <w:rFonts w:eastAsia="MS Mincho"/>
          <w:color w:val="0070C0"/>
          <w:lang w:val="en-GB" w:eastAsia="ja-JP"/>
        </w:rPr>
        <w:t xml:space="preserve"> </w:t>
      </w:r>
      <w:r w:rsidRPr="00B3061D">
        <w:rPr>
          <w:rFonts w:eastAsia="MS Mincho"/>
          <w:lang w:val="en-GB" w:eastAsia="ja-JP"/>
        </w:rPr>
        <w:t>and smallholder farmers have developed an array of strategies for the sustainable use of [these] marginal areas, including sophisticated herd movements and grazing strategies. Their livestock represent a means of extracting value from land that is not suitable for cropping, and generating food without competing for cereals. This not only contributes to food security in marginal areas but also provides products and services to wider society”.</w:t>
      </w:r>
      <w:r>
        <w:rPr>
          <w:rStyle w:val="FootnoteReference"/>
          <w:rFonts w:eastAsia="MS Mincho"/>
          <w:lang w:val="en-GB" w:eastAsia="ja-JP"/>
        </w:rPr>
        <w:footnoteReference w:id="27"/>
      </w:r>
      <w:r w:rsidRPr="00B3061D">
        <w:rPr>
          <w:rFonts w:eastAsia="MS Mincho"/>
          <w:lang w:val="en-GB" w:eastAsia="ja-JP"/>
        </w:rPr>
        <w:t xml:space="preserve"> </w:t>
      </w:r>
    </w:p>
    <w:p w14:paraId="31624162" w14:textId="77777777" w:rsidR="00E6008D" w:rsidRDefault="00E6008D" w:rsidP="00227119">
      <w:pPr>
        <w:spacing w:after="0" w:line="240" w:lineRule="auto"/>
        <w:rPr>
          <w:lang w:val="en-GB"/>
        </w:rPr>
      </w:pPr>
    </w:p>
    <w:p w14:paraId="14E159F1" w14:textId="6699D37D" w:rsidR="00227119" w:rsidRPr="007B64C0" w:rsidRDefault="00477F8A" w:rsidP="00227119">
      <w:pPr>
        <w:spacing w:after="0" w:line="240" w:lineRule="auto"/>
        <w:rPr>
          <w:lang w:val="en-GB"/>
        </w:rPr>
      </w:pPr>
      <w:r>
        <w:rPr>
          <w:lang w:val="en-GB"/>
        </w:rPr>
        <w:lastRenderedPageBreak/>
        <w:t>T</w:t>
      </w:r>
      <w:r w:rsidRPr="00B3061D">
        <w:rPr>
          <w:lang w:val="en-GB"/>
        </w:rPr>
        <w:t xml:space="preserve">he </w:t>
      </w:r>
      <w:r w:rsidR="009A3532" w:rsidRPr="007B64C0">
        <w:rPr>
          <w:lang w:val="en-GB"/>
        </w:rPr>
        <w:t xml:space="preserve">outline plan for the care of </w:t>
      </w:r>
      <w:proofErr w:type="spellStart"/>
      <w:r w:rsidR="009A3532" w:rsidRPr="007B64C0">
        <w:rPr>
          <w:lang w:val="en-GB"/>
        </w:rPr>
        <w:t>Wapichan</w:t>
      </w:r>
      <w:proofErr w:type="spellEnd"/>
      <w:r w:rsidR="009A3532" w:rsidRPr="007B64C0">
        <w:rPr>
          <w:lang w:val="en-GB"/>
        </w:rPr>
        <w:t xml:space="preserve"> territory in Guyana (2012)</w:t>
      </w:r>
      <w:r>
        <w:rPr>
          <w:lang w:val="en-GB"/>
        </w:rPr>
        <w:t xml:space="preserve"> (see case above) </w:t>
      </w:r>
      <w:r w:rsidR="00A01495">
        <w:rPr>
          <w:lang w:val="en-GB"/>
        </w:rPr>
        <w:t>also</w:t>
      </w:r>
      <w:r w:rsidR="009A3532">
        <w:rPr>
          <w:lang w:val="en-GB"/>
        </w:rPr>
        <w:t xml:space="preserve"> includes a </w:t>
      </w:r>
      <w:r w:rsidR="00227119" w:rsidRPr="007B64C0">
        <w:rPr>
          <w:lang w:val="en-GB"/>
        </w:rPr>
        <w:t xml:space="preserve">section on ‘development in </w:t>
      </w:r>
      <w:proofErr w:type="spellStart"/>
      <w:r w:rsidR="00227119" w:rsidRPr="007B64C0">
        <w:rPr>
          <w:lang w:val="en-GB"/>
        </w:rPr>
        <w:t>Wapichan</w:t>
      </w:r>
      <w:proofErr w:type="spellEnd"/>
      <w:r w:rsidR="00227119" w:rsidRPr="007B64C0">
        <w:rPr>
          <w:lang w:val="en-GB"/>
        </w:rPr>
        <w:t xml:space="preserve"> </w:t>
      </w:r>
      <w:proofErr w:type="spellStart"/>
      <w:r w:rsidR="00227119" w:rsidRPr="007B64C0">
        <w:rPr>
          <w:lang w:val="en-GB"/>
        </w:rPr>
        <w:t>Wiizi</w:t>
      </w:r>
      <w:proofErr w:type="spellEnd"/>
      <w:r w:rsidR="00227119" w:rsidRPr="007B64C0">
        <w:rPr>
          <w:lang w:val="en-GB"/>
        </w:rPr>
        <w:t xml:space="preserve">’, </w:t>
      </w:r>
      <w:r w:rsidR="009A3532">
        <w:rPr>
          <w:lang w:val="en-GB"/>
        </w:rPr>
        <w:t xml:space="preserve">where </w:t>
      </w:r>
      <w:r w:rsidR="00227119" w:rsidRPr="007B64C0">
        <w:rPr>
          <w:lang w:val="en-GB"/>
        </w:rPr>
        <w:t xml:space="preserve">agreements to promote </w:t>
      </w:r>
      <w:r w:rsidR="00A01495">
        <w:rPr>
          <w:lang w:val="en-GB"/>
        </w:rPr>
        <w:t xml:space="preserve">sustainable </w:t>
      </w:r>
      <w:r w:rsidR="00227119" w:rsidRPr="007B64C0">
        <w:rPr>
          <w:lang w:val="en-GB"/>
        </w:rPr>
        <w:t>food security and livelihoods</w:t>
      </w:r>
      <w:r w:rsidR="009A3532">
        <w:rPr>
          <w:lang w:val="en-GB"/>
        </w:rPr>
        <w:t xml:space="preserve"> are listed</w:t>
      </w:r>
      <w:r w:rsidR="00227119" w:rsidRPr="007B64C0">
        <w:rPr>
          <w:lang w:val="en-GB"/>
        </w:rPr>
        <w:t xml:space="preserve">, such as </w:t>
      </w:r>
    </w:p>
    <w:p w14:paraId="07A79728" w14:textId="365351E8" w:rsidR="00227119" w:rsidRPr="007B64C0" w:rsidRDefault="00710AF6" w:rsidP="00227119">
      <w:pPr>
        <w:pStyle w:val="ListParagraph"/>
        <w:numPr>
          <w:ilvl w:val="0"/>
          <w:numId w:val="10"/>
        </w:numPr>
        <w:rPr>
          <w:sz w:val="22"/>
          <w:szCs w:val="22"/>
          <w:lang w:val="en-GB"/>
        </w:rPr>
      </w:pPr>
      <w:r w:rsidRPr="007B64C0">
        <w:rPr>
          <w:sz w:val="22"/>
          <w:szCs w:val="22"/>
          <w:lang w:val="en-GB"/>
        </w:rPr>
        <w:t xml:space="preserve">Keeping a mixture of farming, ranching, hunting, fishing and gathering, and rearing beef, dairy cows and livestock </w:t>
      </w:r>
    </w:p>
    <w:p w14:paraId="36F1730C" w14:textId="1B196097" w:rsidR="00710AF6" w:rsidRPr="007B64C0" w:rsidRDefault="00227119" w:rsidP="00227119">
      <w:pPr>
        <w:pStyle w:val="ListParagraph"/>
        <w:numPr>
          <w:ilvl w:val="0"/>
          <w:numId w:val="10"/>
        </w:numPr>
        <w:rPr>
          <w:sz w:val="22"/>
          <w:szCs w:val="22"/>
          <w:lang w:val="en-GB"/>
        </w:rPr>
      </w:pPr>
      <w:r w:rsidRPr="007B64C0">
        <w:rPr>
          <w:sz w:val="22"/>
          <w:szCs w:val="22"/>
          <w:lang w:val="en-GB"/>
        </w:rPr>
        <w:t>Encouraging</w:t>
      </w:r>
      <w:r w:rsidR="00710AF6" w:rsidRPr="007B64C0">
        <w:rPr>
          <w:sz w:val="22"/>
          <w:szCs w:val="22"/>
          <w:lang w:val="en-GB"/>
        </w:rPr>
        <w:t xml:space="preserve"> exchanges of traditional crop varieties (cuttings and seeds) among </w:t>
      </w:r>
      <w:proofErr w:type="spellStart"/>
      <w:r w:rsidR="00A01495">
        <w:rPr>
          <w:sz w:val="22"/>
          <w:szCs w:val="22"/>
          <w:lang w:val="en-GB"/>
        </w:rPr>
        <w:t>Wapichan</w:t>
      </w:r>
      <w:proofErr w:type="spellEnd"/>
      <w:r w:rsidRPr="007B64C0">
        <w:rPr>
          <w:sz w:val="22"/>
          <w:szCs w:val="22"/>
          <w:lang w:val="en-GB"/>
        </w:rPr>
        <w:t xml:space="preserve"> </w:t>
      </w:r>
      <w:r w:rsidR="00710AF6" w:rsidRPr="007B64C0">
        <w:rPr>
          <w:sz w:val="22"/>
          <w:szCs w:val="22"/>
          <w:lang w:val="en-GB"/>
        </w:rPr>
        <w:t xml:space="preserve">farmers and between </w:t>
      </w:r>
      <w:proofErr w:type="spellStart"/>
      <w:r w:rsidR="00A01495">
        <w:rPr>
          <w:sz w:val="22"/>
          <w:szCs w:val="22"/>
          <w:lang w:val="en-GB"/>
        </w:rPr>
        <w:t>Wapichan</w:t>
      </w:r>
      <w:proofErr w:type="spellEnd"/>
      <w:r w:rsidR="00710AF6" w:rsidRPr="007B64C0">
        <w:rPr>
          <w:sz w:val="22"/>
          <w:szCs w:val="22"/>
          <w:lang w:val="en-GB"/>
        </w:rPr>
        <w:t xml:space="preserve"> villages</w:t>
      </w:r>
      <w:r w:rsidRPr="007B64C0">
        <w:rPr>
          <w:sz w:val="22"/>
          <w:szCs w:val="22"/>
          <w:lang w:val="en-GB"/>
        </w:rPr>
        <w:t>.</w:t>
      </w:r>
      <w:r w:rsidRPr="007B64C0">
        <w:rPr>
          <w:rStyle w:val="FootnoteReference"/>
          <w:sz w:val="22"/>
          <w:szCs w:val="22"/>
          <w:lang w:val="en-GB"/>
        </w:rPr>
        <w:t xml:space="preserve"> </w:t>
      </w:r>
      <w:r w:rsidRPr="007B64C0">
        <w:rPr>
          <w:rStyle w:val="FootnoteReference"/>
          <w:sz w:val="22"/>
          <w:szCs w:val="22"/>
          <w:lang w:val="en-GB"/>
        </w:rPr>
        <w:footnoteReference w:id="28"/>
      </w:r>
    </w:p>
    <w:p w14:paraId="487E7135" w14:textId="77777777" w:rsidR="00227119" w:rsidRPr="007B64C0" w:rsidRDefault="00227119" w:rsidP="00227119">
      <w:pPr>
        <w:pStyle w:val="ListParagraph"/>
        <w:rPr>
          <w:sz w:val="22"/>
          <w:szCs w:val="22"/>
          <w:lang w:val="en-GB"/>
        </w:rPr>
      </w:pPr>
    </w:p>
    <w:p w14:paraId="6950AEA9" w14:textId="2B90EEB6" w:rsidR="0076558B" w:rsidRPr="00B3061D" w:rsidRDefault="00227119" w:rsidP="0076558B">
      <w:pPr>
        <w:spacing w:after="0" w:line="240" w:lineRule="auto"/>
        <w:rPr>
          <w:rFonts w:eastAsia="Times New Roman" w:cs="Tahoma"/>
          <w:color w:val="000000"/>
          <w:lang w:val="en-GB" w:eastAsia="nl-NL"/>
        </w:rPr>
      </w:pPr>
      <w:r>
        <w:rPr>
          <w:lang w:val="en-GB"/>
        </w:rPr>
        <w:t>P</w:t>
      </w:r>
      <w:r w:rsidR="00477F8A">
        <w:rPr>
          <w:lang w:val="en-GB"/>
        </w:rPr>
        <w:t>rojects to protect and strengthen</w:t>
      </w:r>
      <w:r w:rsidR="00477F8A" w:rsidRPr="00B3061D">
        <w:rPr>
          <w:lang w:val="en-GB"/>
        </w:rPr>
        <w:t xml:space="preserve"> shifting cultivation</w:t>
      </w:r>
      <w:r w:rsidR="00477F8A">
        <w:rPr>
          <w:lang w:val="en-GB"/>
        </w:rPr>
        <w:t xml:space="preserve"> (see cases above) are </w:t>
      </w:r>
      <w:r>
        <w:rPr>
          <w:lang w:val="en-GB"/>
        </w:rPr>
        <w:t xml:space="preserve">other </w:t>
      </w:r>
      <w:r w:rsidR="00477F8A">
        <w:rPr>
          <w:lang w:val="en-GB"/>
        </w:rPr>
        <w:t>examples</w:t>
      </w:r>
      <w:r w:rsidR="00477F8A" w:rsidRPr="00B3061D">
        <w:rPr>
          <w:lang w:val="en-GB"/>
        </w:rPr>
        <w:t xml:space="preserve">. </w:t>
      </w:r>
      <w:r w:rsidR="0076558B" w:rsidRPr="0076558B">
        <w:rPr>
          <w:highlight w:val="yellow"/>
          <w:lang w:val="en-GB"/>
        </w:rPr>
        <w:t>More</w:t>
      </w:r>
      <w:r w:rsidR="0076558B">
        <w:rPr>
          <w:highlight w:val="yellow"/>
          <w:lang w:val="en-GB"/>
        </w:rPr>
        <w:t xml:space="preserve"> c</w:t>
      </w:r>
      <w:r w:rsidR="0076558B" w:rsidRPr="00B3061D">
        <w:rPr>
          <w:rFonts w:cs="Arial"/>
          <w:color w:val="222222"/>
          <w:highlight w:val="yellow"/>
          <w:lang w:val="en-GB"/>
        </w:rPr>
        <w:t xml:space="preserve">ase studies / relevant material: quote 1 or 2 </w:t>
      </w:r>
      <w:proofErr w:type="gramStart"/>
      <w:r w:rsidR="0076558B" w:rsidRPr="00B3061D">
        <w:rPr>
          <w:rFonts w:cs="Arial"/>
          <w:color w:val="222222"/>
          <w:highlight w:val="yellow"/>
          <w:lang w:val="en-GB"/>
        </w:rPr>
        <w:t xml:space="preserve">from </w:t>
      </w:r>
      <w:r w:rsidR="0076558B" w:rsidRPr="00B3061D">
        <w:rPr>
          <w:rFonts w:eastAsia="Times New Roman" w:cs="Tahoma"/>
          <w:color w:val="000000"/>
          <w:highlight w:val="yellow"/>
          <w:lang w:val="en-GB" w:eastAsia="nl-NL"/>
        </w:rPr>
        <w:t xml:space="preserve"> IFAD</w:t>
      </w:r>
      <w:proofErr w:type="gramEnd"/>
      <w:r w:rsidR="0076558B" w:rsidRPr="00B3061D">
        <w:rPr>
          <w:rFonts w:eastAsia="Times New Roman" w:cs="Tahoma"/>
          <w:color w:val="000000"/>
          <w:highlight w:val="yellow"/>
          <w:lang w:val="en-GB" w:eastAsia="nl-NL"/>
        </w:rPr>
        <w:t xml:space="preserve"> review report</w:t>
      </w:r>
    </w:p>
    <w:p w14:paraId="53B8343B" w14:textId="77777777" w:rsidR="00DC1B73" w:rsidRPr="00B3061D" w:rsidRDefault="00DC1B73" w:rsidP="00B3061D">
      <w:pPr>
        <w:spacing w:after="0" w:line="240" w:lineRule="auto"/>
        <w:rPr>
          <w:color w:val="333333"/>
          <w:bdr w:val="none" w:sz="0" w:space="0" w:color="auto" w:frame="1"/>
          <w:lang w:val="en-GB"/>
        </w:rPr>
      </w:pPr>
    </w:p>
    <w:p w14:paraId="3C507109" w14:textId="7FB16C42" w:rsidR="009C350B" w:rsidRDefault="00F53A91" w:rsidP="00F53A91">
      <w:pPr>
        <w:pBdr>
          <w:top w:val="single" w:sz="4" w:space="1" w:color="auto"/>
          <w:left w:val="single" w:sz="4" w:space="4" w:color="auto"/>
          <w:bottom w:val="single" w:sz="4" w:space="1" w:color="auto"/>
          <w:right w:val="single" w:sz="4" w:space="4" w:color="auto"/>
        </w:pBdr>
        <w:spacing w:after="0" w:line="240" w:lineRule="auto"/>
        <w:rPr>
          <w:color w:val="333333"/>
          <w:bdr w:val="none" w:sz="0" w:space="0" w:color="auto" w:frame="1"/>
          <w:lang w:val="en-GB"/>
        </w:rPr>
      </w:pPr>
      <w:r>
        <w:rPr>
          <w:color w:val="333333"/>
          <w:bdr w:val="none" w:sz="0" w:space="0" w:color="auto" w:frame="1"/>
          <w:lang w:val="en-GB"/>
        </w:rPr>
        <w:t xml:space="preserve">Box: </w:t>
      </w:r>
      <w:r w:rsidR="009C350B" w:rsidRPr="00B3061D">
        <w:rPr>
          <w:rStyle w:val="Strong"/>
          <w:color w:val="333333"/>
          <w:bdr w:val="none" w:sz="0" w:space="0" w:color="auto" w:frame="1"/>
          <w:lang w:val="en-GB"/>
        </w:rPr>
        <w:t>Indigenous Terra Madre</w:t>
      </w:r>
      <w:r w:rsidR="009C350B">
        <w:rPr>
          <w:rStyle w:val="Strong"/>
          <w:color w:val="333333"/>
          <w:bdr w:val="none" w:sz="0" w:space="0" w:color="auto" w:frame="1"/>
          <w:lang w:val="en-GB"/>
        </w:rPr>
        <w:t xml:space="preserve"> - </w:t>
      </w:r>
      <w:r w:rsidR="009C350B">
        <w:rPr>
          <w:color w:val="333333"/>
          <w:bdr w:val="none" w:sz="0" w:space="0" w:color="auto" w:frame="1"/>
          <w:lang w:val="en-GB"/>
        </w:rPr>
        <w:t>local food producers</w:t>
      </w:r>
    </w:p>
    <w:p w14:paraId="190ADC37" w14:textId="77777777" w:rsidR="009C350B" w:rsidRDefault="009C350B" w:rsidP="00F53A91">
      <w:pPr>
        <w:pBdr>
          <w:top w:val="single" w:sz="4" w:space="1" w:color="auto"/>
          <w:left w:val="single" w:sz="4" w:space="4" w:color="auto"/>
          <w:bottom w:val="single" w:sz="4" w:space="1" w:color="auto"/>
          <w:right w:val="single" w:sz="4" w:space="4" w:color="auto"/>
        </w:pBdr>
        <w:spacing w:after="0" w:line="240" w:lineRule="auto"/>
        <w:rPr>
          <w:color w:val="333333"/>
          <w:bdr w:val="none" w:sz="0" w:space="0" w:color="auto" w:frame="1"/>
          <w:lang w:val="en-GB"/>
        </w:rPr>
      </w:pPr>
    </w:p>
    <w:p w14:paraId="70947726" w14:textId="2BCA9D8C" w:rsidR="005803F0" w:rsidRDefault="005803F0" w:rsidP="00F53A91">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sidRPr="009C350B">
        <w:rPr>
          <w:color w:val="333333"/>
          <w:sz w:val="20"/>
          <w:szCs w:val="20"/>
          <w:bdr w:val="none" w:sz="0" w:space="0" w:color="auto" w:frame="1"/>
          <w:lang w:val="en-GB"/>
        </w:rPr>
        <w:t xml:space="preserve">In 2011 the </w:t>
      </w:r>
      <w:r w:rsidR="00DC1B73" w:rsidRPr="009C350B">
        <w:rPr>
          <w:color w:val="333333"/>
          <w:sz w:val="20"/>
          <w:szCs w:val="20"/>
          <w:bdr w:val="none" w:sz="0" w:space="0" w:color="auto" w:frame="1"/>
          <w:lang w:val="en-GB"/>
        </w:rPr>
        <w:t>first</w:t>
      </w:r>
      <w:r w:rsidR="00DC1B73" w:rsidRPr="009C350B">
        <w:rPr>
          <w:rStyle w:val="Strong"/>
          <w:color w:val="333333"/>
          <w:sz w:val="20"/>
          <w:szCs w:val="20"/>
          <w:bdr w:val="none" w:sz="0" w:space="0" w:color="auto" w:frame="1"/>
          <w:lang w:val="en-GB"/>
        </w:rPr>
        <w:t xml:space="preserve"> Indigenous Terra Madre </w:t>
      </w:r>
      <w:r w:rsidR="00DC1B73" w:rsidRPr="009C350B">
        <w:rPr>
          <w:color w:val="333333"/>
          <w:sz w:val="20"/>
          <w:szCs w:val="20"/>
          <w:bdr w:val="none" w:sz="0" w:space="0" w:color="auto" w:frame="1"/>
          <w:lang w:val="en-GB"/>
        </w:rPr>
        <w:t>meeting was held in Sweden in 2011,</w:t>
      </w:r>
      <w:r w:rsidR="00DC1B73" w:rsidRPr="009C350B">
        <w:rPr>
          <w:rStyle w:val="Strong"/>
          <w:color w:val="333333"/>
          <w:sz w:val="20"/>
          <w:szCs w:val="20"/>
          <w:bdr w:val="none" w:sz="0" w:space="0" w:color="auto" w:frame="1"/>
          <w:lang w:val="en-GB"/>
        </w:rPr>
        <w:t> </w:t>
      </w:r>
      <w:r w:rsidR="00DC1B73" w:rsidRPr="009C350B">
        <w:rPr>
          <w:color w:val="333333"/>
          <w:sz w:val="20"/>
          <w:szCs w:val="20"/>
          <w:bdr w:val="none" w:sz="0" w:space="0" w:color="auto" w:frame="1"/>
          <w:lang w:val="en-GB"/>
        </w:rPr>
        <w:t xml:space="preserve">bringing together </w:t>
      </w:r>
      <w:r w:rsidRPr="009C350B">
        <w:rPr>
          <w:color w:val="333333"/>
          <w:sz w:val="20"/>
          <w:szCs w:val="20"/>
          <w:bdr w:val="none" w:sz="0" w:space="0" w:color="auto" w:frame="1"/>
          <w:lang w:val="en-GB"/>
        </w:rPr>
        <w:t>local food producers</w:t>
      </w:r>
      <w:r w:rsidR="00DC1B73" w:rsidRPr="009C350B">
        <w:rPr>
          <w:color w:val="333333"/>
          <w:sz w:val="20"/>
          <w:szCs w:val="20"/>
          <w:bdr w:val="none" w:sz="0" w:space="0" w:color="auto" w:frame="1"/>
          <w:lang w:val="en-GB"/>
        </w:rPr>
        <w:t xml:space="preserve"> </w:t>
      </w:r>
      <w:r w:rsidRPr="009C350B">
        <w:rPr>
          <w:sz w:val="20"/>
          <w:szCs w:val="20"/>
          <w:lang w:val="en-GB"/>
        </w:rPr>
        <w:t xml:space="preserve">to exchange ideas on protecting sustainable </w:t>
      </w:r>
      <w:proofErr w:type="gramStart"/>
      <w:r w:rsidRPr="009C350B">
        <w:rPr>
          <w:sz w:val="20"/>
          <w:szCs w:val="20"/>
          <w:lang w:val="en-GB"/>
        </w:rPr>
        <w:t>local  food</w:t>
      </w:r>
      <w:proofErr w:type="gramEnd"/>
      <w:r w:rsidRPr="009C350B">
        <w:rPr>
          <w:sz w:val="20"/>
          <w:szCs w:val="20"/>
          <w:lang w:val="en-GB"/>
        </w:rPr>
        <w:t xml:space="preserve"> systems and food sovereignty in accordance with cultural practices, spiritual values</w:t>
      </w:r>
      <w:r w:rsidR="009C350B">
        <w:rPr>
          <w:sz w:val="20"/>
          <w:szCs w:val="20"/>
          <w:lang w:val="en-GB"/>
        </w:rPr>
        <w:t xml:space="preserve">. The meeting </w:t>
      </w:r>
      <w:r w:rsidRPr="009C350B">
        <w:rPr>
          <w:sz w:val="20"/>
          <w:szCs w:val="20"/>
          <w:lang w:val="en-GB"/>
        </w:rPr>
        <w:t>resul</w:t>
      </w:r>
      <w:r w:rsidR="009C350B">
        <w:rPr>
          <w:sz w:val="20"/>
          <w:szCs w:val="20"/>
          <w:lang w:val="en-GB"/>
        </w:rPr>
        <w:t>ted i</w:t>
      </w:r>
      <w:r w:rsidRPr="009C350B">
        <w:rPr>
          <w:sz w:val="20"/>
          <w:szCs w:val="20"/>
          <w:lang w:val="en-GB"/>
        </w:rPr>
        <w:t xml:space="preserve">n the </w:t>
      </w:r>
      <w:proofErr w:type="spellStart"/>
      <w:r w:rsidRPr="009C350B">
        <w:rPr>
          <w:sz w:val="20"/>
          <w:szCs w:val="20"/>
          <w:lang w:val="en-GB"/>
        </w:rPr>
        <w:t>Jokkmokk</w:t>
      </w:r>
      <w:proofErr w:type="spellEnd"/>
      <w:r w:rsidRPr="009C350B">
        <w:rPr>
          <w:sz w:val="20"/>
          <w:szCs w:val="20"/>
          <w:lang w:val="en-GB"/>
        </w:rPr>
        <w:t xml:space="preserve"> agreement. See </w:t>
      </w:r>
      <w:hyperlink r:id="rId9" w:history="1">
        <w:r w:rsidRPr="009C350B">
          <w:rPr>
            <w:rStyle w:val="Hyperlink"/>
            <w:rFonts w:cstheme="minorBidi"/>
            <w:sz w:val="20"/>
            <w:szCs w:val="20"/>
            <w:lang w:val="en-GB"/>
          </w:rPr>
          <w:t>http://tkbulletin.wordpress.com/2011/06/29/this-week-in-review-%E2%80%A6-indigenous-terra-madre-concludes/</w:t>
        </w:r>
      </w:hyperlink>
      <w:r w:rsidRPr="009C350B">
        <w:rPr>
          <w:sz w:val="20"/>
          <w:szCs w:val="20"/>
          <w:lang w:val="en-GB"/>
        </w:rPr>
        <w:t xml:space="preserve"> to read more and download the agreement. </w:t>
      </w:r>
    </w:p>
    <w:p w14:paraId="7E5F6CA1" w14:textId="77777777" w:rsidR="009C350B" w:rsidRPr="009C350B" w:rsidRDefault="009C350B" w:rsidP="00F53A91">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0073DA45" w14:textId="77777777" w:rsidR="005803F0" w:rsidRDefault="005803F0" w:rsidP="00B3061D">
      <w:pPr>
        <w:spacing w:after="0" w:line="240" w:lineRule="auto"/>
        <w:rPr>
          <w:lang w:val="en-GB"/>
        </w:rPr>
      </w:pPr>
    </w:p>
    <w:p w14:paraId="6DE928C6" w14:textId="77777777" w:rsidR="00083D4A" w:rsidRPr="00B3061D" w:rsidRDefault="00083D4A" w:rsidP="00B3061D">
      <w:pPr>
        <w:spacing w:after="0" w:line="240" w:lineRule="auto"/>
        <w:rPr>
          <w:lang w:val="en-GB"/>
        </w:rPr>
      </w:pPr>
    </w:p>
    <w:p w14:paraId="0C03005E" w14:textId="6B48D0BC" w:rsidR="004C3855" w:rsidRPr="00B3061D" w:rsidRDefault="00DC1B73" w:rsidP="00B3061D">
      <w:pPr>
        <w:spacing w:after="0" w:line="240" w:lineRule="auto"/>
        <w:rPr>
          <w:lang w:val="en-GB"/>
        </w:rPr>
      </w:pPr>
      <w:r w:rsidRPr="00B3061D">
        <w:rPr>
          <w:rFonts w:eastAsia="Times New Roman" w:cs="Tahoma"/>
          <w:color w:val="000000"/>
          <w:lang w:val="en-GB" w:eastAsia="nl-NL"/>
        </w:rPr>
        <w:t>Traditional knowledge and occupations are also extremely relevant to t</w:t>
      </w:r>
      <w:r w:rsidR="001D2AC7" w:rsidRPr="00B3061D">
        <w:rPr>
          <w:rFonts w:eastAsia="Times New Roman" w:cs="Tahoma"/>
          <w:color w:val="000000"/>
          <w:lang w:val="en-GB" w:eastAsia="nl-NL"/>
        </w:rPr>
        <w:t>arget 13</w:t>
      </w:r>
      <w:r w:rsidR="009612C0" w:rsidRPr="00B3061D">
        <w:rPr>
          <w:rFonts w:eastAsia="Times New Roman" w:cs="Tahoma"/>
          <w:color w:val="000000"/>
          <w:lang w:val="en-GB" w:eastAsia="nl-NL"/>
        </w:rPr>
        <w:t>: genetic diversity of pla</w:t>
      </w:r>
      <w:r w:rsidR="002C727B" w:rsidRPr="00B3061D">
        <w:rPr>
          <w:rFonts w:eastAsia="Times New Roman" w:cs="Tahoma"/>
          <w:color w:val="000000"/>
          <w:lang w:val="en-GB" w:eastAsia="nl-NL"/>
        </w:rPr>
        <w:t>n</w:t>
      </w:r>
      <w:r w:rsidR="009612C0" w:rsidRPr="00B3061D">
        <w:rPr>
          <w:rFonts w:eastAsia="Times New Roman" w:cs="Tahoma"/>
          <w:color w:val="000000"/>
          <w:lang w:val="en-GB" w:eastAsia="nl-NL"/>
        </w:rPr>
        <w:t>ts/animals</w:t>
      </w:r>
      <w:r w:rsidR="002C727B" w:rsidRPr="00B3061D">
        <w:rPr>
          <w:rFonts w:eastAsia="Times New Roman" w:cs="Tahoma"/>
          <w:color w:val="000000"/>
          <w:lang w:val="en-GB" w:eastAsia="nl-NL"/>
        </w:rPr>
        <w:t xml:space="preserve">. In Suriname, indigenous women hold knowledge and seeds of an </w:t>
      </w:r>
      <w:r w:rsidR="00681136" w:rsidRPr="00B3061D">
        <w:rPr>
          <w:rFonts w:eastAsia="Times New Roman" w:cs="Tahoma"/>
          <w:color w:val="000000"/>
          <w:lang w:val="en-GB" w:eastAsia="nl-NL"/>
        </w:rPr>
        <w:t>enormous variation in cassava types</w:t>
      </w:r>
      <w:r w:rsidR="002C727B" w:rsidRPr="00B3061D">
        <w:rPr>
          <w:rFonts w:eastAsia="Times New Roman" w:cs="Tahoma"/>
          <w:color w:val="000000"/>
          <w:lang w:val="en-GB" w:eastAsia="nl-NL"/>
        </w:rPr>
        <w:t>, some of which got lost during the civil war when people had to flee in a rush, leaving their stocks behind (</w:t>
      </w:r>
      <w:r w:rsidR="002C727B" w:rsidRPr="0076558B">
        <w:rPr>
          <w:rFonts w:eastAsia="Times New Roman" w:cs="Tahoma"/>
          <w:color w:val="000000"/>
          <w:highlight w:val="yellow"/>
          <w:lang w:val="en-GB" w:eastAsia="nl-NL"/>
        </w:rPr>
        <w:t>Sur. 10c report, 41-</w:t>
      </w:r>
      <w:proofErr w:type="gramStart"/>
      <w:r w:rsidR="002C727B" w:rsidRPr="0076558B">
        <w:rPr>
          <w:rFonts w:eastAsia="Times New Roman" w:cs="Tahoma"/>
          <w:color w:val="000000"/>
          <w:highlight w:val="yellow"/>
          <w:lang w:val="en-GB" w:eastAsia="nl-NL"/>
        </w:rPr>
        <w:t>42</w:t>
      </w:r>
      <w:r w:rsidR="002C727B" w:rsidRPr="00B3061D">
        <w:rPr>
          <w:rFonts w:eastAsia="Times New Roman" w:cs="Tahoma"/>
          <w:color w:val="000000"/>
          <w:lang w:val="en-GB" w:eastAsia="nl-NL"/>
        </w:rPr>
        <w:t xml:space="preserve"> )</w:t>
      </w:r>
      <w:proofErr w:type="gramEnd"/>
      <w:r w:rsidR="002C727B" w:rsidRPr="00B3061D">
        <w:rPr>
          <w:rFonts w:eastAsia="Times New Roman" w:cs="Tahoma"/>
          <w:color w:val="000000"/>
          <w:lang w:val="en-GB" w:eastAsia="nl-NL"/>
        </w:rPr>
        <w:t xml:space="preserve">. </w:t>
      </w:r>
      <w:r w:rsidR="004C3855" w:rsidRPr="00B3061D">
        <w:rPr>
          <w:lang w:val="en-GB"/>
        </w:rPr>
        <w:t xml:space="preserve">The </w:t>
      </w:r>
      <w:proofErr w:type="spellStart"/>
      <w:r w:rsidR="004C3855" w:rsidRPr="00B3061D">
        <w:rPr>
          <w:lang w:val="en-GB"/>
        </w:rPr>
        <w:t>Wapichan</w:t>
      </w:r>
      <w:proofErr w:type="spellEnd"/>
      <w:r w:rsidR="004C3855" w:rsidRPr="00B3061D">
        <w:rPr>
          <w:lang w:val="en-GB"/>
        </w:rPr>
        <w:t xml:space="preserve"> people from Guyana gather 140 different wild foods, including fruits, nuts, and fungi. Detailed knowledge of the location of fruit-bearing palms and trees is passed down from generation to generation. The </w:t>
      </w:r>
      <w:proofErr w:type="spellStart"/>
      <w:r w:rsidR="004C3855" w:rsidRPr="00B3061D">
        <w:rPr>
          <w:lang w:val="en-GB"/>
        </w:rPr>
        <w:t>Wapichan</w:t>
      </w:r>
      <w:proofErr w:type="spellEnd"/>
      <w:r w:rsidR="004C3855" w:rsidRPr="00B3061D">
        <w:rPr>
          <w:lang w:val="en-GB"/>
        </w:rPr>
        <w:t xml:space="preserve"> territory also contains over 250 useful materials that are used for constructing houses, boats and a wide range of traditional </w:t>
      </w:r>
      <w:proofErr w:type="spellStart"/>
      <w:r w:rsidR="004C3855" w:rsidRPr="00B3061D">
        <w:rPr>
          <w:lang w:val="en-GB"/>
        </w:rPr>
        <w:t>Wapichan</w:t>
      </w:r>
      <w:proofErr w:type="spellEnd"/>
      <w:r w:rsidR="004C3855" w:rsidRPr="00B3061D">
        <w:rPr>
          <w:lang w:val="en-GB"/>
        </w:rPr>
        <w:t xml:space="preserve"> craft items, food processing utensils and household tools. </w:t>
      </w:r>
      <w:r w:rsidR="00C8274C" w:rsidRPr="00B3061D">
        <w:rPr>
          <w:lang w:val="en-GB"/>
        </w:rPr>
        <w:t>(</w:t>
      </w:r>
      <w:r w:rsidR="00C8274C" w:rsidRPr="0076558B">
        <w:rPr>
          <w:highlight w:val="yellow"/>
          <w:lang w:val="en-GB"/>
        </w:rPr>
        <w:t>10c report Guyana</w:t>
      </w:r>
      <w:r w:rsidR="0076558B">
        <w:rPr>
          <w:lang w:val="en-GB"/>
        </w:rPr>
        <w:t xml:space="preserve">, </w:t>
      </w:r>
      <w:r w:rsidR="0076558B" w:rsidRPr="0076558B">
        <w:rPr>
          <w:highlight w:val="yellow"/>
          <w:lang w:val="en-GB"/>
        </w:rPr>
        <w:t>page?</w:t>
      </w:r>
      <w:r w:rsidR="00C8274C" w:rsidRPr="00B3061D">
        <w:rPr>
          <w:lang w:val="en-GB"/>
        </w:rPr>
        <w:t>)</w:t>
      </w:r>
    </w:p>
    <w:p w14:paraId="1D33663F" w14:textId="77777777" w:rsidR="00DC1B73" w:rsidRPr="00B3061D" w:rsidRDefault="00DC1B73" w:rsidP="00B3061D">
      <w:pPr>
        <w:spacing w:after="0" w:line="240" w:lineRule="auto"/>
        <w:rPr>
          <w:rFonts w:eastAsia="MS Mincho"/>
          <w:b/>
          <w:color w:val="000000" w:themeColor="text1"/>
          <w:lang w:val="en-GB" w:eastAsia="ja-JP"/>
        </w:rPr>
      </w:pPr>
    </w:p>
    <w:p w14:paraId="1F2B9427" w14:textId="377B6468" w:rsidR="00C8274C" w:rsidRPr="00B3061D" w:rsidRDefault="00DC1B73" w:rsidP="00B3061D">
      <w:pPr>
        <w:spacing w:after="0" w:line="240" w:lineRule="auto"/>
        <w:rPr>
          <w:lang w:val="en-GB"/>
        </w:rPr>
      </w:pPr>
      <w:r w:rsidRPr="00B3061D">
        <w:rPr>
          <w:rFonts w:eastAsia="MS Mincho"/>
          <w:color w:val="000000" w:themeColor="text1"/>
          <w:lang w:val="en-GB" w:eastAsia="ja-JP"/>
        </w:rPr>
        <w:t>The FAO paper on l</w:t>
      </w:r>
      <w:r w:rsidR="003909D1" w:rsidRPr="00B3061D">
        <w:rPr>
          <w:rFonts w:eastAsia="MS Mincho"/>
          <w:color w:val="000000" w:themeColor="text1"/>
          <w:lang w:val="en-GB" w:eastAsia="ja-JP"/>
        </w:rPr>
        <w:t xml:space="preserve">ivestock keepers also writes about </w:t>
      </w:r>
      <w:r w:rsidR="003909D1" w:rsidRPr="00B3061D">
        <w:rPr>
          <w:rFonts w:eastAsia="MS Mincho"/>
          <w:lang w:val="en-GB" w:eastAsia="ja-JP"/>
        </w:rPr>
        <w:t>pastoralists</w:t>
      </w:r>
      <w:r w:rsidR="003909D1" w:rsidRPr="00B3061D">
        <w:rPr>
          <w:rFonts w:eastAsia="MS Mincho"/>
          <w:color w:val="0070C0"/>
          <w:lang w:val="en-GB" w:eastAsia="ja-JP"/>
        </w:rPr>
        <w:t xml:space="preserve"> </w:t>
      </w:r>
      <w:r w:rsidR="003909D1" w:rsidRPr="00B3061D">
        <w:rPr>
          <w:rFonts w:eastAsia="MS Mincho"/>
          <w:lang w:val="en-GB" w:eastAsia="ja-JP"/>
        </w:rPr>
        <w:t xml:space="preserve">and smallholder farmers’ </w:t>
      </w:r>
      <w:r w:rsidRPr="00B3061D">
        <w:rPr>
          <w:rFonts w:eastAsia="MS Mincho"/>
          <w:lang w:val="en-GB" w:eastAsia="ja-JP"/>
        </w:rPr>
        <w:t>c</w:t>
      </w:r>
      <w:r w:rsidR="003909D1" w:rsidRPr="00B3061D">
        <w:rPr>
          <w:rFonts w:eastAsia="MS Mincho"/>
          <w:lang w:val="en-GB" w:eastAsia="ja-JP"/>
        </w:rPr>
        <w:t>ontributions to genetic diversity of farmed and domesticated animals:</w:t>
      </w:r>
      <w:r w:rsidR="003909D1" w:rsidRPr="00B3061D">
        <w:rPr>
          <w:rFonts w:eastAsia="MS Mincho"/>
          <w:b/>
          <w:lang w:val="en-GB" w:eastAsia="ja-JP"/>
        </w:rPr>
        <w:t xml:space="preserve"> “</w:t>
      </w:r>
      <w:r w:rsidR="003909D1" w:rsidRPr="00B3061D">
        <w:rPr>
          <w:rFonts w:eastAsia="MS Mincho"/>
          <w:lang w:val="en-GB" w:eastAsia="ja-JP"/>
        </w:rPr>
        <w:t>Social and cultural factors, together with deliberate breeding decisions and management by livestock keeping communities, have been cr</w:t>
      </w:r>
      <w:r w:rsidR="0076558B">
        <w:rPr>
          <w:rFonts w:eastAsia="MS Mincho"/>
          <w:lang w:val="en-GB" w:eastAsia="ja-JP"/>
        </w:rPr>
        <w:t>ucial to the creation of breeds</w:t>
      </w:r>
      <w:r w:rsidR="003909D1" w:rsidRPr="00B3061D">
        <w:rPr>
          <w:rFonts w:eastAsia="MS Mincho"/>
          <w:lang w:val="en-GB" w:eastAsia="ja-JP"/>
        </w:rPr>
        <w:t>”.</w:t>
      </w:r>
      <w:r w:rsidR="0076558B">
        <w:rPr>
          <w:rStyle w:val="FootnoteReference"/>
          <w:rFonts w:eastAsia="MS Mincho"/>
          <w:lang w:val="en-GB" w:eastAsia="ja-JP"/>
        </w:rPr>
        <w:footnoteReference w:id="29"/>
      </w:r>
      <w:r w:rsidR="003909D1" w:rsidRPr="00B3061D">
        <w:rPr>
          <w:rFonts w:eastAsia="MS Mincho"/>
          <w:lang w:val="en-GB" w:eastAsia="ja-JP"/>
        </w:rPr>
        <w:t xml:space="preserve"> </w:t>
      </w:r>
    </w:p>
    <w:p w14:paraId="23CE17F8" w14:textId="77777777" w:rsidR="00B748B6" w:rsidRPr="00B3061D" w:rsidRDefault="00B748B6" w:rsidP="00B3061D">
      <w:pPr>
        <w:spacing w:after="0" w:line="240" w:lineRule="auto"/>
        <w:rPr>
          <w:rFonts w:eastAsia="MS Mincho"/>
          <w:b/>
          <w:color w:val="000000" w:themeColor="text1"/>
          <w:highlight w:val="yellow"/>
          <w:lang w:val="en-GB" w:eastAsia="ja-JP"/>
        </w:rPr>
      </w:pPr>
    </w:p>
    <w:p w14:paraId="63BADD01" w14:textId="2C5FBBA8" w:rsidR="00ED4FF0" w:rsidRPr="00B3061D" w:rsidRDefault="000651E4" w:rsidP="00626832">
      <w:pPr>
        <w:pStyle w:val="ListParagraph"/>
        <w:numPr>
          <w:ilvl w:val="0"/>
          <w:numId w:val="3"/>
        </w:numPr>
        <w:pBdr>
          <w:bottom w:val="single" w:sz="4" w:space="1" w:color="auto"/>
        </w:pBdr>
        <w:ind w:left="0"/>
        <w:rPr>
          <w:rFonts w:eastAsia="Times New Roman" w:cs="Tahoma"/>
          <w:b/>
          <w:color w:val="000000"/>
          <w:sz w:val="22"/>
          <w:szCs w:val="22"/>
          <w:lang w:val="en-GB" w:eastAsia="nl-NL"/>
        </w:rPr>
      </w:pPr>
      <w:r w:rsidRPr="00B3061D">
        <w:rPr>
          <w:rFonts w:eastAsia="Times New Roman" w:cs="Tahoma"/>
          <w:b/>
          <w:color w:val="000000"/>
          <w:sz w:val="22"/>
          <w:szCs w:val="22"/>
          <w:lang w:val="en-GB" w:eastAsia="nl-NL"/>
        </w:rPr>
        <w:t>Impact of other Aichi targets on Target 18</w:t>
      </w:r>
    </w:p>
    <w:p w14:paraId="7041146E" w14:textId="77777777" w:rsidR="00F86FAE" w:rsidRPr="00B3061D" w:rsidRDefault="00F86FAE" w:rsidP="00B3061D">
      <w:pPr>
        <w:spacing w:after="0" w:line="240" w:lineRule="auto"/>
        <w:rPr>
          <w:rFonts w:eastAsia="Times New Roman" w:cs="Tahoma"/>
          <w:color w:val="000000"/>
          <w:lang w:val="en-GB" w:eastAsia="nl-NL"/>
        </w:rPr>
      </w:pPr>
    </w:p>
    <w:p w14:paraId="772F77F3" w14:textId="51156231" w:rsidR="00F66FCA" w:rsidRPr="00B3061D" w:rsidRDefault="00F66FCA"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In this section we aim to address the other function of the matrix that GBO</w:t>
      </w:r>
      <w:r w:rsidR="004877F0">
        <w:rPr>
          <w:rFonts w:eastAsia="Times New Roman" w:cs="Tahoma"/>
          <w:color w:val="000000"/>
          <w:lang w:val="en-GB" w:eastAsia="nl-NL"/>
        </w:rPr>
        <w:t>4</w:t>
      </w:r>
      <w:r w:rsidRPr="00B3061D">
        <w:rPr>
          <w:rFonts w:eastAsia="Times New Roman" w:cs="Tahoma"/>
          <w:color w:val="000000"/>
          <w:lang w:val="en-GB" w:eastAsia="nl-NL"/>
        </w:rPr>
        <w:t xml:space="preserve"> presents: how traditional knowledge and customary sustainable use of biodiversity are, or can be, influenced and impacted by other targets; both positively as well as adversely.</w:t>
      </w:r>
      <w:r w:rsidR="00B17585">
        <w:rPr>
          <w:rFonts w:eastAsia="Times New Roman" w:cs="Tahoma"/>
          <w:color w:val="000000"/>
          <w:lang w:val="en-GB" w:eastAsia="nl-NL"/>
        </w:rPr>
        <w:t xml:space="preserve"> </w:t>
      </w:r>
      <w:r w:rsidRPr="00B3061D">
        <w:rPr>
          <w:rFonts w:eastAsia="Times New Roman" w:cs="Tahoma"/>
          <w:color w:val="000000"/>
          <w:lang w:val="en-GB" w:eastAsia="nl-NL"/>
        </w:rPr>
        <w:t xml:space="preserve">This is a </w:t>
      </w:r>
      <w:r w:rsidR="00BF1108" w:rsidRPr="00B3061D">
        <w:rPr>
          <w:rFonts w:eastAsia="Times New Roman" w:cs="Tahoma"/>
          <w:color w:val="000000"/>
          <w:lang w:val="en-GB" w:eastAsia="nl-NL"/>
        </w:rPr>
        <w:t>crucial</w:t>
      </w:r>
      <w:r w:rsidRPr="00B3061D">
        <w:rPr>
          <w:rFonts w:eastAsia="Times New Roman" w:cs="Tahoma"/>
          <w:color w:val="000000"/>
          <w:lang w:val="en-GB" w:eastAsia="nl-NL"/>
        </w:rPr>
        <w:t xml:space="preserve"> matter, because </w:t>
      </w:r>
      <w:r w:rsidR="00BF1108" w:rsidRPr="00B3061D">
        <w:rPr>
          <w:rFonts w:eastAsia="Times New Roman" w:cs="Tahoma"/>
          <w:color w:val="000000"/>
          <w:lang w:val="en-GB" w:eastAsia="nl-NL"/>
        </w:rPr>
        <w:t>the above section demonstrated the important role that target 18 can play in the progress of many elements of the strategic plan, and if TK and CS</w:t>
      </w:r>
      <w:r w:rsidR="00202DB5" w:rsidRPr="00B3061D">
        <w:rPr>
          <w:rFonts w:eastAsia="Times New Roman" w:cs="Tahoma"/>
          <w:color w:val="000000"/>
          <w:lang w:val="en-GB" w:eastAsia="nl-NL"/>
        </w:rPr>
        <w:t>U</w:t>
      </w:r>
      <w:r w:rsidR="00BF1108" w:rsidRPr="00B3061D">
        <w:rPr>
          <w:rFonts w:eastAsia="Times New Roman" w:cs="Tahoma"/>
          <w:color w:val="000000"/>
          <w:lang w:val="en-GB" w:eastAsia="nl-NL"/>
        </w:rPr>
        <w:t xml:space="preserve"> were to be lost, discouraged, threatened or otherwise degraded this can have negative conseq</w:t>
      </w:r>
      <w:r w:rsidR="004877F0">
        <w:rPr>
          <w:rFonts w:eastAsia="Times New Roman" w:cs="Tahoma"/>
          <w:color w:val="000000"/>
          <w:lang w:val="en-GB" w:eastAsia="nl-NL"/>
        </w:rPr>
        <w:t>uence for all the elements of the SP</w:t>
      </w:r>
      <w:r w:rsidR="00BF1108" w:rsidRPr="00B3061D">
        <w:rPr>
          <w:rFonts w:eastAsia="Times New Roman" w:cs="Tahoma"/>
          <w:color w:val="000000"/>
          <w:lang w:val="en-GB" w:eastAsia="nl-NL"/>
        </w:rPr>
        <w:t xml:space="preserve">. </w:t>
      </w:r>
    </w:p>
    <w:p w14:paraId="131BD488" w14:textId="77777777" w:rsidR="00BF1108" w:rsidRPr="00B3061D" w:rsidRDefault="00BF1108" w:rsidP="00B3061D">
      <w:pPr>
        <w:spacing w:after="0" w:line="240" w:lineRule="auto"/>
        <w:rPr>
          <w:rFonts w:eastAsia="Times New Roman" w:cs="Tahoma"/>
          <w:color w:val="000000"/>
          <w:lang w:val="en-GB" w:eastAsia="nl-NL"/>
        </w:rPr>
      </w:pPr>
    </w:p>
    <w:p w14:paraId="0559452A" w14:textId="7E77AD76" w:rsidR="009F3ADF" w:rsidRPr="00B3061D" w:rsidRDefault="009F3ADF" w:rsidP="00B3061D">
      <w:pPr>
        <w:spacing w:after="0" w:line="240" w:lineRule="auto"/>
        <w:rPr>
          <w:rFonts w:eastAsia="MS Mincho"/>
          <w:lang w:val="en-GB" w:eastAsia="ja-JP"/>
        </w:rPr>
      </w:pPr>
      <w:r w:rsidRPr="00B3061D">
        <w:rPr>
          <w:rFonts w:eastAsia="MS Mincho"/>
          <w:lang w:val="en-GB" w:eastAsia="ja-JP"/>
        </w:rPr>
        <w:t>To begin with the first target, target 1 on awareness raising</w:t>
      </w:r>
      <w:r w:rsidR="008714C2" w:rsidRPr="00B3061D">
        <w:rPr>
          <w:rFonts w:eastAsia="MS Mincho"/>
          <w:lang w:val="en-GB" w:eastAsia="ja-JP"/>
        </w:rPr>
        <w:t xml:space="preserve">: indigenous peoples often experience a lack of awareness or understanding about their practices, which are sometimes interpreted incorrectly and denoted as ‘harmful’. One example is the experience of shifting cultivators in Thailand: </w:t>
      </w:r>
    </w:p>
    <w:p w14:paraId="78A86CF2" w14:textId="77777777" w:rsidR="00A72A86" w:rsidRDefault="00A72A86" w:rsidP="00B3061D">
      <w:pPr>
        <w:pStyle w:val="NormalWeb"/>
        <w:spacing w:before="0" w:beforeAutospacing="0" w:after="0" w:afterAutospacing="0"/>
        <w:rPr>
          <w:rFonts w:asciiTheme="minorHAnsi" w:hAnsiTheme="minorHAnsi" w:cs="Arial"/>
          <w:color w:val="0070C0"/>
          <w:sz w:val="22"/>
          <w:szCs w:val="22"/>
          <w:lang w:val="en-GB"/>
        </w:rPr>
      </w:pPr>
    </w:p>
    <w:p w14:paraId="6E3DCFA8" w14:textId="69F69E94" w:rsidR="009F3ADF" w:rsidRPr="00B3061D" w:rsidRDefault="008714C2" w:rsidP="000532DA">
      <w:pPr>
        <w:pStyle w:val="NormalWeb"/>
        <w:spacing w:before="0" w:beforeAutospacing="0" w:after="0" w:afterAutospacing="0"/>
        <w:ind w:left="708"/>
        <w:rPr>
          <w:rFonts w:asciiTheme="minorHAnsi" w:hAnsiTheme="minorHAnsi" w:cs="Arial"/>
          <w:color w:val="auto"/>
          <w:sz w:val="22"/>
          <w:szCs w:val="22"/>
          <w:lang w:val="en-GB"/>
        </w:rPr>
      </w:pPr>
      <w:r w:rsidRPr="00B3061D">
        <w:rPr>
          <w:rFonts w:asciiTheme="minorHAnsi" w:hAnsiTheme="minorHAnsi" w:cs="Arial"/>
          <w:color w:val="0070C0"/>
          <w:sz w:val="22"/>
          <w:szCs w:val="22"/>
          <w:lang w:val="en-GB"/>
        </w:rPr>
        <w:t xml:space="preserve">Case study: </w:t>
      </w:r>
      <w:r w:rsidR="009F3ADF" w:rsidRPr="00B3061D">
        <w:rPr>
          <w:rFonts w:asciiTheme="minorHAnsi" w:hAnsiTheme="minorHAnsi" w:cs="Arial"/>
          <w:color w:val="auto"/>
          <w:sz w:val="22"/>
          <w:szCs w:val="22"/>
          <w:lang w:val="en-GB"/>
        </w:rPr>
        <w:t>The FAO Regional Office in Asia and the Pacific (FAO-RAP) and the Asia Indigenous People Pact (AIPP) set up a project ‘Regional Support to Indigenous Peoples for Livelihood and Food Security’. Under this project, seven case studies were conducted in 2014 in Bangladesh, Cambodia, India, Indonesia, Laos, Nepal and Thailand on the livelihood and food security among indigenous shifting cultivation communities in South and Southeast Asia. In August 2014, the findings of the case studies were presented and discussed in a multi-stakeholders consultation in Chiang Mai, Thailand and the main findings and recommendations were summarized in a briefing paper.</w:t>
      </w:r>
      <w:r w:rsidR="009F3ADF" w:rsidRPr="00B3061D">
        <w:rPr>
          <w:rStyle w:val="FootnoteReference"/>
          <w:rFonts w:asciiTheme="minorHAnsi" w:hAnsiTheme="minorHAnsi" w:cs="Arial"/>
          <w:color w:val="auto"/>
          <w:sz w:val="22"/>
          <w:szCs w:val="22"/>
          <w:lang w:val="en-GB"/>
        </w:rPr>
        <w:footnoteReference w:id="30"/>
      </w:r>
    </w:p>
    <w:p w14:paraId="54544DE0" w14:textId="77777777" w:rsidR="009F3ADF" w:rsidRPr="00B3061D" w:rsidRDefault="009F3ADF" w:rsidP="000532DA">
      <w:pPr>
        <w:pStyle w:val="NormalWeb"/>
        <w:spacing w:before="0" w:beforeAutospacing="0" w:after="0" w:afterAutospacing="0"/>
        <w:ind w:left="708"/>
        <w:rPr>
          <w:rFonts w:asciiTheme="minorHAnsi" w:hAnsiTheme="minorHAnsi" w:cs="Arial"/>
          <w:color w:val="auto"/>
          <w:sz w:val="22"/>
          <w:szCs w:val="22"/>
          <w:lang w:val="en-GB"/>
        </w:rPr>
      </w:pPr>
    </w:p>
    <w:p w14:paraId="413C6F4E" w14:textId="77777777" w:rsidR="009F3ADF" w:rsidRPr="00B3061D" w:rsidRDefault="009F3ADF" w:rsidP="000532DA">
      <w:pPr>
        <w:pStyle w:val="NormalWeb"/>
        <w:spacing w:before="0" w:beforeAutospacing="0" w:after="0" w:afterAutospacing="0"/>
        <w:ind w:left="708"/>
        <w:rPr>
          <w:rFonts w:asciiTheme="minorHAnsi" w:hAnsiTheme="minorHAnsi" w:cs="Arial"/>
          <w:color w:val="auto"/>
          <w:sz w:val="22"/>
          <w:szCs w:val="22"/>
          <w:lang w:val="en-GB"/>
        </w:rPr>
      </w:pPr>
      <w:r w:rsidRPr="00B3061D">
        <w:rPr>
          <w:rFonts w:asciiTheme="minorHAnsi" w:hAnsiTheme="minorHAnsi" w:cs="Arial"/>
          <w:color w:val="auto"/>
          <w:sz w:val="22"/>
          <w:szCs w:val="22"/>
          <w:lang w:val="en-GB"/>
        </w:rPr>
        <w:t xml:space="preserve">A main finding is that “shifting cultivation is probably one of the most misunderstood and thus controversial forms of land use. What has been overstressed is the “ slash and burn” component, and the cultivation and fallow period are not fully acknowledged as good practices for biodiversity enhancement, food security and sustainable livelihoods for millions of indigenous peoples. Indigenous shifting cultivators are still widely neglected, criminalized and discriminated by policies and programmes of governments in most countries, and their land and resource rights are not recognized and protected. Likewise, rapid socio-economic and </w:t>
      </w:r>
      <w:proofErr w:type="gramStart"/>
      <w:r w:rsidRPr="00B3061D">
        <w:rPr>
          <w:rFonts w:asciiTheme="minorHAnsi" w:hAnsiTheme="minorHAnsi" w:cs="Arial"/>
          <w:color w:val="auto"/>
          <w:sz w:val="22"/>
          <w:szCs w:val="22"/>
          <w:lang w:val="en-GB"/>
        </w:rPr>
        <w:t>demographic  changes</w:t>
      </w:r>
      <w:proofErr w:type="gramEnd"/>
      <w:r w:rsidRPr="00B3061D">
        <w:rPr>
          <w:rFonts w:asciiTheme="minorHAnsi" w:hAnsiTheme="minorHAnsi" w:cs="Arial"/>
          <w:color w:val="auto"/>
          <w:sz w:val="22"/>
          <w:szCs w:val="22"/>
          <w:lang w:val="en-GB"/>
        </w:rPr>
        <w:t xml:space="preserve">  are now taking place in indigenous territories, which are impacting on the practice of shifting cultivation, as well as to the food security and livelihoods of indigenous peoples”. </w:t>
      </w:r>
    </w:p>
    <w:p w14:paraId="1B5F6CDE" w14:textId="77777777" w:rsidR="00F66FCA" w:rsidRPr="00B3061D" w:rsidRDefault="00F66FCA" w:rsidP="00B3061D">
      <w:pPr>
        <w:spacing w:after="0" w:line="240" w:lineRule="auto"/>
        <w:rPr>
          <w:rFonts w:eastAsia="Times New Roman" w:cs="Tahoma"/>
          <w:color w:val="000000"/>
          <w:lang w:val="en-GB" w:eastAsia="nl-NL"/>
        </w:rPr>
      </w:pPr>
    </w:p>
    <w:p w14:paraId="706874E0" w14:textId="3A0FA564" w:rsidR="00A72A86" w:rsidRDefault="00D82F99"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 xml:space="preserve">Community-based organisations and networks are addressing </w:t>
      </w:r>
      <w:r w:rsidR="005614AA" w:rsidRPr="00B3061D">
        <w:rPr>
          <w:rFonts w:eastAsia="Times New Roman" w:cs="Tahoma"/>
          <w:color w:val="000000"/>
          <w:lang w:val="en-GB" w:eastAsia="nl-NL"/>
        </w:rPr>
        <w:t xml:space="preserve">this by developing and sharing videos, </w:t>
      </w:r>
      <w:r w:rsidR="00E02A61">
        <w:rPr>
          <w:rFonts w:eastAsia="Times New Roman" w:cs="Tahoma"/>
          <w:color w:val="000000"/>
          <w:lang w:val="en-GB" w:eastAsia="nl-NL"/>
        </w:rPr>
        <w:t xml:space="preserve">setting up </w:t>
      </w:r>
      <w:r w:rsidR="005614AA" w:rsidRPr="00B3061D">
        <w:rPr>
          <w:rFonts w:eastAsia="Times New Roman" w:cs="Tahoma"/>
          <w:color w:val="000000"/>
          <w:lang w:val="en-GB" w:eastAsia="nl-NL"/>
        </w:rPr>
        <w:t>websites, publications</w:t>
      </w:r>
      <w:r w:rsidR="00E02A61">
        <w:rPr>
          <w:rFonts w:eastAsia="Times New Roman" w:cs="Tahoma"/>
          <w:color w:val="000000"/>
          <w:lang w:val="en-GB" w:eastAsia="nl-NL"/>
        </w:rPr>
        <w:t xml:space="preserve">, </w:t>
      </w:r>
      <w:r w:rsidR="005614AA" w:rsidRPr="00B3061D">
        <w:rPr>
          <w:rFonts w:eastAsia="Times New Roman" w:cs="Tahoma"/>
          <w:color w:val="000000"/>
          <w:lang w:val="en-GB" w:eastAsia="nl-NL"/>
        </w:rPr>
        <w:t>organising events</w:t>
      </w:r>
      <w:r w:rsidR="00E02A61">
        <w:rPr>
          <w:rFonts w:eastAsia="Times New Roman" w:cs="Tahoma"/>
          <w:color w:val="000000"/>
          <w:lang w:val="en-GB" w:eastAsia="nl-NL"/>
        </w:rPr>
        <w:t xml:space="preserve"> and using social media</w:t>
      </w:r>
      <w:r w:rsidR="005614AA" w:rsidRPr="00B3061D">
        <w:rPr>
          <w:rFonts w:eastAsia="Times New Roman" w:cs="Tahoma"/>
          <w:color w:val="000000"/>
          <w:lang w:val="en-GB" w:eastAsia="nl-NL"/>
        </w:rPr>
        <w:t xml:space="preserve"> to share information about their initiatives and views. </w:t>
      </w:r>
    </w:p>
    <w:p w14:paraId="36E04895" w14:textId="39E0BE7C" w:rsidR="00F66FCA" w:rsidRPr="00B3061D" w:rsidRDefault="009C29AB" w:rsidP="00B3061D">
      <w:pPr>
        <w:spacing w:after="0" w:line="240" w:lineRule="auto"/>
        <w:rPr>
          <w:rFonts w:eastAsia="Times New Roman" w:cs="Tahoma"/>
          <w:color w:val="000000"/>
          <w:lang w:val="en-GB" w:eastAsia="nl-NL"/>
        </w:rPr>
      </w:pPr>
      <w:r w:rsidRPr="00A72A86">
        <w:rPr>
          <w:rFonts w:eastAsia="Times New Roman" w:cs="Tahoma"/>
          <w:b/>
          <w:color w:val="0070C0"/>
          <w:highlight w:val="yellow"/>
          <w:lang w:val="en-GB" w:eastAsia="nl-NL"/>
        </w:rPr>
        <w:t>Case:</w:t>
      </w:r>
      <w:r w:rsidRPr="00A72A86">
        <w:rPr>
          <w:rFonts w:eastAsia="Times New Roman" w:cs="Tahoma"/>
          <w:color w:val="0070C0"/>
          <w:highlight w:val="yellow"/>
          <w:lang w:val="en-GB" w:eastAsia="nl-NL"/>
        </w:rPr>
        <w:t xml:space="preserve"> </w:t>
      </w:r>
      <w:r w:rsidR="005614AA" w:rsidRPr="00A72A86">
        <w:rPr>
          <w:rFonts w:eastAsia="Times New Roman" w:cs="Tahoma"/>
          <w:color w:val="000000"/>
          <w:highlight w:val="yellow"/>
          <w:lang w:val="en-GB" w:eastAsia="nl-NL"/>
        </w:rPr>
        <w:t xml:space="preserve">CEPA working group </w:t>
      </w:r>
      <w:r w:rsidR="00A72A86" w:rsidRPr="00A72A86">
        <w:rPr>
          <w:rFonts w:eastAsia="Times New Roman" w:cs="Tahoma"/>
          <w:color w:val="000000"/>
          <w:highlight w:val="yellow"/>
          <w:lang w:val="en-GB" w:eastAsia="nl-NL"/>
        </w:rPr>
        <w:t>of the IIFB: indigenous portal (further develop)</w:t>
      </w:r>
    </w:p>
    <w:p w14:paraId="63E5C249" w14:textId="77777777" w:rsidR="005614AA" w:rsidRPr="00B3061D" w:rsidRDefault="005614AA" w:rsidP="00B3061D">
      <w:pPr>
        <w:spacing w:after="0" w:line="240" w:lineRule="auto"/>
        <w:rPr>
          <w:rFonts w:eastAsia="Times New Roman" w:cs="Tahoma"/>
          <w:color w:val="000000"/>
          <w:lang w:val="en-GB" w:eastAsia="nl-NL"/>
        </w:rPr>
      </w:pPr>
    </w:p>
    <w:p w14:paraId="005B4CE8" w14:textId="6DD0038F" w:rsidR="005614AA" w:rsidRPr="00B3061D" w:rsidRDefault="005614AA"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 xml:space="preserve">The lack of understanding, just valuation, and prioritization of TK – for instance in developing knowledge/sciences bases on biodiversity (Target 19) or by effectively including TK and TK holders’ views in NBSAPs, national </w:t>
      </w:r>
      <w:r w:rsidR="00B609B8" w:rsidRPr="00B3061D">
        <w:rPr>
          <w:rFonts w:eastAsia="Times New Roman" w:cs="Tahoma"/>
          <w:color w:val="000000"/>
          <w:lang w:val="en-GB" w:eastAsia="nl-NL"/>
        </w:rPr>
        <w:t>monitoring</w:t>
      </w:r>
      <w:r w:rsidRPr="00B3061D">
        <w:rPr>
          <w:rFonts w:eastAsia="Times New Roman" w:cs="Tahoma"/>
          <w:color w:val="000000"/>
          <w:lang w:val="en-GB" w:eastAsia="nl-NL"/>
        </w:rPr>
        <w:t xml:space="preserve"> and reporting (target 17) can itself have a degrading effect on these knowledge systems. Indigenous networks and organisations are addressing this by increasingly flagging and promoting community-based monitoring and requesting ‘science’ to be replaced by ‘knowledge’ in biodiversity assessment platforms like IPBES. Section </w:t>
      </w:r>
      <w:r w:rsidR="00797988" w:rsidRPr="00797988">
        <w:rPr>
          <w:rFonts w:eastAsia="Times New Roman" w:cs="Tahoma"/>
          <w:color w:val="000000"/>
          <w:highlight w:val="yellow"/>
          <w:lang w:val="en-GB" w:eastAsia="nl-NL"/>
        </w:rPr>
        <w:t>5</w:t>
      </w:r>
      <w:r w:rsidRPr="00B3061D">
        <w:rPr>
          <w:rFonts w:eastAsia="Times New Roman" w:cs="Tahoma"/>
          <w:color w:val="000000"/>
          <w:lang w:val="en-GB" w:eastAsia="nl-NL"/>
        </w:rPr>
        <w:t xml:space="preserve"> explores these matters more in-depth. </w:t>
      </w:r>
    </w:p>
    <w:p w14:paraId="0FA89ECE" w14:textId="77777777" w:rsidR="00E145BC" w:rsidRPr="00B3061D" w:rsidRDefault="00E145BC" w:rsidP="00B3061D">
      <w:pPr>
        <w:spacing w:after="0" w:line="240" w:lineRule="auto"/>
        <w:rPr>
          <w:rFonts w:eastAsia="Times New Roman" w:cs="Tahoma"/>
          <w:color w:val="000000"/>
          <w:lang w:val="en-GB" w:eastAsia="nl-NL"/>
        </w:rPr>
      </w:pPr>
    </w:p>
    <w:p w14:paraId="6ED6C5A9" w14:textId="602571BE" w:rsidR="00B609B8" w:rsidRPr="00B3061D" w:rsidRDefault="00B609B8"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 xml:space="preserve">Because of the intrinsic linkages between indigenous peoples’ knowledge, practices, and their territories, the impacts of Target 18 on targets under Strategic Goal B as described above </w:t>
      </w:r>
      <w:r w:rsidR="00832D05" w:rsidRPr="00B3061D">
        <w:rPr>
          <w:rFonts w:eastAsia="Times New Roman" w:cs="Tahoma"/>
          <w:color w:val="000000"/>
          <w:lang w:val="en-GB" w:eastAsia="nl-NL"/>
        </w:rPr>
        <w:t xml:space="preserve">(target 5, 6, 7, 8, 9) </w:t>
      </w:r>
      <w:r w:rsidRPr="00B3061D">
        <w:rPr>
          <w:rFonts w:eastAsia="Times New Roman" w:cs="Tahoma"/>
          <w:color w:val="000000"/>
          <w:lang w:val="en-GB" w:eastAsia="nl-NL"/>
        </w:rPr>
        <w:t xml:space="preserve">also hold true the other way around. </w:t>
      </w:r>
    </w:p>
    <w:p w14:paraId="3C1CAAA8" w14:textId="77777777" w:rsidR="00B609B8" w:rsidRPr="00B3061D" w:rsidRDefault="00B609B8" w:rsidP="00B3061D">
      <w:pPr>
        <w:spacing w:after="0" w:line="240" w:lineRule="auto"/>
        <w:rPr>
          <w:rFonts w:eastAsia="Times New Roman" w:cs="Tahoma"/>
          <w:color w:val="000000"/>
          <w:lang w:val="en-GB" w:eastAsia="nl-NL"/>
        </w:rPr>
      </w:pPr>
    </w:p>
    <w:p w14:paraId="32CBBB9C" w14:textId="1DAE04F6" w:rsidR="00B609B8" w:rsidRPr="00B3061D" w:rsidRDefault="00B609B8" w:rsidP="00B3061D">
      <w:pPr>
        <w:spacing w:after="0" w:line="240" w:lineRule="auto"/>
        <w:rPr>
          <w:rFonts w:eastAsia="Times New Roman" w:cs="Tahoma"/>
          <w:color w:val="000000"/>
          <w:lang w:val="en-GB" w:eastAsia="nl-NL"/>
        </w:rPr>
      </w:pPr>
      <w:r w:rsidRPr="00B3061D">
        <w:rPr>
          <w:rFonts w:eastAsia="Times New Roman" w:cs="Tahoma"/>
          <w:color w:val="000000"/>
          <w:lang w:val="en-GB" w:eastAsia="nl-NL"/>
        </w:rPr>
        <w:t>If their lands and resources (areas for agriculture, fishing, aquaculture</w:t>
      </w:r>
      <w:r w:rsidR="00797988">
        <w:rPr>
          <w:rFonts w:eastAsia="Times New Roman" w:cs="Tahoma"/>
          <w:color w:val="000000"/>
          <w:lang w:val="en-GB" w:eastAsia="nl-NL"/>
        </w:rPr>
        <w:t>, gathering forest- and other products</w:t>
      </w:r>
      <w:r w:rsidRPr="00B3061D">
        <w:rPr>
          <w:rFonts w:eastAsia="Times New Roman" w:cs="Tahoma"/>
          <w:color w:val="000000"/>
          <w:lang w:val="en-GB" w:eastAsia="nl-NL"/>
        </w:rPr>
        <w:t xml:space="preserve">) are overexploited, used unsustainably, polluted, degraded, or destroyed, TK and customary practices pertaining to and practiced in, those areas or related to those species, are in danger as well. </w:t>
      </w:r>
      <w:r w:rsidR="00832D05" w:rsidRPr="00B3061D">
        <w:rPr>
          <w:rFonts w:eastAsia="Times New Roman" w:cs="Tahoma"/>
          <w:color w:val="000000"/>
          <w:lang w:val="en-GB" w:eastAsia="nl-NL"/>
        </w:rPr>
        <w:t xml:space="preserve">At the same time, progress on these targets </w:t>
      </w:r>
      <w:r w:rsidR="00797988">
        <w:rPr>
          <w:rFonts w:eastAsia="Times New Roman" w:cs="Tahoma"/>
          <w:color w:val="000000"/>
          <w:lang w:val="en-GB" w:eastAsia="nl-NL"/>
        </w:rPr>
        <w:t>can</w:t>
      </w:r>
      <w:r w:rsidR="00832D05" w:rsidRPr="00B3061D">
        <w:rPr>
          <w:rFonts w:eastAsia="Times New Roman" w:cs="Tahoma"/>
          <w:color w:val="000000"/>
          <w:lang w:val="en-GB" w:eastAsia="nl-NL"/>
        </w:rPr>
        <w:t xml:space="preserve"> have positive effects on the relevant TK and CSU</w:t>
      </w:r>
      <w:r w:rsidR="00797988">
        <w:rPr>
          <w:rFonts w:eastAsia="Times New Roman" w:cs="Tahoma"/>
          <w:color w:val="000000"/>
          <w:lang w:val="en-GB" w:eastAsia="nl-NL"/>
        </w:rPr>
        <w:t xml:space="preserve"> – if their rights are recognized and benefit-sharing</w:t>
      </w:r>
      <w:r w:rsidR="006D1970">
        <w:rPr>
          <w:rFonts w:eastAsia="Times New Roman" w:cs="Tahoma"/>
          <w:color w:val="000000"/>
          <w:lang w:val="en-GB" w:eastAsia="nl-NL"/>
        </w:rPr>
        <w:t xml:space="preserve"> mechanisms are </w:t>
      </w:r>
      <w:r w:rsidR="00797988">
        <w:rPr>
          <w:rFonts w:eastAsia="Times New Roman" w:cs="Tahoma"/>
          <w:color w:val="000000"/>
          <w:lang w:val="en-GB" w:eastAsia="nl-NL"/>
        </w:rPr>
        <w:t>respected</w:t>
      </w:r>
      <w:r w:rsidR="00832D05" w:rsidRPr="00B3061D">
        <w:rPr>
          <w:rFonts w:eastAsia="Times New Roman" w:cs="Tahoma"/>
          <w:color w:val="000000"/>
          <w:lang w:val="en-GB" w:eastAsia="nl-NL"/>
        </w:rPr>
        <w:t xml:space="preserve">. </w:t>
      </w:r>
    </w:p>
    <w:p w14:paraId="687DCC95" w14:textId="77777777" w:rsidR="00832D05" w:rsidRPr="00B3061D" w:rsidRDefault="00832D05" w:rsidP="00B3061D">
      <w:pPr>
        <w:spacing w:after="0" w:line="240" w:lineRule="auto"/>
        <w:rPr>
          <w:rFonts w:eastAsia="Times New Roman" w:cs="Tahoma"/>
          <w:color w:val="000000"/>
          <w:lang w:val="en-GB" w:eastAsia="nl-NL"/>
        </w:rPr>
      </w:pPr>
    </w:p>
    <w:p w14:paraId="05F29BEF" w14:textId="2E7A9B62" w:rsidR="00D62FAC" w:rsidRPr="00B3061D" w:rsidRDefault="00832D05" w:rsidP="00B62C96">
      <w:pPr>
        <w:spacing w:after="0" w:line="240" w:lineRule="auto"/>
        <w:rPr>
          <w:rFonts w:eastAsia="Times New Roman" w:cs="Tahoma"/>
          <w:color w:val="000000"/>
          <w:lang w:val="en-GB" w:eastAsia="nl-NL"/>
        </w:rPr>
      </w:pPr>
      <w:r w:rsidRPr="00B3061D">
        <w:rPr>
          <w:rFonts w:eastAsia="Times New Roman" w:cs="Tahoma"/>
          <w:color w:val="000000"/>
          <w:lang w:val="en-GB" w:eastAsia="nl-NL"/>
        </w:rPr>
        <w:t xml:space="preserve">While like in any other community, internal problems may exist and breaking of customary rules </w:t>
      </w:r>
      <w:r w:rsidR="006D1970">
        <w:rPr>
          <w:rFonts w:eastAsia="Times New Roman" w:cs="Tahoma"/>
          <w:color w:val="000000"/>
          <w:lang w:val="en-GB" w:eastAsia="nl-NL"/>
        </w:rPr>
        <w:t>may happen</w:t>
      </w:r>
      <w:r w:rsidRPr="00B3061D">
        <w:rPr>
          <w:rFonts w:eastAsia="Times New Roman" w:cs="Tahoma"/>
          <w:color w:val="000000"/>
          <w:lang w:val="en-GB" w:eastAsia="nl-NL"/>
        </w:rPr>
        <w:t>, usually the threats to indigenous territories come from the outside. Under target 3 is it very important to realise that i</w:t>
      </w:r>
      <w:r w:rsidR="00B14FAB" w:rsidRPr="00B3061D">
        <w:rPr>
          <w:rFonts w:eastAsia="Times New Roman" w:cs="Tahoma"/>
          <w:color w:val="000000"/>
          <w:lang w:val="en-GB" w:eastAsia="nl-NL"/>
        </w:rPr>
        <w:t xml:space="preserve">ncentives </w:t>
      </w:r>
      <w:r w:rsidRPr="00B3061D">
        <w:rPr>
          <w:rFonts w:eastAsia="Times New Roman" w:cs="Tahoma"/>
          <w:color w:val="000000"/>
          <w:lang w:val="en-GB" w:eastAsia="nl-NL"/>
        </w:rPr>
        <w:t xml:space="preserve">harmful </w:t>
      </w:r>
      <w:r w:rsidR="00B14FAB" w:rsidRPr="00B3061D">
        <w:rPr>
          <w:rFonts w:eastAsia="Times New Roman" w:cs="Tahoma"/>
          <w:color w:val="000000"/>
          <w:lang w:val="en-GB" w:eastAsia="nl-NL"/>
        </w:rPr>
        <w:t xml:space="preserve">for biodiversity </w:t>
      </w:r>
      <w:r w:rsidRPr="00B3061D">
        <w:rPr>
          <w:rFonts w:eastAsia="Times New Roman" w:cs="Tahoma"/>
          <w:color w:val="000000"/>
          <w:lang w:val="en-GB" w:eastAsia="nl-NL"/>
        </w:rPr>
        <w:t>also damage IP knowledge systems</w:t>
      </w:r>
      <w:r w:rsidR="006D1970">
        <w:rPr>
          <w:rFonts w:eastAsia="Times New Roman" w:cs="Tahoma"/>
          <w:color w:val="000000"/>
          <w:lang w:val="en-GB" w:eastAsia="nl-NL"/>
        </w:rPr>
        <w:t xml:space="preserve">. Moreover, the target should understand that </w:t>
      </w:r>
      <w:r w:rsidR="006D1970" w:rsidRPr="00B3061D">
        <w:rPr>
          <w:rFonts w:eastAsia="Times New Roman" w:cs="Tahoma"/>
          <w:color w:val="000000"/>
          <w:lang w:val="en-GB" w:eastAsia="nl-NL"/>
        </w:rPr>
        <w:t xml:space="preserve">negative incentives for IP management </w:t>
      </w:r>
      <w:proofErr w:type="gramStart"/>
      <w:r w:rsidR="006D1970" w:rsidRPr="00B3061D">
        <w:rPr>
          <w:rFonts w:eastAsia="Times New Roman" w:cs="Tahoma"/>
          <w:color w:val="000000"/>
          <w:lang w:val="en-GB" w:eastAsia="nl-NL"/>
        </w:rPr>
        <w:t>can</w:t>
      </w:r>
      <w:proofErr w:type="gramEnd"/>
      <w:r w:rsidR="006D1970" w:rsidRPr="00B3061D">
        <w:rPr>
          <w:rFonts w:eastAsia="Times New Roman" w:cs="Tahoma"/>
          <w:color w:val="000000"/>
          <w:lang w:val="en-GB" w:eastAsia="nl-NL"/>
        </w:rPr>
        <w:t xml:space="preserve"> have </w:t>
      </w:r>
      <w:r w:rsidR="006D1970" w:rsidRPr="00B3061D">
        <w:rPr>
          <w:rFonts w:eastAsia="Times New Roman" w:cs="Tahoma"/>
          <w:color w:val="000000"/>
          <w:lang w:val="en-GB" w:eastAsia="nl-NL"/>
        </w:rPr>
        <w:lastRenderedPageBreak/>
        <w:t>negative impacts on sustainability and local conservation.</w:t>
      </w:r>
      <w:r w:rsidR="006D1970">
        <w:rPr>
          <w:rFonts w:eastAsia="Times New Roman" w:cs="Tahoma"/>
          <w:color w:val="000000"/>
          <w:lang w:val="en-GB" w:eastAsia="nl-NL"/>
        </w:rPr>
        <w:t xml:space="preserve"> Similarly, </w:t>
      </w:r>
      <w:r w:rsidRPr="00B3061D">
        <w:rPr>
          <w:rFonts w:eastAsia="Times New Roman" w:cs="Tahoma"/>
          <w:color w:val="000000"/>
          <w:lang w:val="en-GB" w:eastAsia="nl-NL"/>
        </w:rPr>
        <w:t xml:space="preserve">positive incentives for biodiversity can include targeted </w:t>
      </w:r>
      <w:r w:rsidR="00B14FAB" w:rsidRPr="00B3061D">
        <w:rPr>
          <w:rFonts w:eastAsia="Times New Roman" w:cs="Tahoma"/>
          <w:color w:val="000000"/>
          <w:lang w:val="en-GB" w:eastAsia="nl-NL"/>
        </w:rPr>
        <w:t>support for indigenous management systems</w:t>
      </w:r>
      <w:r w:rsidRPr="00B3061D">
        <w:rPr>
          <w:rFonts w:eastAsia="Times New Roman" w:cs="Tahoma"/>
          <w:color w:val="000000"/>
          <w:lang w:val="en-GB" w:eastAsia="nl-NL"/>
        </w:rPr>
        <w:t xml:space="preserve">. </w:t>
      </w:r>
    </w:p>
    <w:p w14:paraId="7F79BFC9" w14:textId="77777777" w:rsidR="006D1970" w:rsidRDefault="006D1970" w:rsidP="00B62C96">
      <w:pPr>
        <w:pStyle w:val="Para1"/>
        <w:numPr>
          <w:ilvl w:val="0"/>
          <w:numId w:val="0"/>
        </w:numPr>
        <w:spacing w:before="0" w:after="0"/>
        <w:rPr>
          <w:rFonts w:asciiTheme="minorHAnsi" w:hAnsiTheme="minorHAnsi"/>
          <w:snapToGrid/>
          <w:szCs w:val="22"/>
        </w:rPr>
      </w:pPr>
    </w:p>
    <w:p w14:paraId="3822D714" w14:textId="77777777" w:rsidR="00B62C96" w:rsidRPr="00B62C96" w:rsidRDefault="001B2463" w:rsidP="00B62C96">
      <w:pPr>
        <w:pStyle w:val="Para1"/>
        <w:numPr>
          <w:ilvl w:val="0"/>
          <w:numId w:val="0"/>
        </w:numPr>
        <w:spacing w:before="0" w:after="0"/>
        <w:rPr>
          <w:rFonts w:asciiTheme="minorHAnsi" w:hAnsiTheme="minorHAnsi"/>
          <w:szCs w:val="22"/>
        </w:rPr>
      </w:pPr>
      <w:r w:rsidRPr="00B62C96">
        <w:rPr>
          <w:rFonts w:asciiTheme="minorHAnsi" w:hAnsiTheme="minorHAnsi"/>
          <w:snapToGrid/>
          <w:szCs w:val="22"/>
        </w:rPr>
        <w:t>For example, traditional language</w:t>
      </w:r>
      <w:r w:rsidR="00B62C96" w:rsidRPr="00B62C96">
        <w:rPr>
          <w:rFonts w:asciiTheme="minorHAnsi" w:hAnsiTheme="minorHAnsi"/>
          <w:snapToGrid/>
          <w:szCs w:val="22"/>
        </w:rPr>
        <w:t>s</w:t>
      </w:r>
      <w:r w:rsidRPr="00B62C96">
        <w:rPr>
          <w:rFonts w:asciiTheme="minorHAnsi" w:hAnsiTheme="minorHAnsi"/>
          <w:snapToGrid/>
          <w:szCs w:val="22"/>
        </w:rPr>
        <w:t xml:space="preserve"> are </w:t>
      </w:r>
      <w:r w:rsidR="00B62C96" w:rsidRPr="00B62C96">
        <w:rPr>
          <w:rFonts w:asciiTheme="minorHAnsi" w:hAnsiTheme="minorHAnsi"/>
          <w:snapToGrid/>
          <w:szCs w:val="22"/>
        </w:rPr>
        <w:t xml:space="preserve">an </w:t>
      </w:r>
      <w:r w:rsidRPr="00B62C96">
        <w:rPr>
          <w:rFonts w:asciiTheme="minorHAnsi" w:hAnsiTheme="minorHAnsi"/>
          <w:snapToGrid/>
          <w:szCs w:val="22"/>
        </w:rPr>
        <w:t>essential element of both traditional knowledge and customary</w:t>
      </w:r>
      <w:r w:rsidRPr="00B62C96">
        <w:rPr>
          <w:rFonts w:asciiTheme="minorHAnsi" w:hAnsiTheme="minorHAnsi"/>
          <w:szCs w:val="22"/>
        </w:rPr>
        <w:t xml:space="preserve"> </w:t>
      </w:r>
      <w:r w:rsidRPr="00B62C96">
        <w:rPr>
          <w:rFonts w:asciiTheme="minorHAnsi" w:hAnsiTheme="minorHAnsi"/>
          <w:snapToGrid/>
          <w:szCs w:val="22"/>
        </w:rPr>
        <w:t>use</w:t>
      </w:r>
      <w:r w:rsidRPr="00B62C96">
        <w:rPr>
          <w:rFonts w:asciiTheme="minorHAnsi" w:hAnsiTheme="minorHAnsi"/>
          <w:szCs w:val="22"/>
        </w:rPr>
        <w:t xml:space="preserve">, as local ecological concepts cannot not be captured and explained in other languages. </w:t>
      </w:r>
    </w:p>
    <w:p w14:paraId="3A9880F7" w14:textId="6ED46703" w:rsidR="00FD355D" w:rsidRPr="00B3061D" w:rsidRDefault="00B62C96" w:rsidP="00B62C96">
      <w:pPr>
        <w:pStyle w:val="Para1"/>
        <w:numPr>
          <w:ilvl w:val="0"/>
          <w:numId w:val="0"/>
        </w:numPr>
        <w:spacing w:before="0" w:after="0"/>
        <w:rPr>
          <w:rFonts w:asciiTheme="minorHAnsi" w:hAnsiTheme="minorHAnsi"/>
          <w:szCs w:val="22"/>
        </w:rPr>
      </w:pPr>
      <w:r w:rsidRPr="00B62C96">
        <w:rPr>
          <w:rFonts w:asciiTheme="minorHAnsi" w:hAnsiTheme="minorHAnsi"/>
        </w:rPr>
        <w:t>Indigenous and local communities have elaborated complex classification systems for the natural world, reflecting a profound understanding of their local environment. This environmental knowledge is embedded in indigenous names, oral traditions and taxonomies, and can be lost when a community shifts to another language.</w:t>
      </w:r>
      <w:r w:rsidRPr="00B62C96">
        <w:rPr>
          <w:rStyle w:val="FootnoteReference"/>
          <w:rFonts w:asciiTheme="minorHAnsi" w:hAnsiTheme="minorHAnsi"/>
        </w:rPr>
        <w:footnoteReference w:id="31"/>
      </w:r>
      <w:r w:rsidRPr="00B62C96">
        <w:rPr>
          <w:rFonts w:asciiTheme="minorHAnsi" w:hAnsiTheme="minorHAnsi"/>
        </w:rPr>
        <w:t xml:space="preserve"> </w:t>
      </w:r>
      <w:r>
        <w:rPr>
          <w:rFonts w:asciiTheme="minorHAnsi" w:hAnsiTheme="minorHAnsi"/>
        </w:rPr>
        <w:t xml:space="preserve">The CBD acknowledges </w:t>
      </w:r>
      <w:proofErr w:type="gramStart"/>
      <w:r>
        <w:rPr>
          <w:rFonts w:asciiTheme="minorHAnsi" w:hAnsiTheme="minorHAnsi"/>
        </w:rPr>
        <w:t xml:space="preserve">this </w:t>
      </w:r>
      <w:r w:rsidRPr="00B62C96">
        <w:rPr>
          <w:rFonts w:asciiTheme="minorHAnsi" w:hAnsiTheme="minorHAnsi"/>
        </w:rPr>
        <w:t xml:space="preserve"> fundamental</w:t>
      </w:r>
      <w:proofErr w:type="gramEnd"/>
      <w:r w:rsidRPr="00B62C96">
        <w:rPr>
          <w:rFonts w:asciiTheme="minorHAnsi" w:hAnsiTheme="minorHAnsi"/>
        </w:rPr>
        <w:t xml:space="preserve"> linkage </w:t>
      </w:r>
      <w:r>
        <w:rPr>
          <w:rFonts w:asciiTheme="minorHAnsi" w:hAnsiTheme="minorHAnsi"/>
        </w:rPr>
        <w:t xml:space="preserve">and </w:t>
      </w:r>
      <w:r w:rsidRPr="00B62C96">
        <w:rPr>
          <w:rFonts w:asciiTheme="minorHAnsi" w:hAnsiTheme="minorHAnsi"/>
        </w:rPr>
        <w:t xml:space="preserve"> adopted </w:t>
      </w:r>
      <w:hyperlink r:id="rId10" w:history="1">
        <w:r w:rsidRPr="00B62C96">
          <w:rPr>
            <w:rFonts w:asciiTheme="minorHAnsi" w:hAnsiTheme="minorHAnsi"/>
            <w:color w:val="000000"/>
            <w:lang w:val="en-US"/>
          </w:rPr>
          <w:t>trends of linguistic diversity and numbers of speakers of indigenous languages</w:t>
        </w:r>
      </w:hyperlink>
      <w:r w:rsidRPr="00B62C96">
        <w:rPr>
          <w:rFonts w:asciiTheme="minorHAnsi" w:hAnsiTheme="minorHAnsi"/>
          <w:color w:val="000000"/>
          <w:lang w:val="en-US"/>
        </w:rPr>
        <w:t xml:space="preserve"> as a proxy indicator for status and trends in traditional knowledge</w:t>
      </w:r>
      <w:r>
        <w:rPr>
          <w:rStyle w:val="FootnoteReference"/>
          <w:rFonts w:asciiTheme="minorHAnsi" w:hAnsiTheme="minorHAnsi"/>
          <w:color w:val="000000"/>
          <w:lang w:val="en-US"/>
        </w:rPr>
        <w:footnoteReference w:id="32"/>
      </w:r>
      <w:r>
        <w:rPr>
          <w:rFonts w:asciiTheme="minorHAnsi" w:hAnsiTheme="minorHAnsi"/>
          <w:color w:val="000000"/>
          <w:lang w:val="en-US"/>
        </w:rPr>
        <w:t>.</w:t>
      </w:r>
      <w:r w:rsidRPr="00B62C96">
        <w:rPr>
          <w:rFonts w:asciiTheme="minorHAnsi" w:hAnsiTheme="minorHAnsi"/>
          <w:color w:val="000000"/>
          <w:lang w:val="en-US"/>
        </w:rPr>
        <w:t xml:space="preserve"> </w:t>
      </w:r>
      <w:r w:rsidR="001B2463" w:rsidRPr="00B3061D">
        <w:rPr>
          <w:rFonts w:asciiTheme="minorHAnsi" w:hAnsiTheme="minorHAnsi"/>
          <w:szCs w:val="22"/>
        </w:rPr>
        <w:t xml:space="preserve">Enforced foreign languages and education </w:t>
      </w:r>
      <w:r>
        <w:rPr>
          <w:rFonts w:asciiTheme="minorHAnsi" w:hAnsiTheme="minorHAnsi"/>
          <w:szCs w:val="22"/>
        </w:rPr>
        <w:t xml:space="preserve">that is not culture-sensitive </w:t>
      </w:r>
      <w:r w:rsidR="001B2463" w:rsidRPr="00B3061D">
        <w:rPr>
          <w:rFonts w:asciiTheme="minorHAnsi" w:hAnsiTheme="minorHAnsi"/>
          <w:szCs w:val="22"/>
        </w:rPr>
        <w:t xml:space="preserve">could thus be harmful to traditional knowledge and customary use and as such </w:t>
      </w:r>
      <w:r>
        <w:rPr>
          <w:rFonts w:asciiTheme="minorHAnsi" w:hAnsiTheme="minorHAnsi"/>
          <w:szCs w:val="22"/>
        </w:rPr>
        <w:t>to</w:t>
      </w:r>
      <w:r w:rsidR="001B2463" w:rsidRPr="00B3061D">
        <w:rPr>
          <w:rFonts w:asciiTheme="minorHAnsi" w:hAnsiTheme="minorHAnsi"/>
          <w:szCs w:val="22"/>
        </w:rPr>
        <w:t xml:space="preserve"> the health of biodiversity </w:t>
      </w:r>
      <w:proofErr w:type="gramStart"/>
      <w:r w:rsidR="001B2463" w:rsidRPr="00B3061D">
        <w:rPr>
          <w:rFonts w:asciiTheme="minorHAnsi" w:hAnsiTheme="minorHAnsi"/>
          <w:szCs w:val="22"/>
        </w:rPr>
        <w:t>systems which</w:t>
      </w:r>
      <w:proofErr w:type="gramEnd"/>
      <w:r w:rsidR="001B2463" w:rsidRPr="00B3061D">
        <w:rPr>
          <w:rFonts w:asciiTheme="minorHAnsi" w:hAnsiTheme="minorHAnsi"/>
          <w:szCs w:val="22"/>
        </w:rPr>
        <w:t xml:space="preserve"> are used and managed by indigenous peoples.</w:t>
      </w:r>
    </w:p>
    <w:p w14:paraId="778BB136" w14:textId="20CE5A98" w:rsidR="001B2463" w:rsidRPr="00B3061D" w:rsidRDefault="001B2463" w:rsidP="00B3061D">
      <w:pPr>
        <w:pStyle w:val="Para1"/>
        <w:numPr>
          <w:ilvl w:val="0"/>
          <w:numId w:val="0"/>
        </w:numPr>
        <w:spacing w:before="0" w:after="0"/>
        <w:rPr>
          <w:rFonts w:asciiTheme="minorHAnsi" w:hAnsiTheme="minorHAnsi"/>
          <w:szCs w:val="22"/>
        </w:rPr>
      </w:pPr>
    </w:p>
    <w:p w14:paraId="058E4D67" w14:textId="555937F8" w:rsidR="00C775A5" w:rsidRPr="00B23C8A" w:rsidRDefault="00C775A5" w:rsidP="00B23C8A">
      <w:pPr>
        <w:pStyle w:val="NormalWeb"/>
        <w:spacing w:before="0" w:beforeAutospacing="0" w:after="0" w:afterAutospacing="0"/>
        <w:ind w:left="708"/>
        <w:rPr>
          <w:rFonts w:asciiTheme="minorHAnsi" w:hAnsiTheme="minorHAnsi" w:cs="Arial"/>
          <w:b/>
          <w:color w:val="0070C0"/>
          <w:sz w:val="22"/>
          <w:szCs w:val="22"/>
          <w:lang w:val="en-GB"/>
        </w:rPr>
      </w:pPr>
      <w:r w:rsidRPr="00B23C8A">
        <w:rPr>
          <w:rFonts w:asciiTheme="minorHAnsi" w:hAnsiTheme="minorHAnsi" w:cs="Arial"/>
          <w:b/>
          <w:color w:val="0070C0"/>
          <w:sz w:val="22"/>
          <w:szCs w:val="22"/>
          <w:lang w:val="en-GB"/>
        </w:rPr>
        <w:t xml:space="preserve">Case study: </w:t>
      </w:r>
      <w:r w:rsidR="00B23C8A" w:rsidRPr="00B23C8A">
        <w:rPr>
          <w:rFonts w:asciiTheme="minorHAnsi" w:eastAsia="MS Mincho" w:hAnsiTheme="minorHAnsi"/>
          <w:sz w:val="22"/>
          <w:szCs w:val="22"/>
          <w:lang w:val="en-GB" w:eastAsia="ja-JP"/>
        </w:rPr>
        <w:t>Incentives to livestock keepers to either abandon or maintain their important traditional breed/</w:t>
      </w:r>
      <w:proofErr w:type="gramStart"/>
      <w:r w:rsidR="00B23C8A" w:rsidRPr="00B23C8A">
        <w:rPr>
          <w:rFonts w:asciiTheme="minorHAnsi" w:eastAsia="MS Mincho" w:hAnsiTheme="minorHAnsi"/>
          <w:sz w:val="22"/>
          <w:szCs w:val="22"/>
          <w:lang w:val="en-GB" w:eastAsia="ja-JP"/>
        </w:rPr>
        <w:t>livestock  keeping</w:t>
      </w:r>
      <w:proofErr w:type="gramEnd"/>
    </w:p>
    <w:p w14:paraId="3F3C1141" w14:textId="23B6A388" w:rsidR="00C775A5" w:rsidRPr="00B23C8A" w:rsidRDefault="00B23C8A" w:rsidP="00B23C8A">
      <w:pPr>
        <w:spacing w:after="0" w:line="240" w:lineRule="auto"/>
        <w:ind w:left="708"/>
        <w:rPr>
          <w:rFonts w:eastAsia="Times New Roman" w:cs="Tahoma"/>
          <w:color w:val="000000"/>
          <w:lang w:val="en-GB" w:eastAsia="nl-NL"/>
        </w:rPr>
      </w:pPr>
      <w:r w:rsidRPr="00B23C8A">
        <w:rPr>
          <w:rFonts w:eastAsia="MS Mincho"/>
          <w:color w:val="000000" w:themeColor="text1"/>
          <w:lang w:val="en-GB" w:eastAsia="ja-JP"/>
        </w:rPr>
        <w:t xml:space="preserve">The research done by </w:t>
      </w:r>
      <w:r w:rsidR="00C775A5" w:rsidRPr="00B23C8A">
        <w:rPr>
          <w:rFonts w:eastAsia="MS Mincho"/>
          <w:color w:val="000000" w:themeColor="text1"/>
          <w:lang w:val="en-GB" w:eastAsia="ja-JP"/>
        </w:rPr>
        <w:t>FAO</w:t>
      </w:r>
      <w:r w:rsidRPr="00B23C8A">
        <w:rPr>
          <w:rFonts w:eastAsia="MS Mincho"/>
          <w:color w:val="000000" w:themeColor="text1"/>
          <w:lang w:val="en-GB" w:eastAsia="ja-JP"/>
        </w:rPr>
        <w:t xml:space="preserve"> on</w:t>
      </w:r>
      <w:r w:rsidR="00C775A5" w:rsidRPr="00B23C8A">
        <w:rPr>
          <w:rFonts w:eastAsia="MS Mincho"/>
          <w:color w:val="000000" w:themeColor="text1"/>
          <w:lang w:val="en-GB" w:eastAsia="ja-JP"/>
        </w:rPr>
        <w:t xml:space="preserve"> livestock keepers</w:t>
      </w:r>
      <w:r w:rsidRPr="00B23C8A">
        <w:rPr>
          <w:rFonts w:eastAsia="MS Mincho"/>
          <w:color w:val="000000" w:themeColor="text1"/>
          <w:lang w:val="en-GB" w:eastAsia="ja-JP"/>
        </w:rPr>
        <w:t xml:space="preserve"> found that</w:t>
      </w:r>
      <w:r w:rsidRPr="00B23C8A">
        <w:rPr>
          <w:rFonts w:eastAsia="MS Mincho"/>
          <w:b/>
          <w:color w:val="000000" w:themeColor="text1"/>
          <w:lang w:val="en-GB" w:eastAsia="ja-JP"/>
        </w:rPr>
        <w:t xml:space="preserve"> </w:t>
      </w:r>
      <w:r w:rsidR="00C775A5" w:rsidRPr="00B23C8A">
        <w:rPr>
          <w:rFonts w:eastAsia="MS Mincho"/>
          <w:lang w:val="en-GB" w:eastAsia="ja-JP"/>
        </w:rPr>
        <w:t>negative incentives</w:t>
      </w:r>
      <w:r w:rsidRPr="00B23C8A">
        <w:rPr>
          <w:rFonts w:eastAsia="MS Mincho"/>
          <w:lang w:val="en-GB" w:eastAsia="ja-JP"/>
        </w:rPr>
        <w:t xml:space="preserve"> (i.e. leading to abandonment of the practice)</w:t>
      </w:r>
      <w:r w:rsidR="00C775A5" w:rsidRPr="00B23C8A">
        <w:rPr>
          <w:rFonts w:eastAsia="MS Mincho"/>
          <w:lang w:val="en-GB" w:eastAsia="ja-JP"/>
        </w:rPr>
        <w:t xml:space="preserve"> include changing market demands (</w:t>
      </w:r>
      <w:proofErr w:type="gramStart"/>
      <w:r w:rsidR="00C775A5" w:rsidRPr="00B23C8A">
        <w:rPr>
          <w:rFonts w:eastAsia="MS Mincho"/>
          <w:lang w:val="en-GB" w:eastAsia="ja-JP"/>
        </w:rPr>
        <w:t>..</w:t>
      </w:r>
      <w:proofErr w:type="gramEnd"/>
      <w:r w:rsidR="00C775A5" w:rsidRPr="00B23C8A">
        <w:rPr>
          <w:rFonts w:eastAsia="MS Mincho"/>
          <w:lang w:val="en-GB" w:eastAsia="ja-JP"/>
        </w:rPr>
        <w:t xml:space="preserve">) and pressure to adopt improved breeds and standardized production and breeding systems, loss of grazing grounds and access to water, animal health regulations and changing lifestyles. An important motivation and positive incentive for pastoralists and smallholder farmers is having </w:t>
      </w:r>
      <w:r w:rsidR="00C775A5" w:rsidRPr="00B23C8A">
        <w:rPr>
          <w:rFonts w:eastAsia="MS Mincho"/>
          <w:u w:val="single"/>
          <w:lang w:val="en-GB" w:eastAsia="ja-JP"/>
        </w:rPr>
        <w:t>secure access to grazing and water</w:t>
      </w:r>
      <w:r w:rsidR="00C775A5" w:rsidRPr="00B23C8A">
        <w:rPr>
          <w:rFonts w:eastAsia="MS Mincho"/>
          <w:lang w:val="en-GB" w:eastAsia="ja-JP"/>
        </w:rPr>
        <w:t>. Other means to encourage and enable livestock keepers to continue raising their breeds can be a</w:t>
      </w:r>
      <w:r w:rsidR="00C775A5" w:rsidRPr="00B23C8A">
        <w:rPr>
          <w:rFonts w:eastAsia="MS Mincho"/>
          <w:u w:val="single"/>
          <w:lang w:val="en-GB" w:eastAsia="ja-JP"/>
        </w:rPr>
        <w:t>ccess</w:t>
      </w:r>
      <w:r w:rsidR="00C775A5" w:rsidRPr="00B23C8A">
        <w:rPr>
          <w:rFonts w:eastAsia="MS Mincho"/>
          <w:lang w:val="en-GB" w:eastAsia="ja-JP"/>
        </w:rPr>
        <w:t xml:space="preserve"> to appropriate animal health and extension services, as well as to markets, payment for agro-ecosystem services and favourable policies</w:t>
      </w:r>
      <w:r>
        <w:rPr>
          <w:rStyle w:val="FootnoteReference"/>
          <w:rFonts w:eastAsia="MS Mincho"/>
          <w:lang w:val="en-GB" w:eastAsia="ja-JP"/>
        </w:rPr>
        <w:footnoteReference w:id="33"/>
      </w:r>
    </w:p>
    <w:p w14:paraId="46B5CEA9" w14:textId="77777777" w:rsidR="0076439B" w:rsidRPr="00B3061D" w:rsidRDefault="0076439B" w:rsidP="00B3061D">
      <w:pPr>
        <w:pStyle w:val="ListParagraph"/>
        <w:ind w:left="0"/>
        <w:rPr>
          <w:rFonts w:eastAsia="MS Mincho"/>
          <w:b/>
          <w:color w:val="0070C0"/>
          <w:sz w:val="22"/>
          <w:szCs w:val="22"/>
          <w:lang w:val="en-GB" w:eastAsia="ja-JP"/>
        </w:rPr>
      </w:pPr>
    </w:p>
    <w:p w14:paraId="270C3D2E" w14:textId="2E3C356D" w:rsidR="001B2463" w:rsidRPr="00B3061D" w:rsidRDefault="00CB4BAB" w:rsidP="00B3061D">
      <w:pPr>
        <w:pStyle w:val="Para1"/>
        <w:numPr>
          <w:ilvl w:val="0"/>
          <w:numId w:val="0"/>
        </w:numPr>
        <w:spacing w:before="0" w:after="0"/>
        <w:rPr>
          <w:rFonts w:asciiTheme="minorHAnsi" w:hAnsiTheme="minorHAnsi"/>
          <w:snapToGrid/>
          <w:szCs w:val="22"/>
        </w:rPr>
      </w:pPr>
      <w:r>
        <w:rPr>
          <w:rFonts w:asciiTheme="minorHAnsi" w:hAnsiTheme="minorHAnsi"/>
          <w:szCs w:val="22"/>
        </w:rPr>
        <w:t>As the above case study already indicates, t</w:t>
      </w:r>
      <w:r w:rsidR="001B2463" w:rsidRPr="00B3061D">
        <w:rPr>
          <w:rFonts w:asciiTheme="minorHAnsi" w:hAnsiTheme="minorHAnsi"/>
          <w:szCs w:val="22"/>
        </w:rPr>
        <w:t xml:space="preserve">here is a </w:t>
      </w:r>
      <w:r w:rsidR="000651E4" w:rsidRPr="00B3061D">
        <w:rPr>
          <w:rFonts w:asciiTheme="minorHAnsi" w:hAnsiTheme="minorHAnsi"/>
          <w:szCs w:val="22"/>
        </w:rPr>
        <w:t>crucial link between secure land and resource rights and customary use</w:t>
      </w:r>
      <w:r w:rsidR="00AB03A0" w:rsidRPr="00B3061D">
        <w:rPr>
          <w:rFonts w:asciiTheme="minorHAnsi" w:hAnsiTheme="minorHAnsi"/>
          <w:szCs w:val="22"/>
        </w:rPr>
        <w:t xml:space="preserve"> and traditional knowledge</w:t>
      </w:r>
      <w:r w:rsidR="000651E4" w:rsidRPr="00B3061D">
        <w:rPr>
          <w:rFonts w:asciiTheme="minorHAnsi" w:hAnsiTheme="minorHAnsi"/>
          <w:szCs w:val="22"/>
        </w:rPr>
        <w:t xml:space="preserve">. Access and control of territories </w:t>
      </w:r>
      <w:r w:rsidR="001B2463" w:rsidRPr="00B3061D">
        <w:rPr>
          <w:rFonts w:asciiTheme="minorHAnsi" w:hAnsiTheme="minorHAnsi"/>
          <w:szCs w:val="22"/>
        </w:rPr>
        <w:t>are</w:t>
      </w:r>
      <w:r w:rsidR="000651E4" w:rsidRPr="00B3061D">
        <w:rPr>
          <w:rFonts w:asciiTheme="minorHAnsi" w:hAnsiTheme="minorHAnsi"/>
          <w:szCs w:val="22"/>
        </w:rPr>
        <w:t xml:space="preserve"> vital prerequisites for customary sustainable use. </w:t>
      </w:r>
      <w:r w:rsidR="00AB03A0" w:rsidRPr="00B3061D">
        <w:rPr>
          <w:rFonts w:asciiTheme="minorHAnsi" w:hAnsiTheme="minorHAnsi"/>
          <w:szCs w:val="22"/>
        </w:rPr>
        <w:t>T</w:t>
      </w:r>
      <w:r w:rsidR="001B2463" w:rsidRPr="00B3061D">
        <w:rPr>
          <w:rFonts w:asciiTheme="minorHAnsi" w:hAnsiTheme="minorHAnsi"/>
          <w:snapToGrid/>
          <w:szCs w:val="22"/>
        </w:rPr>
        <w:t>raditional knowledge continue</w:t>
      </w:r>
      <w:r w:rsidR="00AB03A0" w:rsidRPr="00B3061D">
        <w:rPr>
          <w:rFonts w:asciiTheme="minorHAnsi" w:hAnsiTheme="minorHAnsi"/>
          <w:snapToGrid/>
          <w:szCs w:val="22"/>
        </w:rPr>
        <w:t xml:space="preserve">s to be </w:t>
      </w:r>
      <w:r w:rsidR="001B2463" w:rsidRPr="00B3061D">
        <w:rPr>
          <w:rFonts w:asciiTheme="minorHAnsi" w:hAnsiTheme="minorHAnsi"/>
          <w:snapToGrid/>
          <w:szCs w:val="22"/>
        </w:rPr>
        <w:t xml:space="preserve">transmitted to younger generations, and to be practised through “learning by doing” on traditional territories; this </w:t>
      </w:r>
      <w:r w:rsidR="00052A72">
        <w:rPr>
          <w:rFonts w:asciiTheme="minorHAnsi" w:hAnsiTheme="minorHAnsi"/>
          <w:snapToGrid/>
          <w:szCs w:val="22"/>
        </w:rPr>
        <w:t xml:space="preserve">is </w:t>
      </w:r>
      <w:r w:rsidR="001B2463" w:rsidRPr="00B3061D">
        <w:rPr>
          <w:rFonts w:asciiTheme="minorHAnsi" w:hAnsiTheme="minorHAnsi"/>
          <w:snapToGrid/>
          <w:szCs w:val="22"/>
        </w:rPr>
        <w:t xml:space="preserve">why access to traditional territories </w:t>
      </w:r>
      <w:r w:rsidR="00052A72">
        <w:rPr>
          <w:rFonts w:asciiTheme="minorHAnsi" w:hAnsiTheme="minorHAnsi"/>
          <w:snapToGrid/>
          <w:szCs w:val="22"/>
        </w:rPr>
        <w:t>is</w:t>
      </w:r>
      <w:r w:rsidR="001B2463" w:rsidRPr="00B3061D">
        <w:rPr>
          <w:rFonts w:asciiTheme="minorHAnsi" w:hAnsiTheme="minorHAnsi"/>
          <w:snapToGrid/>
          <w:szCs w:val="22"/>
        </w:rPr>
        <w:t xml:space="preserve"> crucial.</w:t>
      </w:r>
      <w:r w:rsidR="00052A72">
        <w:rPr>
          <w:rStyle w:val="FootnoteReference"/>
          <w:rFonts w:asciiTheme="minorHAnsi" w:hAnsiTheme="minorHAnsi"/>
          <w:snapToGrid/>
          <w:szCs w:val="22"/>
        </w:rPr>
        <w:footnoteReference w:id="34"/>
      </w:r>
      <w:r w:rsidR="00EF3EC6" w:rsidRPr="00B3061D">
        <w:rPr>
          <w:rFonts w:asciiTheme="minorHAnsi" w:hAnsiTheme="minorHAnsi"/>
          <w:snapToGrid/>
          <w:szCs w:val="22"/>
        </w:rPr>
        <w:t xml:space="preserve"> Moreover, TK (including rituals and customary laws) frequently relates to specific </w:t>
      </w:r>
      <w:proofErr w:type="gramStart"/>
      <w:r w:rsidR="00EF3EC6" w:rsidRPr="00B3061D">
        <w:rPr>
          <w:rFonts w:asciiTheme="minorHAnsi" w:hAnsiTheme="minorHAnsi"/>
          <w:snapToGrid/>
          <w:szCs w:val="22"/>
        </w:rPr>
        <w:t>areas which</w:t>
      </w:r>
      <w:proofErr w:type="gramEnd"/>
      <w:r w:rsidR="00EF3EC6" w:rsidRPr="00B3061D">
        <w:rPr>
          <w:rFonts w:asciiTheme="minorHAnsi" w:hAnsiTheme="minorHAnsi"/>
          <w:snapToGrid/>
          <w:szCs w:val="22"/>
        </w:rPr>
        <w:t xml:space="preserve"> cannot simply be copied elsewhere in case this area is no longer accessible. </w:t>
      </w:r>
    </w:p>
    <w:p w14:paraId="3DAC4570" w14:textId="77777777" w:rsidR="00FD355D" w:rsidRPr="00B3061D" w:rsidRDefault="00FD355D" w:rsidP="00B3061D">
      <w:pPr>
        <w:pStyle w:val="Para1"/>
        <w:numPr>
          <w:ilvl w:val="0"/>
          <w:numId w:val="0"/>
        </w:numPr>
        <w:spacing w:before="0" w:after="0"/>
        <w:rPr>
          <w:rFonts w:asciiTheme="minorHAnsi" w:hAnsiTheme="minorHAnsi"/>
          <w:snapToGrid/>
          <w:szCs w:val="22"/>
        </w:rPr>
      </w:pPr>
    </w:p>
    <w:p w14:paraId="6F072DDA" w14:textId="7868FDFD" w:rsidR="00FD355D" w:rsidRPr="00B3061D" w:rsidRDefault="00052A72" w:rsidP="00B3061D">
      <w:pPr>
        <w:spacing w:after="0" w:line="240" w:lineRule="auto"/>
        <w:rPr>
          <w:lang w:val="en-GB"/>
        </w:rPr>
      </w:pPr>
      <w:r>
        <w:rPr>
          <w:lang w:val="en-GB"/>
        </w:rPr>
        <w:t xml:space="preserve">Another indicator under Target 18 </w:t>
      </w:r>
      <w:r w:rsidR="00FD355D" w:rsidRPr="00B3061D">
        <w:rPr>
          <w:lang w:val="en-GB"/>
        </w:rPr>
        <w:t>captures th</w:t>
      </w:r>
      <w:r w:rsidR="00B23C8A">
        <w:rPr>
          <w:lang w:val="en-GB"/>
        </w:rPr>
        <w:t>is</w:t>
      </w:r>
      <w:r w:rsidR="00FD355D" w:rsidRPr="00B3061D">
        <w:rPr>
          <w:lang w:val="en-GB"/>
        </w:rPr>
        <w:t xml:space="preserve"> relationship between traditional knowledge, customary sustainable use and land-use change and land tenure</w:t>
      </w:r>
      <w:r>
        <w:rPr>
          <w:lang w:val="en-GB"/>
        </w:rPr>
        <w:t xml:space="preserve"> (‘trend in land-use change and land tenure in the traditional territories of indigenous and local communities’). </w:t>
      </w:r>
      <w:r w:rsidR="00FD355D" w:rsidRPr="00B3061D">
        <w:rPr>
          <w:lang w:val="en-GB"/>
        </w:rPr>
        <w:t xml:space="preserve"> </w:t>
      </w:r>
      <w:r>
        <w:rPr>
          <w:lang w:val="en-GB"/>
        </w:rPr>
        <w:t xml:space="preserve">The CBS understands that for </w:t>
      </w:r>
      <w:r w:rsidR="00FD355D" w:rsidRPr="00B3061D">
        <w:rPr>
          <w:lang w:val="en-GB"/>
        </w:rPr>
        <w:t>example changes in land use from indigenous forests to agriculture imply decreasing opportunity to practice traditional knowledge and customary sustainable use, including traditional occupations.</w:t>
      </w:r>
      <w:r>
        <w:rPr>
          <w:rStyle w:val="FootnoteReference"/>
          <w:lang w:val="en-GB"/>
        </w:rPr>
        <w:footnoteReference w:id="35"/>
      </w:r>
      <w:r w:rsidR="00FD355D" w:rsidRPr="00B3061D">
        <w:rPr>
          <w:lang w:val="en-GB"/>
        </w:rPr>
        <w:t xml:space="preserve"> </w:t>
      </w:r>
    </w:p>
    <w:p w14:paraId="296A533D" w14:textId="017703F4" w:rsidR="00FD355D" w:rsidRPr="00B3061D" w:rsidRDefault="00FD355D"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t xml:space="preserve"> </w:t>
      </w:r>
    </w:p>
    <w:p w14:paraId="1F2BC411" w14:textId="3494EA2F" w:rsidR="00E20C4B" w:rsidRPr="00E20C4B" w:rsidRDefault="00E20C4B" w:rsidP="00E20C4B">
      <w:pPr>
        <w:spacing w:after="0" w:line="240" w:lineRule="auto"/>
        <w:rPr>
          <w:rFonts w:ascii="Calibri" w:hAnsi="Calibri"/>
          <w:lang w:val="en-GB"/>
        </w:rPr>
      </w:pPr>
      <w:r>
        <w:rPr>
          <w:rFonts w:ascii="Calibri" w:hAnsi="Calibri"/>
          <w:lang w:val="en-GB"/>
        </w:rPr>
        <w:t xml:space="preserve">The </w:t>
      </w:r>
      <w:r w:rsidRPr="00E20C4B">
        <w:rPr>
          <w:rFonts w:ascii="Calibri" w:hAnsi="Calibri"/>
          <w:lang w:val="en-GB"/>
        </w:rPr>
        <w:t>latest report</w:t>
      </w:r>
      <w:r>
        <w:rPr>
          <w:rFonts w:ascii="Calibri" w:hAnsi="Calibri"/>
          <w:lang w:val="en-GB"/>
        </w:rPr>
        <w:t xml:space="preserve"> of Rights and Resources Initiative (RRI), prepared with </w:t>
      </w:r>
      <w:proofErr w:type="spellStart"/>
      <w:r>
        <w:rPr>
          <w:rFonts w:ascii="Calibri" w:hAnsi="Calibri"/>
          <w:lang w:val="en-GB"/>
        </w:rPr>
        <w:t>Tebtebba</w:t>
      </w:r>
      <w:proofErr w:type="spellEnd"/>
      <w:r>
        <w:rPr>
          <w:rFonts w:ascii="Calibri" w:hAnsi="Calibri"/>
          <w:lang w:val="en-GB"/>
        </w:rPr>
        <w:t xml:space="preserve">, called </w:t>
      </w:r>
      <w:r w:rsidRPr="00A261B6">
        <w:rPr>
          <w:rFonts w:ascii="Calibri" w:hAnsi="Calibri"/>
          <w:lang w:val="en-GB"/>
        </w:rPr>
        <w:t>‘</w:t>
      </w:r>
      <w:r w:rsidR="006F5484">
        <w:fldChar w:fldCharType="begin"/>
      </w:r>
      <w:r w:rsidR="006F5484">
        <w:instrText xml:space="preserve"> HYPERLINK "http://r20.rs6.net/tn.jsp?f=001NcppWr6DhqTRZXy8c6oqGTlxB8dD-SmFsCsqjfOa3sALS0a-jDWB3366yLmPb3op5wdZCl6-m_SLfMACqyCPR7JiaqTCqWAv0spGigkRap8eQEM7jsNAyiKUfmYC0kNHrHmCP</w:instrText>
      </w:r>
      <w:r w:rsidR="006F5484">
        <w:instrText>JPAujLHBc3IDd1DOHCcr9YuwQXoEXJPwKto96AhmYJGG8XPGTY_xHlwqcFq5p3m6Xt0G4ZxH-3ec-pxxlB1fXKsA_IaWV42xj1pzT47ZWqcaOh97bL5zkVYjkFnVb4yd4XrAeImtNjy22pKbdUSpcUZFGFpELGglphVqDcRaEIFphRURWs2m0TjZ_Y__9jXjReGBRjaBO3OfeBf9B8ofwExEpaYmPpOYxfOT__BDU6lyKI89KltMVwKYqpoBUAvW</w:instrText>
      </w:r>
      <w:r w:rsidR="006F5484">
        <w:instrText xml:space="preserve">Jg52wD004gcg_CJn6dbdJDFWJKT2QsuKUSaYUyA4TFuuM5bFWj2Z21OOX__VUDKwYRsH9eAyyKT0hfvNRc16wLdTHpDdRIDPDsk7Xc=&amp;c=0IU5ZpRcnrL72EEbYr8FoTXroYTvfMkXihxV3L6Il_gJ3VvOIHRdOA==&amp;ch=pjuLkRGcJaAR-pFvF3CXeuizcGHeXQsfUeUQUl58i4vx_8yyeg-v8g==" \t "_blank" </w:instrText>
      </w:r>
      <w:r w:rsidR="006F5484">
        <w:fldChar w:fldCharType="separate"/>
      </w:r>
      <w:r w:rsidRPr="00A261B6">
        <w:rPr>
          <w:rStyle w:val="Hyperlink"/>
          <w:rFonts w:ascii="Calibri" w:hAnsi="Calibri"/>
          <w:bCs/>
          <w:iCs/>
          <w:color w:val="auto"/>
          <w:u w:val="none"/>
          <w:lang w:val="en-GB"/>
        </w:rPr>
        <w:t>Recognizing Indigenous and Community Land Rights: Priority Steps to Advance Development and Mitigate Climate Change</w:t>
      </w:r>
      <w:r w:rsidR="006F5484">
        <w:rPr>
          <w:rStyle w:val="Hyperlink"/>
          <w:rFonts w:ascii="Calibri" w:hAnsi="Calibri"/>
          <w:bCs/>
          <w:iCs/>
          <w:color w:val="auto"/>
          <w:u w:val="none"/>
          <w:lang w:val="en-GB"/>
        </w:rPr>
        <w:fldChar w:fldCharType="end"/>
      </w:r>
      <w:r w:rsidRPr="00A261B6">
        <w:rPr>
          <w:rStyle w:val="Emphasis"/>
          <w:rFonts w:ascii="Calibri" w:hAnsi="Calibri"/>
          <w:lang w:val="en-GB"/>
        </w:rPr>
        <w:t>’</w:t>
      </w:r>
      <w:r w:rsidR="00A261B6">
        <w:rPr>
          <w:rStyle w:val="Emphasis"/>
          <w:rFonts w:ascii="Calibri" w:hAnsi="Calibri"/>
          <w:lang w:val="en-GB"/>
        </w:rPr>
        <w:t xml:space="preserve">, </w:t>
      </w:r>
      <w:r w:rsidRPr="00E20C4B">
        <w:rPr>
          <w:rFonts w:ascii="Calibri" w:hAnsi="Calibri"/>
          <w:lang w:val="en-GB"/>
        </w:rPr>
        <w:t>demonstrates how recognizing community land rights is a cost-effective way to address a host of social, environmental, and development challenges</w:t>
      </w:r>
      <w:r>
        <w:rPr>
          <w:rFonts w:ascii="Calibri" w:hAnsi="Calibri"/>
          <w:lang w:val="en-GB"/>
        </w:rPr>
        <w:t xml:space="preserve">, and </w:t>
      </w:r>
      <w:r w:rsidRPr="00E20C4B">
        <w:rPr>
          <w:rFonts w:ascii="Calibri" w:hAnsi="Calibri"/>
          <w:lang w:val="en-GB"/>
        </w:rPr>
        <w:t xml:space="preserve">calculates the cost of mapping, demarcating, and titling Indigenous Peoples' and communities' rights to the tropical forests </w:t>
      </w:r>
      <w:r w:rsidRPr="00E20C4B">
        <w:rPr>
          <w:rFonts w:ascii="Calibri" w:hAnsi="Calibri"/>
          <w:lang w:val="en-GB"/>
        </w:rPr>
        <w:lastRenderedPageBreak/>
        <w:t>where they live, noting that secure land tenure is a prerequisite for the success of any climate, poverty reduction, and ecosystem conservation initiative.</w:t>
      </w:r>
      <w:r w:rsidR="00F069CA">
        <w:rPr>
          <w:rStyle w:val="FootnoteReference"/>
          <w:rFonts w:ascii="Calibri" w:hAnsi="Calibri"/>
          <w:lang w:val="en-GB"/>
        </w:rPr>
        <w:footnoteReference w:id="36"/>
      </w:r>
      <w:r w:rsidRPr="00E20C4B">
        <w:rPr>
          <w:rFonts w:ascii="Calibri" w:hAnsi="Calibri"/>
          <w:lang w:val="en-GB"/>
        </w:rPr>
        <w:t> </w:t>
      </w:r>
    </w:p>
    <w:p w14:paraId="3B13BA94" w14:textId="77777777" w:rsidR="00E20C4B" w:rsidRDefault="00E20C4B" w:rsidP="00B3061D">
      <w:pPr>
        <w:pStyle w:val="Para1"/>
        <w:numPr>
          <w:ilvl w:val="0"/>
          <w:numId w:val="0"/>
        </w:numPr>
        <w:spacing w:before="0" w:after="0"/>
        <w:rPr>
          <w:rFonts w:asciiTheme="minorHAnsi" w:hAnsiTheme="minorHAnsi"/>
          <w:snapToGrid/>
          <w:szCs w:val="22"/>
        </w:rPr>
      </w:pPr>
    </w:p>
    <w:p w14:paraId="018C60EC" w14:textId="688AB6C3" w:rsidR="006B0A1C" w:rsidRDefault="00E47AAB" w:rsidP="00B3061D">
      <w:pPr>
        <w:pStyle w:val="Para1"/>
        <w:numPr>
          <w:ilvl w:val="0"/>
          <w:numId w:val="0"/>
        </w:numPr>
        <w:spacing w:before="0" w:after="0"/>
        <w:rPr>
          <w:rFonts w:asciiTheme="minorHAnsi" w:hAnsiTheme="minorHAnsi"/>
          <w:snapToGrid/>
          <w:szCs w:val="22"/>
        </w:rPr>
      </w:pPr>
      <w:r w:rsidRPr="00B3061D">
        <w:rPr>
          <w:rFonts w:asciiTheme="minorHAnsi" w:hAnsiTheme="minorHAnsi"/>
          <w:snapToGrid/>
          <w:szCs w:val="22"/>
        </w:rPr>
        <w:t xml:space="preserve">Many indigenous peoples however face a lack of </w:t>
      </w:r>
      <w:r w:rsidR="003137BD">
        <w:rPr>
          <w:rFonts w:asciiTheme="minorHAnsi" w:hAnsiTheme="minorHAnsi"/>
          <w:snapToGrid/>
          <w:szCs w:val="22"/>
        </w:rPr>
        <w:t xml:space="preserve">tenure </w:t>
      </w:r>
      <w:r w:rsidRPr="00B3061D">
        <w:rPr>
          <w:rFonts w:asciiTheme="minorHAnsi" w:hAnsiTheme="minorHAnsi"/>
          <w:snapToGrid/>
          <w:szCs w:val="22"/>
        </w:rPr>
        <w:t xml:space="preserve">security and recognition of their rights. </w:t>
      </w:r>
    </w:p>
    <w:p w14:paraId="234260BD" w14:textId="77777777" w:rsidR="003137BD" w:rsidRDefault="003137BD" w:rsidP="003137BD">
      <w:pPr>
        <w:pStyle w:val="Para1"/>
        <w:numPr>
          <w:ilvl w:val="0"/>
          <w:numId w:val="0"/>
        </w:numPr>
        <w:spacing w:before="0" w:after="0"/>
        <w:ind w:left="708"/>
        <w:rPr>
          <w:rFonts w:asciiTheme="minorHAnsi" w:hAnsiTheme="minorHAnsi"/>
          <w:snapToGrid/>
          <w:szCs w:val="22"/>
        </w:rPr>
      </w:pPr>
    </w:p>
    <w:p w14:paraId="7C29929E" w14:textId="61EAC1CA" w:rsidR="003137BD" w:rsidRDefault="003137BD" w:rsidP="003137BD">
      <w:pPr>
        <w:pStyle w:val="Para1"/>
        <w:numPr>
          <w:ilvl w:val="0"/>
          <w:numId w:val="0"/>
        </w:numPr>
        <w:spacing w:before="0" w:after="0"/>
        <w:ind w:left="708"/>
        <w:rPr>
          <w:rFonts w:asciiTheme="minorHAnsi" w:hAnsiTheme="minorHAnsi"/>
          <w:snapToGrid/>
          <w:szCs w:val="22"/>
        </w:rPr>
      </w:pPr>
      <w:r w:rsidRPr="003137BD">
        <w:rPr>
          <w:rFonts w:asciiTheme="minorHAnsi" w:hAnsiTheme="minorHAnsi"/>
          <w:snapToGrid/>
          <w:color w:val="0070C0"/>
          <w:szCs w:val="22"/>
        </w:rPr>
        <w:t xml:space="preserve">Case study: </w:t>
      </w:r>
      <w:r>
        <w:rPr>
          <w:rFonts w:asciiTheme="minorHAnsi" w:hAnsiTheme="minorHAnsi"/>
          <w:snapToGrid/>
          <w:szCs w:val="22"/>
        </w:rPr>
        <w:t xml:space="preserve">land tenure problems </w:t>
      </w:r>
    </w:p>
    <w:p w14:paraId="4485EDB4" w14:textId="77777777" w:rsidR="003137BD" w:rsidRDefault="003137BD" w:rsidP="003137BD">
      <w:pPr>
        <w:pStyle w:val="Para1"/>
        <w:numPr>
          <w:ilvl w:val="0"/>
          <w:numId w:val="0"/>
        </w:numPr>
        <w:spacing w:before="0" w:after="0"/>
        <w:ind w:left="708"/>
        <w:rPr>
          <w:rFonts w:asciiTheme="minorHAnsi" w:hAnsiTheme="minorHAnsi"/>
          <w:snapToGrid/>
          <w:szCs w:val="22"/>
        </w:rPr>
      </w:pPr>
    </w:p>
    <w:p w14:paraId="66977DF4" w14:textId="77777777" w:rsidR="006B0A1C" w:rsidRDefault="006B0A1C" w:rsidP="003137BD">
      <w:pPr>
        <w:pStyle w:val="Para1"/>
        <w:numPr>
          <w:ilvl w:val="0"/>
          <w:numId w:val="0"/>
        </w:numPr>
        <w:spacing w:before="0" w:after="0"/>
        <w:ind w:left="708"/>
        <w:rPr>
          <w:rFonts w:asciiTheme="minorHAnsi" w:hAnsiTheme="minorHAnsi"/>
          <w:snapToGrid/>
          <w:szCs w:val="22"/>
        </w:rPr>
      </w:pPr>
      <w:r w:rsidRPr="006B0A1C">
        <w:rPr>
          <w:rFonts w:asciiTheme="minorHAnsi" w:hAnsiTheme="minorHAnsi"/>
          <w:snapToGrid/>
          <w:szCs w:val="22"/>
        </w:rPr>
        <w:t xml:space="preserve">In the highlands of Northern Thailand, the lack of title to agricultural and residential lands is one of the main problems affecting </w:t>
      </w:r>
      <w:r>
        <w:rPr>
          <w:rFonts w:asciiTheme="minorHAnsi" w:hAnsiTheme="minorHAnsi"/>
          <w:snapToGrid/>
          <w:szCs w:val="22"/>
        </w:rPr>
        <w:t xml:space="preserve">indigenous tribes </w:t>
      </w:r>
      <w:r w:rsidRPr="006B0A1C">
        <w:rPr>
          <w:rFonts w:asciiTheme="minorHAnsi" w:hAnsiTheme="minorHAnsi"/>
          <w:snapToGrid/>
          <w:szCs w:val="22"/>
        </w:rPr>
        <w:t xml:space="preserve">and is causing insecurity in resource management. This is a result of Thai laws that have placed certain areas under the direct administration of government agencies, such as the laws concerning National Reserve Forests, National Parks, Cabinet resolutions and the Land Act. These laws have created obstacles for highland communities seeking to claim their rights. The Forest Act of 1941, for instance, defined as ‘forest’ any land to which no individual has laid legal claim (even if the land in question was not actually forested). </w:t>
      </w:r>
      <w:r>
        <w:rPr>
          <w:rFonts w:asciiTheme="minorHAnsi" w:hAnsiTheme="minorHAnsi"/>
          <w:snapToGrid/>
          <w:szCs w:val="22"/>
        </w:rPr>
        <w:t xml:space="preserve">Since the highland areas where </w:t>
      </w:r>
      <w:r w:rsidRPr="006B0A1C">
        <w:rPr>
          <w:rFonts w:asciiTheme="minorHAnsi" w:hAnsiTheme="minorHAnsi"/>
          <w:snapToGrid/>
          <w:szCs w:val="22"/>
        </w:rPr>
        <w:t>tribal people live had not been surveyed and no title deeds had been issued, they were now consid</w:t>
      </w:r>
      <w:r>
        <w:rPr>
          <w:rFonts w:asciiTheme="minorHAnsi" w:hAnsiTheme="minorHAnsi"/>
          <w:snapToGrid/>
          <w:szCs w:val="22"/>
        </w:rPr>
        <w:t xml:space="preserve">ered forest and State property. </w:t>
      </w:r>
      <w:r w:rsidRPr="006B0A1C">
        <w:rPr>
          <w:rFonts w:asciiTheme="minorHAnsi" w:hAnsiTheme="minorHAnsi"/>
          <w:snapToGrid/>
          <w:szCs w:val="22"/>
        </w:rPr>
        <w:t xml:space="preserve">Although a number of articles of the 1997 Thai Constitution do provide legal protection for communities to participate in the use and conservation of natural resources, and support indigenous peoples’ access to natural resources and biodiversity, the main challenge is to achieve the implementation of these positive constitutional provisions. </w:t>
      </w:r>
      <w:r>
        <w:rPr>
          <w:rFonts w:asciiTheme="minorHAnsi" w:hAnsiTheme="minorHAnsi"/>
          <w:snapToGrid/>
          <w:szCs w:val="22"/>
        </w:rPr>
        <w:t>Only during the past year have</w:t>
      </w:r>
      <w:r w:rsidRPr="006B0A1C">
        <w:rPr>
          <w:rFonts w:asciiTheme="minorHAnsi" w:hAnsiTheme="minorHAnsi"/>
          <w:snapToGrid/>
          <w:szCs w:val="22"/>
        </w:rPr>
        <w:t xml:space="preserve"> new pilot project</w:t>
      </w:r>
      <w:r>
        <w:rPr>
          <w:rFonts w:asciiTheme="minorHAnsi" w:hAnsiTheme="minorHAnsi"/>
          <w:snapToGrid/>
          <w:szCs w:val="22"/>
        </w:rPr>
        <w:t>s and cabinet resolutions</w:t>
      </w:r>
      <w:r w:rsidRPr="006B0A1C">
        <w:rPr>
          <w:rFonts w:asciiTheme="minorHAnsi" w:hAnsiTheme="minorHAnsi"/>
          <w:snapToGrid/>
          <w:szCs w:val="22"/>
        </w:rPr>
        <w:t xml:space="preserve"> </w:t>
      </w:r>
      <w:r>
        <w:rPr>
          <w:rFonts w:asciiTheme="minorHAnsi" w:hAnsiTheme="minorHAnsi"/>
          <w:snapToGrid/>
          <w:szCs w:val="22"/>
        </w:rPr>
        <w:t>started to</w:t>
      </w:r>
      <w:r w:rsidRPr="006B0A1C">
        <w:rPr>
          <w:rFonts w:asciiTheme="minorHAnsi" w:hAnsiTheme="minorHAnsi"/>
          <w:snapToGrid/>
          <w:szCs w:val="22"/>
        </w:rPr>
        <w:t xml:space="preserve"> to explore the con</w:t>
      </w:r>
      <w:r>
        <w:rPr>
          <w:rFonts w:asciiTheme="minorHAnsi" w:hAnsiTheme="minorHAnsi"/>
          <w:snapToGrid/>
          <w:szCs w:val="22"/>
        </w:rPr>
        <w:t xml:space="preserve">cept of collective land titling. </w:t>
      </w:r>
    </w:p>
    <w:p w14:paraId="441D6938" w14:textId="77777777" w:rsidR="003137BD" w:rsidRDefault="003137BD" w:rsidP="003137BD">
      <w:pPr>
        <w:pStyle w:val="Para1"/>
        <w:numPr>
          <w:ilvl w:val="0"/>
          <w:numId w:val="0"/>
        </w:numPr>
        <w:spacing w:before="0" w:after="0"/>
        <w:ind w:left="708"/>
        <w:rPr>
          <w:rFonts w:asciiTheme="minorHAnsi" w:hAnsiTheme="minorHAnsi"/>
          <w:snapToGrid/>
          <w:szCs w:val="22"/>
        </w:rPr>
      </w:pPr>
    </w:p>
    <w:p w14:paraId="71C2E7C9" w14:textId="77777777" w:rsidR="006B0A1C" w:rsidRDefault="006B0A1C" w:rsidP="003137BD">
      <w:pPr>
        <w:pStyle w:val="Para1"/>
        <w:numPr>
          <w:ilvl w:val="0"/>
          <w:numId w:val="0"/>
        </w:numPr>
        <w:spacing w:before="0" w:after="0"/>
        <w:ind w:left="708"/>
        <w:rPr>
          <w:rFonts w:asciiTheme="minorHAnsi" w:hAnsiTheme="minorHAnsi"/>
          <w:snapToGrid/>
          <w:szCs w:val="22"/>
        </w:rPr>
      </w:pPr>
      <w:r>
        <w:rPr>
          <w:rFonts w:asciiTheme="minorHAnsi" w:hAnsiTheme="minorHAnsi"/>
          <w:snapToGrid/>
          <w:szCs w:val="22"/>
        </w:rPr>
        <w:t xml:space="preserve">In Suriname, </w:t>
      </w:r>
      <w:r w:rsidRPr="006B0A1C">
        <w:rPr>
          <w:rFonts w:asciiTheme="minorHAnsi" w:hAnsiTheme="minorHAnsi"/>
          <w:snapToGrid/>
          <w:szCs w:val="22"/>
        </w:rPr>
        <w:t xml:space="preserve">Indigenous peoples’ right to collectively own, control and manage resources is not recognised </w:t>
      </w:r>
      <w:r>
        <w:rPr>
          <w:rFonts w:asciiTheme="minorHAnsi" w:hAnsiTheme="minorHAnsi"/>
          <w:snapToGrid/>
          <w:szCs w:val="22"/>
        </w:rPr>
        <w:t>by</w:t>
      </w:r>
      <w:r w:rsidRPr="006B0A1C">
        <w:rPr>
          <w:rFonts w:asciiTheme="minorHAnsi" w:hAnsiTheme="minorHAnsi"/>
          <w:snapToGrid/>
          <w:szCs w:val="22"/>
        </w:rPr>
        <w:t xml:space="preserve"> law. The indigenous territories are legally classified as ‘State lands’, so in formal terms, the state owns, governs and manages all lands and territories. In some villages (individual) titles have been issued to outsiders, allowing city dwellers to own the best properties along the river, thereby reducing access to the river for community members to moor boats,</w:t>
      </w:r>
      <w:r>
        <w:rPr>
          <w:rFonts w:asciiTheme="minorHAnsi" w:hAnsiTheme="minorHAnsi"/>
          <w:snapToGrid/>
          <w:szCs w:val="22"/>
        </w:rPr>
        <w:t xml:space="preserve"> fish, bathe or wash clothes.  </w:t>
      </w:r>
    </w:p>
    <w:p w14:paraId="375A6E33" w14:textId="77777777" w:rsidR="003137BD" w:rsidRDefault="003137BD" w:rsidP="003137BD">
      <w:pPr>
        <w:pStyle w:val="Para1"/>
        <w:numPr>
          <w:ilvl w:val="0"/>
          <w:numId w:val="0"/>
        </w:numPr>
        <w:spacing w:before="0" w:after="0"/>
        <w:ind w:left="708"/>
        <w:rPr>
          <w:rFonts w:asciiTheme="minorHAnsi" w:hAnsiTheme="minorHAnsi"/>
          <w:snapToGrid/>
          <w:szCs w:val="22"/>
        </w:rPr>
      </w:pPr>
    </w:p>
    <w:p w14:paraId="02825D8D" w14:textId="53364093" w:rsidR="006B0A1C" w:rsidRPr="006B0A1C" w:rsidRDefault="006B0A1C" w:rsidP="003137BD">
      <w:pPr>
        <w:pStyle w:val="Para1"/>
        <w:numPr>
          <w:ilvl w:val="0"/>
          <w:numId w:val="0"/>
        </w:numPr>
        <w:spacing w:before="0" w:after="0"/>
        <w:ind w:left="708"/>
        <w:rPr>
          <w:rFonts w:asciiTheme="minorHAnsi" w:hAnsiTheme="minorHAnsi"/>
          <w:snapToGrid/>
          <w:szCs w:val="22"/>
        </w:rPr>
      </w:pPr>
      <w:r w:rsidRPr="006B0A1C">
        <w:rPr>
          <w:rFonts w:asciiTheme="minorHAnsi" w:hAnsiTheme="minorHAnsi"/>
          <w:snapToGrid/>
          <w:szCs w:val="22"/>
        </w:rPr>
        <w:t xml:space="preserve">Lack of secure land and resource rights is also a major and long-standing livelihood issue affecting </w:t>
      </w:r>
      <w:proofErr w:type="spellStart"/>
      <w:r w:rsidRPr="006B0A1C">
        <w:rPr>
          <w:rFonts w:asciiTheme="minorHAnsi" w:hAnsiTheme="minorHAnsi"/>
          <w:snapToGrid/>
          <w:szCs w:val="22"/>
        </w:rPr>
        <w:t>Wapichan</w:t>
      </w:r>
      <w:proofErr w:type="spellEnd"/>
      <w:r w:rsidRPr="006B0A1C">
        <w:rPr>
          <w:rFonts w:asciiTheme="minorHAnsi" w:hAnsiTheme="minorHAnsi"/>
          <w:snapToGrid/>
          <w:szCs w:val="22"/>
        </w:rPr>
        <w:t xml:space="preserve"> communities</w:t>
      </w:r>
      <w:r w:rsidR="003137BD">
        <w:rPr>
          <w:rFonts w:asciiTheme="minorHAnsi" w:hAnsiTheme="minorHAnsi"/>
          <w:snapToGrid/>
          <w:szCs w:val="22"/>
        </w:rPr>
        <w:t xml:space="preserve"> in Guyana</w:t>
      </w:r>
      <w:r w:rsidRPr="006B0A1C">
        <w:rPr>
          <w:rFonts w:asciiTheme="minorHAnsi" w:hAnsiTheme="minorHAnsi"/>
          <w:snapToGrid/>
          <w:szCs w:val="22"/>
        </w:rPr>
        <w:t xml:space="preserve">. Over half of the </w:t>
      </w:r>
      <w:proofErr w:type="spellStart"/>
      <w:r w:rsidRPr="006B0A1C">
        <w:rPr>
          <w:rFonts w:asciiTheme="minorHAnsi" w:hAnsiTheme="minorHAnsi"/>
          <w:snapToGrid/>
          <w:szCs w:val="22"/>
        </w:rPr>
        <w:t>Wapichan’s</w:t>
      </w:r>
      <w:proofErr w:type="spellEnd"/>
      <w:r w:rsidRPr="006B0A1C">
        <w:rPr>
          <w:rFonts w:asciiTheme="minorHAnsi" w:hAnsiTheme="minorHAnsi"/>
          <w:snapToGrid/>
          <w:szCs w:val="22"/>
        </w:rPr>
        <w:t xml:space="preserve"> major and minor settlements and a large part of their customary farmlands, hunting, fishing, and gathering grounds lack the protection of legal land title. </w:t>
      </w:r>
      <w:r w:rsidR="003137BD">
        <w:rPr>
          <w:rFonts w:asciiTheme="minorHAnsi" w:hAnsiTheme="minorHAnsi"/>
          <w:snapToGrid/>
          <w:szCs w:val="22"/>
        </w:rPr>
        <w:t xml:space="preserve">The mapping and management planning (see above) have partly been done to extend the land titles. </w:t>
      </w:r>
    </w:p>
    <w:p w14:paraId="6358218A" w14:textId="77777777" w:rsidR="003137BD" w:rsidRDefault="003137BD" w:rsidP="003137BD">
      <w:pPr>
        <w:pStyle w:val="Para1"/>
        <w:numPr>
          <w:ilvl w:val="0"/>
          <w:numId w:val="0"/>
        </w:numPr>
        <w:spacing w:before="0" w:after="0"/>
        <w:rPr>
          <w:rFonts w:asciiTheme="minorHAnsi" w:hAnsiTheme="minorHAnsi"/>
          <w:snapToGrid/>
          <w:szCs w:val="22"/>
        </w:rPr>
      </w:pPr>
    </w:p>
    <w:p w14:paraId="18173712" w14:textId="2C923E8B" w:rsidR="006B0A1C" w:rsidRDefault="006B0A1C" w:rsidP="003137BD">
      <w:pPr>
        <w:pStyle w:val="Para1"/>
        <w:numPr>
          <w:ilvl w:val="0"/>
          <w:numId w:val="0"/>
        </w:numPr>
        <w:spacing w:before="0" w:after="0"/>
        <w:ind w:left="708"/>
        <w:rPr>
          <w:rFonts w:asciiTheme="minorHAnsi" w:hAnsiTheme="minorHAnsi"/>
          <w:snapToGrid/>
          <w:szCs w:val="22"/>
        </w:rPr>
      </w:pPr>
      <w:r w:rsidRPr="006B0A1C">
        <w:rPr>
          <w:rFonts w:asciiTheme="minorHAnsi" w:hAnsiTheme="minorHAnsi"/>
          <w:snapToGrid/>
          <w:szCs w:val="22"/>
        </w:rPr>
        <w:t xml:space="preserve">The traditional resource users of the </w:t>
      </w:r>
      <w:proofErr w:type="spellStart"/>
      <w:r w:rsidRPr="006B0A1C">
        <w:rPr>
          <w:rFonts w:asciiTheme="minorHAnsi" w:hAnsiTheme="minorHAnsi"/>
          <w:snapToGrid/>
          <w:szCs w:val="22"/>
        </w:rPr>
        <w:t>Sundarbans</w:t>
      </w:r>
      <w:proofErr w:type="spellEnd"/>
      <w:r w:rsidR="003137BD">
        <w:rPr>
          <w:rFonts w:asciiTheme="minorHAnsi" w:hAnsiTheme="minorHAnsi"/>
          <w:snapToGrid/>
          <w:szCs w:val="22"/>
        </w:rPr>
        <w:t xml:space="preserve"> (Bangladesh)</w:t>
      </w:r>
      <w:r w:rsidRPr="006B0A1C">
        <w:rPr>
          <w:rFonts w:asciiTheme="minorHAnsi" w:hAnsiTheme="minorHAnsi"/>
          <w:snapToGrid/>
          <w:szCs w:val="22"/>
        </w:rPr>
        <w:t xml:space="preserve"> have no resource rights inside the forest. They rely on seasonal permits to harvest and collect resources and are literally at the mercy of Forest Department officials, </w:t>
      </w:r>
      <w:proofErr w:type="gramStart"/>
      <w:r w:rsidRPr="006B0A1C">
        <w:rPr>
          <w:rFonts w:asciiTheme="minorHAnsi" w:hAnsiTheme="minorHAnsi"/>
          <w:snapToGrid/>
          <w:szCs w:val="22"/>
        </w:rPr>
        <w:t>money lenders</w:t>
      </w:r>
      <w:proofErr w:type="gramEnd"/>
      <w:r w:rsidRPr="006B0A1C">
        <w:rPr>
          <w:rFonts w:asciiTheme="minorHAnsi" w:hAnsiTheme="minorHAnsi"/>
          <w:snapToGrid/>
          <w:szCs w:val="22"/>
        </w:rPr>
        <w:t xml:space="preserve"> and influential people in order to obtain permits and means to enter the forest.</w:t>
      </w:r>
      <w:r w:rsidR="003137BD">
        <w:rPr>
          <w:rStyle w:val="FootnoteReference"/>
          <w:rFonts w:asciiTheme="minorHAnsi" w:hAnsiTheme="minorHAnsi"/>
          <w:snapToGrid/>
          <w:szCs w:val="22"/>
        </w:rPr>
        <w:footnoteReference w:id="37"/>
      </w:r>
      <w:r w:rsidRPr="006B0A1C">
        <w:rPr>
          <w:rFonts w:asciiTheme="minorHAnsi" w:hAnsiTheme="minorHAnsi"/>
          <w:snapToGrid/>
          <w:szCs w:val="22"/>
        </w:rPr>
        <w:t xml:space="preserve"> </w:t>
      </w:r>
    </w:p>
    <w:p w14:paraId="4DA85E6D" w14:textId="77777777" w:rsidR="006B0A1C" w:rsidRDefault="006B0A1C" w:rsidP="00B3061D">
      <w:pPr>
        <w:pStyle w:val="Para1"/>
        <w:numPr>
          <w:ilvl w:val="0"/>
          <w:numId w:val="0"/>
        </w:numPr>
        <w:spacing w:before="0" w:after="0"/>
        <w:rPr>
          <w:rFonts w:asciiTheme="minorHAnsi" w:hAnsiTheme="minorHAnsi"/>
          <w:snapToGrid/>
          <w:szCs w:val="22"/>
        </w:rPr>
      </w:pPr>
    </w:p>
    <w:p w14:paraId="51B98876" w14:textId="544A94D7" w:rsidR="00E47AAB" w:rsidRPr="00B3061D" w:rsidRDefault="003137BD" w:rsidP="00B3061D">
      <w:pPr>
        <w:pStyle w:val="Para1"/>
        <w:numPr>
          <w:ilvl w:val="0"/>
          <w:numId w:val="0"/>
        </w:numPr>
        <w:spacing w:before="0" w:after="0"/>
        <w:rPr>
          <w:rFonts w:asciiTheme="minorHAnsi" w:hAnsiTheme="minorHAnsi"/>
          <w:szCs w:val="22"/>
        </w:rPr>
      </w:pPr>
      <w:r>
        <w:rPr>
          <w:rFonts w:asciiTheme="minorHAnsi" w:hAnsiTheme="minorHAnsi"/>
          <w:snapToGrid/>
          <w:szCs w:val="22"/>
        </w:rPr>
        <w:t>The lack of secure land and resource rights</w:t>
      </w:r>
      <w:r w:rsidR="00E47AAB" w:rsidRPr="00B3061D">
        <w:rPr>
          <w:rFonts w:asciiTheme="minorHAnsi" w:hAnsiTheme="minorHAnsi"/>
          <w:snapToGrid/>
          <w:szCs w:val="22"/>
        </w:rPr>
        <w:t xml:space="preserve"> can lead to decreased motivation to continue sustainable practices,</w:t>
      </w:r>
      <w:r w:rsidR="00A261B6">
        <w:rPr>
          <w:rFonts w:asciiTheme="minorHAnsi" w:hAnsiTheme="minorHAnsi"/>
          <w:snapToGrid/>
          <w:szCs w:val="22"/>
        </w:rPr>
        <w:t xml:space="preserve"> </w:t>
      </w:r>
      <w:r w:rsidR="00CB4BAB">
        <w:rPr>
          <w:rFonts w:asciiTheme="minorHAnsi" w:hAnsiTheme="minorHAnsi"/>
          <w:snapToGrid/>
          <w:szCs w:val="22"/>
        </w:rPr>
        <w:t xml:space="preserve">and </w:t>
      </w:r>
      <w:r w:rsidR="00A261B6">
        <w:rPr>
          <w:rFonts w:asciiTheme="minorHAnsi" w:hAnsiTheme="minorHAnsi"/>
          <w:snapToGrid/>
          <w:szCs w:val="22"/>
        </w:rPr>
        <w:t xml:space="preserve">undermine or even make it impossible to </w:t>
      </w:r>
      <w:r w:rsidR="00CB4BAB">
        <w:rPr>
          <w:rFonts w:asciiTheme="minorHAnsi" w:hAnsiTheme="minorHAnsi"/>
          <w:snapToGrid/>
          <w:szCs w:val="22"/>
        </w:rPr>
        <w:t>maintain</w:t>
      </w:r>
      <w:r w:rsidR="00A261B6">
        <w:rPr>
          <w:rFonts w:asciiTheme="minorHAnsi" w:hAnsiTheme="minorHAnsi"/>
          <w:snapToGrid/>
          <w:szCs w:val="22"/>
        </w:rPr>
        <w:t xml:space="preserve"> sustainable </w:t>
      </w:r>
      <w:r w:rsidR="00CB4BAB">
        <w:rPr>
          <w:rFonts w:asciiTheme="minorHAnsi" w:hAnsiTheme="minorHAnsi"/>
          <w:snapToGrid/>
          <w:szCs w:val="22"/>
        </w:rPr>
        <w:t>practices</w:t>
      </w:r>
      <w:r w:rsidR="00A261B6">
        <w:rPr>
          <w:rFonts w:asciiTheme="minorHAnsi" w:hAnsiTheme="minorHAnsi"/>
          <w:snapToGrid/>
          <w:szCs w:val="22"/>
        </w:rPr>
        <w:t xml:space="preserve">. But it can </w:t>
      </w:r>
      <w:r w:rsidR="00E47AAB" w:rsidRPr="00B3061D">
        <w:rPr>
          <w:rFonts w:asciiTheme="minorHAnsi" w:hAnsiTheme="minorHAnsi"/>
          <w:snapToGrid/>
          <w:szCs w:val="22"/>
        </w:rPr>
        <w:t>also disempower communities to halt unsustainable or destructive initiatives like mining or logging</w:t>
      </w:r>
      <w:r w:rsidR="00CB4BAB">
        <w:rPr>
          <w:rFonts w:asciiTheme="minorHAnsi" w:hAnsiTheme="minorHAnsi"/>
          <w:snapToGrid/>
          <w:szCs w:val="22"/>
        </w:rPr>
        <w:t>, illegal poaching, etcetera</w:t>
      </w:r>
      <w:r w:rsidR="00E47AAB" w:rsidRPr="00B3061D">
        <w:rPr>
          <w:rFonts w:asciiTheme="minorHAnsi" w:hAnsiTheme="minorHAnsi"/>
          <w:snapToGrid/>
          <w:szCs w:val="22"/>
        </w:rPr>
        <w:t xml:space="preserve">.  </w:t>
      </w:r>
    </w:p>
    <w:p w14:paraId="0E31AC72" w14:textId="77777777" w:rsidR="001B2463" w:rsidRPr="00B3061D" w:rsidRDefault="001B2463" w:rsidP="00B3061D">
      <w:pPr>
        <w:pStyle w:val="Para1"/>
        <w:numPr>
          <w:ilvl w:val="0"/>
          <w:numId w:val="0"/>
        </w:numPr>
        <w:spacing w:before="0" w:after="0"/>
        <w:rPr>
          <w:rFonts w:asciiTheme="minorHAnsi" w:hAnsiTheme="minorHAnsi"/>
          <w:szCs w:val="22"/>
        </w:rPr>
      </w:pPr>
    </w:p>
    <w:p w14:paraId="5E9FCC6D" w14:textId="48013BD5" w:rsidR="008F60E0" w:rsidRDefault="00E47AAB" w:rsidP="008F60E0">
      <w:pPr>
        <w:pStyle w:val="Para1"/>
        <w:numPr>
          <w:ilvl w:val="0"/>
          <w:numId w:val="0"/>
        </w:numPr>
        <w:spacing w:before="0" w:after="0"/>
        <w:rPr>
          <w:rFonts w:asciiTheme="minorHAnsi" w:hAnsiTheme="minorHAnsi"/>
          <w:szCs w:val="22"/>
        </w:rPr>
      </w:pPr>
      <w:r w:rsidRPr="00B3061D">
        <w:rPr>
          <w:rFonts w:asciiTheme="minorHAnsi" w:hAnsiTheme="minorHAnsi"/>
          <w:szCs w:val="22"/>
        </w:rPr>
        <w:lastRenderedPageBreak/>
        <w:t xml:space="preserve">Even </w:t>
      </w:r>
      <w:r w:rsidR="000651E4" w:rsidRPr="00B3061D">
        <w:rPr>
          <w:rFonts w:asciiTheme="minorHAnsi" w:hAnsiTheme="minorHAnsi"/>
          <w:szCs w:val="22"/>
        </w:rPr>
        <w:t xml:space="preserve">protected areas </w:t>
      </w:r>
      <w:r w:rsidRPr="00B3061D">
        <w:rPr>
          <w:rFonts w:asciiTheme="minorHAnsi" w:hAnsiTheme="minorHAnsi"/>
          <w:szCs w:val="22"/>
        </w:rPr>
        <w:t xml:space="preserve">(target 11) </w:t>
      </w:r>
      <w:r w:rsidR="009D4F75" w:rsidRPr="00B3061D">
        <w:rPr>
          <w:rFonts w:asciiTheme="minorHAnsi" w:hAnsiTheme="minorHAnsi"/>
          <w:szCs w:val="22"/>
        </w:rPr>
        <w:t xml:space="preserve">have been and are still </w:t>
      </w:r>
      <w:r w:rsidR="000651E4" w:rsidRPr="00B3061D">
        <w:rPr>
          <w:rFonts w:asciiTheme="minorHAnsi" w:hAnsiTheme="minorHAnsi"/>
          <w:szCs w:val="22"/>
        </w:rPr>
        <w:t>est</w:t>
      </w:r>
      <w:r w:rsidR="000651E4" w:rsidRPr="00B3061D">
        <w:rPr>
          <w:rFonts w:asciiTheme="minorHAnsi" w:hAnsiTheme="minorHAnsi"/>
          <w:iCs/>
          <w:snapToGrid/>
          <w:szCs w:val="22"/>
        </w:rPr>
        <w:t>a</w:t>
      </w:r>
      <w:r w:rsidR="000651E4" w:rsidRPr="00B3061D">
        <w:rPr>
          <w:rFonts w:asciiTheme="minorHAnsi" w:hAnsiTheme="minorHAnsi"/>
          <w:szCs w:val="22"/>
        </w:rPr>
        <w:t>blished without the involvement and consent of local communities</w:t>
      </w:r>
      <w:r w:rsidR="009D4F75" w:rsidRPr="00B3061D">
        <w:rPr>
          <w:rFonts w:asciiTheme="minorHAnsi" w:hAnsiTheme="minorHAnsi"/>
          <w:szCs w:val="22"/>
        </w:rPr>
        <w:t>, which</w:t>
      </w:r>
      <w:r w:rsidR="000651E4" w:rsidRPr="00B3061D">
        <w:rPr>
          <w:rFonts w:asciiTheme="minorHAnsi" w:hAnsiTheme="minorHAnsi"/>
          <w:szCs w:val="22"/>
        </w:rPr>
        <w:t xml:space="preserve"> restrict access and use of traditional areas and therefore threaten customary use</w:t>
      </w:r>
      <w:r w:rsidR="009D4F75" w:rsidRPr="00B3061D">
        <w:rPr>
          <w:rFonts w:asciiTheme="minorHAnsi" w:hAnsiTheme="minorHAnsi"/>
          <w:szCs w:val="22"/>
        </w:rPr>
        <w:t xml:space="preserve"> and TK pertaining to those areas. </w:t>
      </w:r>
    </w:p>
    <w:p w14:paraId="6BF2E615" w14:textId="4468867A" w:rsidR="006D7EAD" w:rsidRDefault="006D7EAD" w:rsidP="00B3061D">
      <w:pPr>
        <w:pStyle w:val="Para1"/>
        <w:numPr>
          <w:ilvl w:val="0"/>
          <w:numId w:val="0"/>
        </w:numPr>
        <w:spacing w:before="0" w:after="0"/>
        <w:rPr>
          <w:rFonts w:asciiTheme="minorHAnsi" w:hAnsiTheme="minorHAnsi"/>
          <w:szCs w:val="22"/>
        </w:rPr>
      </w:pPr>
    </w:p>
    <w:p w14:paraId="522B7689" w14:textId="75A45FBE" w:rsidR="00825434" w:rsidRDefault="00825434" w:rsidP="00825434">
      <w:pPr>
        <w:pStyle w:val="Para1"/>
        <w:numPr>
          <w:ilvl w:val="0"/>
          <w:numId w:val="0"/>
        </w:numPr>
        <w:spacing w:after="0"/>
        <w:rPr>
          <w:rFonts w:asciiTheme="minorHAnsi" w:hAnsiTheme="minorHAnsi"/>
          <w:szCs w:val="22"/>
        </w:rPr>
      </w:pPr>
      <w:r>
        <w:rPr>
          <w:rFonts w:asciiTheme="minorHAnsi" w:hAnsiTheme="minorHAnsi"/>
          <w:szCs w:val="22"/>
        </w:rPr>
        <w:t>For instance a</w:t>
      </w:r>
      <w:r w:rsidRPr="007C43FE">
        <w:rPr>
          <w:rFonts w:asciiTheme="minorHAnsi" w:hAnsiTheme="minorHAnsi"/>
          <w:szCs w:val="22"/>
        </w:rPr>
        <w:t xml:space="preserve">nalysis of the maps created by </w:t>
      </w:r>
      <w:proofErr w:type="spellStart"/>
      <w:r w:rsidRPr="007C43FE">
        <w:rPr>
          <w:rFonts w:asciiTheme="minorHAnsi" w:hAnsiTheme="minorHAnsi"/>
          <w:szCs w:val="22"/>
        </w:rPr>
        <w:t>Baka</w:t>
      </w:r>
      <w:proofErr w:type="spellEnd"/>
      <w:r w:rsidRPr="007C43FE">
        <w:rPr>
          <w:rFonts w:asciiTheme="minorHAnsi" w:hAnsiTheme="minorHAnsi"/>
          <w:szCs w:val="22"/>
        </w:rPr>
        <w:t xml:space="preserve"> communities </w:t>
      </w:r>
      <w:r>
        <w:rPr>
          <w:rFonts w:asciiTheme="minorHAnsi" w:hAnsiTheme="minorHAnsi"/>
          <w:szCs w:val="22"/>
        </w:rPr>
        <w:t xml:space="preserve">in Cameroon </w:t>
      </w:r>
      <w:r w:rsidRPr="007C43FE">
        <w:rPr>
          <w:rFonts w:asciiTheme="minorHAnsi" w:hAnsiTheme="minorHAnsi"/>
          <w:szCs w:val="22"/>
        </w:rPr>
        <w:t xml:space="preserve">shows the close relationship between the </w:t>
      </w:r>
      <w:proofErr w:type="spellStart"/>
      <w:r w:rsidRPr="007C43FE">
        <w:rPr>
          <w:rFonts w:asciiTheme="minorHAnsi" w:hAnsiTheme="minorHAnsi"/>
          <w:szCs w:val="22"/>
        </w:rPr>
        <w:t>Baka</w:t>
      </w:r>
      <w:proofErr w:type="spellEnd"/>
      <w:r w:rsidRPr="007C43FE">
        <w:rPr>
          <w:rFonts w:asciiTheme="minorHAnsi" w:hAnsiTheme="minorHAnsi"/>
          <w:szCs w:val="22"/>
        </w:rPr>
        <w:t xml:space="preserve"> people and the forest and its resources in what is now the </w:t>
      </w:r>
      <w:proofErr w:type="spellStart"/>
      <w:r w:rsidRPr="007C43FE">
        <w:rPr>
          <w:rFonts w:asciiTheme="minorHAnsi" w:hAnsiTheme="minorHAnsi"/>
          <w:szCs w:val="22"/>
        </w:rPr>
        <w:t>Dja</w:t>
      </w:r>
      <w:proofErr w:type="spellEnd"/>
      <w:r w:rsidRPr="007C43FE">
        <w:rPr>
          <w:rFonts w:asciiTheme="minorHAnsi" w:hAnsiTheme="minorHAnsi"/>
          <w:szCs w:val="22"/>
        </w:rPr>
        <w:t xml:space="preserve"> Biosphere Reserve and its importance for their livelihoods. But the Forestry Law has imposed restrictions on most </w:t>
      </w:r>
      <w:proofErr w:type="spellStart"/>
      <w:r w:rsidRPr="007C43FE">
        <w:rPr>
          <w:rFonts w:asciiTheme="minorHAnsi" w:hAnsiTheme="minorHAnsi"/>
          <w:szCs w:val="22"/>
        </w:rPr>
        <w:t>Baka</w:t>
      </w:r>
      <w:proofErr w:type="spellEnd"/>
      <w:r w:rsidRPr="007C43FE">
        <w:rPr>
          <w:rFonts w:asciiTheme="minorHAnsi" w:hAnsiTheme="minorHAnsi"/>
          <w:szCs w:val="22"/>
        </w:rPr>
        <w:t xml:space="preserve"> activities both in and around the Reserve.</w:t>
      </w:r>
      <w:r>
        <w:rPr>
          <w:rFonts w:asciiTheme="minorHAnsi" w:hAnsiTheme="minorHAnsi"/>
          <w:szCs w:val="22"/>
        </w:rPr>
        <w:t xml:space="preserve"> </w:t>
      </w:r>
      <w:r w:rsidRPr="007C43FE">
        <w:rPr>
          <w:rFonts w:asciiTheme="minorHAnsi" w:hAnsiTheme="minorHAnsi"/>
          <w:szCs w:val="22"/>
        </w:rPr>
        <w:t xml:space="preserve">The recently established </w:t>
      </w:r>
      <w:proofErr w:type="spellStart"/>
      <w:r w:rsidRPr="007C43FE">
        <w:rPr>
          <w:rFonts w:asciiTheme="minorHAnsi" w:hAnsiTheme="minorHAnsi"/>
          <w:szCs w:val="22"/>
        </w:rPr>
        <w:t>Boumba-Bek</w:t>
      </w:r>
      <w:proofErr w:type="spellEnd"/>
      <w:r w:rsidRPr="007C43FE">
        <w:rPr>
          <w:rFonts w:asciiTheme="minorHAnsi" w:hAnsiTheme="minorHAnsi"/>
          <w:szCs w:val="22"/>
        </w:rPr>
        <w:t xml:space="preserve"> and </w:t>
      </w:r>
      <w:proofErr w:type="spellStart"/>
      <w:r w:rsidRPr="007C43FE">
        <w:rPr>
          <w:rFonts w:asciiTheme="minorHAnsi" w:hAnsiTheme="minorHAnsi"/>
          <w:szCs w:val="22"/>
        </w:rPr>
        <w:t>Nki</w:t>
      </w:r>
      <w:proofErr w:type="spellEnd"/>
      <w:r w:rsidRPr="007C43FE">
        <w:rPr>
          <w:rFonts w:asciiTheme="minorHAnsi" w:hAnsiTheme="minorHAnsi"/>
          <w:szCs w:val="22"/>
        </w:rPr>
        <w:t xml:space="preserve"> National Parks (2005) similarly overlap the traditional territories of </w:t>
      </w:r>
      <w:proofErr w:type="spellStart"/>
      <w:r w:rsidRPr="007C43FE">
        <w:rPr>
          <w:rFonts w:asciiTheme="minorHAnsi" w:hAnsiTheme="minorHAnsi"/>
          <w:szCs w:val="22"/>
        </w:rPr>
        <w:t>Baka</w:t>
      </w:r>
      <w:proofErr w:type="spellEnd"/>
      <w:r w:rsidRPr="007C43FE">
        <w:rPr>
          <w:rFonts w:asciiTheme="minorHAnsi" w:hAnsiTheme="minorHAnsi"/>
          <w:szCs w:val="22"/>
        </w:rPr>
        <w:t xml:space="preserve"> hunter-gatherers in south-east Cameroon</w:t>
      </w:r>
      <w:r>
        <w:rPr>
          <w:rFonts w:asciiTheme="minorHAnsi" w:hAnsiTheme="minorHAnsi"/>
          <w:szCs w:val="22"/>
        </w:rPr>
        <w:t xml:space="preserve"> and </w:t>
      </w:r>
      <w:proofErr w:type="spellStart"/>
      <w:r>
        <w:rPr>
          <w:rFonts w:asciiTheme="minorHAnsi" w:hAnsiTheme="minorHAnsi"/>
          <w:szCs w:val="22"/>
        </w:rPr>
        <w:t>Baka</w:t>
      </w:r>
      <w:proofErr w:type="spellEnd"/>
      <w:r>
        <w:rPr>
          <w:rFonts w:asciiTheme="minorHAnsi" w:hAnsiTheme="minorHAnsi"/>
          <w:szCs w:val="22"/>
        </w:rPr>
        <w:t xml:space="preserve"> researchers also documented d</w:t>
      </w:r>
      <w:r w:rsidRPr="007C43FE">
        <w:rPr>
          <w:rFonts w:asciiTheme="minorHAnsi" w:hAnsiTheme="minorHAnsi"/>
          <w:szCs w:val="22"/>
        </w:rPr>
        <w:t xml:space="preserve">enied access to, and use of, their ancestral territories, </w:t>
      </w:r>
      <w:r>
        <w:rPr>
          <w:rFonts w:asciiTheme="minorHAnsi" w:hAnsiTheme="minorHAnsi"/>
          <w:szCs w:val="22"/>
        </w:rPr>
        <w:t xml:space="preserve">impacting on their </w:t>
      </w:r>
      <w:r w:rsidRPr="007C43FE">
        <w:rPr>
          <w:rFonts w:asciiTheme="minorHAnsi" w:hAnsiTheme="minorHAnsi"/>
          <w:szCs w:val="22"/>
        </w:rPr>
        <w:t>livelihoods and subsistence, health (decreased access to medicinal pla</w:t>
      </w:r>
      <w:r>
        <w:rPr>
          <w:rFonts w:asciiTheme="minorHAnsi" w:hAnsiTheme="minorHAnsi"/>
          <w:szCs w:val="22"/>
        </w:rPr>
        <w:t>nts), and culture and knowledge</w:t>
      </w:r>
      <w:r>
        <w:rPr>
          <w:rStyle w:val="FootnoteReference"/>
          <w:rFonts w:asciiTheme="minorHAnsi" w:hAnsiTheme="minorHAnsi"/>
          <w:szCs w:val="22"/>
        </w:rPr>
        <w:footnoteReference w:id="38"/>
      </w:r>
      <w:r>
        <w:rPr>
          <w:rFonts w:asciiTheme="minorHAnsi" w:hAnsiTheme="minorHAnsi"/>
          <w:szCs w:val="22"/>
        </w:rPr>
        <w:t xml:space="preserve">. </w:t>
      </w:r>
      <w:r w:rsidR="008F60E0" w:rsidRPr="00E6184C">
        <w:rPr>
          <w:rFonts w:asciiTheme="minorHAnsi" w:hAnsiTheme="minorHAnsi"/>
          <w:szCs w:val="22"/>
          <w:highlight w:val="yellow"/>
        </w:rPr>
        <w:t>[</w:t>
      </w:r>
      <w:proofErr w:type="gramStart"/>
      <w:r w:rsidR="008F60E0" w:rsidRPr="00E6184C">
        <w:rPr>
          <w:rFonts w:asciiTheme="minorHAnsi" w:hAnsiTheme="minorHAnsi"/>
          <w:szCs w:val="22"/>
          <w:highlight w:val="yellow"/>
        </w:rPr>
        <w:t>check</w:t>
      </w:r>
      <w:proofErr w:type="gramEnd"/>
      <w:r w:rsidR="008F60E0" w:rsidRPr="00E6184C">
        <w:rPr>
          <w:rFonts w:asciiTheme="minorHAnsi" w:hAnsiTheme="minorHAnsi"/>
          <w:szCs w:val="22"/>
          <w:highlight w:val="yellow"/>
        </w:rPr>
        <w:t xml:space="preserve"> facts/updates]</w:t>
      </w:r>
    </w:p>
    <w:p w14:paraId="22B34359" w14:textId="77777777" w:rsidR="00825434" w:rsidRDefault="00825434" w:rsidP="00B3061D">
      <w:pPr>
        <w:pStyle w:val="Para1"/>
        <w:numPr>
          <w:ilvl w:val="0"/>
          <w:numId w:val="0"/>
        </w:numPr>
        <w:spacing w:before="0" w:after="0"/>
        <w:rPr>
          <w:rFonts w:asciiTheme="minorHAnsi" w:hAnsiTheme="minorHAnsi"/>
          <w:szCs w:val="22"/>
        </w:rPr>
      </w:pPr>
    </w:p>
    <w:p w14:paraId="5F8D9945" w14:textId="7D5B61D9" w:rsidR="001F67ED" w:rsidRPr="001F67ED" w:rsidRDefault="001F67ED" w:rsidP="001F67ED">
      <w:pPr>
        <w:pStyle w:val="Para1"/>
        <w:numPr>
          <w:ilvl w:val="0"/>
          <w:numId w:val="0"/>
        </w:numPr>
        <w:spacing w:before="0" w:after="0"/>
        <w:rPr>
          <w:rFonts w:asciiTheme="minorHAnsi" w:hAnsiTheme="minorHAnsi"/>
        </w:rPr>
      </w:pPr>
      <w:r w:rsidRPr="001F67ED">
        <w:rPr>
          <w:rFonts w:asciiTheme="minorHAnsi" w:hAnsiTheme="minorHAnsi"/>
          <w:szCs w:val="22"/>
        </w:rPr>
        <w:t xml:space="preserve">Relating to governance and rights issues, </w:t>
      </w:r>
      <w:r w:rsidR="006D7EAD" w:rsidRPr="001F67ED">
        <w:rPr>
          <w:rFonts w:asciiTheme="minorHAnsi" w:hAnsiTheme="minorHAnsi"/>
          <w:szCs w:val="22"/>
        </w:rPr>
        <w:t>Aichi Target 11 aims for “equitably managed” systems of protected areas and “other effective area-based</w:t>
      </w:r>
      <w:r w:rsidRPr="001F67ED">
        <w:rPr>
          <w:rFonts w:asciiTheme="minorHAnsi" w:hAnsiTheme="minorHAnsi"/>
          <w:szCs w:val="22"/>
        </w:rPr>
        <w:t xml:space="preserve"> conservation measures”. But the ‘equitable’ element is not specifically measured in </w:t>
      </w:r>
      <w:r w:rsidRPr="001F67ED">
        <w:rPr>
          <w:rFonts w:asciiTheme="minorHAnsi" w:hAnsiTheme="minorHAnsi"/>
        </w:rPr>
        <w:t>GBO4 (advance draft)</w:t>
      </w:r>
      <w:r>
        <w:rPr>
          <w:rFonts w:asciiTheme="minorHAnsi" w:hAnsiTheme="minorHAnsi"/>
        </w:rPr>
        <w:t>. The chapter on target 11,</w:t>
      </w:r>
      <w:r w:rsidRPr="001F67ED">
        <w:rPr>
          <w:rFonts w:asciiTheme="minorHAnsi" w:hAnsiTheme="minorHAnsi"/>
        </w:rPr>
        <w:t xml:space="preserve"> including the ‘dashboard’</w:t>
      </w:r>
      <w:r>
        <w:rPr>
          <w:rFonts w:asciiTheme="minorHAnsi" w:hAnsiTheme="minorHAnsi"/>
        </w:rPr>
        <w:t>,</w:t>
      </w:r>
      <w:r w:rsidRPr="001F67ED">
        <w:rPr>
          <w:rFonts w:asciiTheme="minorHAnsi" w:hAnsiTheme="minorHAnsi"/>
        </w:rPr>
        <w:t xml:space="preserve"> pays some attention to (measuring) management effectiveness, </w:t>
      </w:r>
      <w:r>
        <w:rPr>
          <w:rFonts w:asciiTheme="minorHAnsi" w:hAnsiTheme="minorHAnsi"/>
        </w:rPr>
        <w:t xml:space="preserve">but not management </w:t>
      </w:r>
      <w:r w:rsidRPr="001F67ED">
        <w:rPr>
          <w:rFonts w:asciiTheme="minorHAnsi" w:hAnsiTheme="minorHAnsi"/>
        </w:rPr>
        <w:t>‘equit</w:t>
      </w:r>
      <w:r>
        <w:rPr>
          <w:rFonts w:asciiTheme="minorHAnsi" w:hAnsiTheme="minorHAnsi"/>
        </w:rPr>
        <w:t>abilit</w:t>
      </w:r>
      <w:r w:rsidRPr="001F67ED">
        <w:rPr>
          <w:rFonts w:asciiTheme="minorHAnsi" w:hAnsiTheme="minorHAnsi"/>
        </w:rPr>
        <w:t xml:space="preserve">y’. </w:t>
      </w:r>
    </w:p>
    <w:p w14:paraId="5A8813AA" w14:textId="77777777" w:rsidR="001F67ED" w:rsidRDefault="001F67ED" w:rsidP="00B3061D">
      <w:pPr>
        <w:pStyle w:val="Para1"/>
        <w:numPr>
          <w:ilvl w:val="0"/>
          <w:numId w:val="0"/>
        </w:numPr>
        <w:spacing w:before="0" w:after="0"/>
        <w:rPr>
          <w:rFonts w:asciiTheme="minorHAnsi" w:hAnsiTheme="minorHAnsi"/>
          <w:szCs w:val="22"/>
        </w:rPr>
      </w:pPr>
    </w:p>
    <w:p w14:paraId="7F880F94" w14:textId="2E8C376B" w:rsidR="006D7EAD" w:rsidRDefault="001F67ED" w:rsidP="00B3061D">
      <w:pPr>
        <w:pStyle w:val="Para1"/>
        <w:numPr>
          <w:ilvl w:val="0"/>
          <w:numId w:val="0"/>
        </w:numPr>
        <w:spacing w:before="0" w:after="0"/>
        <w:rPr>
          <w:rFonts w:asciiTheme="minorHAnsi" w:hAnsiTheme="minorHAnsi"/>
          <w:szCs w:val="22"/>
        </w:rPr>
      </w:pPr>
      <w:r>
        <w:rPr>
          <w:rFonts w:asciiTheme="minorHAnsi" w:hAnsiTheme="minorHAnsi"/>
          <w:szCs w:val="22"/>
        </w:rPr>
        <w:t xml:space="preserve">A recent report by the UNEP-WCMC on </w:t>
      </w:r>
      <w:r w:rsidRPr="001F67ED">
        <w:rPr>
          <w:rFonts w:asciiTheme="minorHAnsi" w:hAnsiTheme="minorHAnsi"/>
          <w:szCs w:val="22"/>
        </w:rPr>
        <w:t>Tracking progress towards global targets for protected area</w:t>
      </w:r>
      <w:r>
        <w:rPr>
          <w:rFonts w:asciiTheme="minorHAnsi" w:hAnsiTheme="minorHAnsi"/>
          <w:szCs w:val="22"/>
        </w:rPr>
        <w:t>s (2012), found that the information about those aspects of protected areas are still very limited. “</w:t>
      </w:r>
      <w:r w:rsidR="006D7EAD" w:rsidRPr="006D7EAD">
        <w:rPr>
          <w:rFonts w:asciiTheme="minorHAnsi" w:hAnsiTheme="minorHAnsi"/>
          <w:szCs w:val="22"/>
        </w:rPr>
        <w:t>The global protected area network has diversified in terms of its governance approaches, with increasing involvement of different actors. However, limited information is available on the extent of other area-based conservation measures, and the equity of protected area governance and management.</w:t>
      </w:r>
      <w:r>
        <w:rPr>
          <w:rFonts w:asciiTheme="minorHAnsi" w:hAnsiTheme="minorHAnsi"/>
          <w:szCs w:val="22"/>
        </w:rPr>
        <w:t xml:space="preserve"> </w:t>
      </w:r>
      <w:r w:rsidR="006D7EAD" w:rsidRPr="006D7EAD">
        <w:rPr>
          <w:rFonts w:asciiTheme="minorHAnsi" w:hAnsiTheme="minorHAnsi"/>
          <w:szCs w:val="22"/>
        </w:rPr>
        <w:t>Measuring progress towards other relevant elements of Target 11 and 18 remains difficult, however, as no globally accepted indicators exist to assess the equity of protected area governance and management, and the degree to which traditional knowledge is incorporated</w:t>
      </w:r>
      <w:r>
        <w:rPr>
          <w:rFonts w:asciiTheme="minorHAnsi" w:hAnsiTheme="minorHAnsi"/>
          <w:szCs w:val="22"/>
        </w:rPr>
        <w:t>”</w:t>
      </w:r>
      <w:r w:rsidR="006D7EAD" w:rsidRPr="006D7EAD">
        <w:rPr>
          <w:rFonts w:asciiTheme="minorHAnsi" w:hAnsiTheme="minorHAnsi"/>
          <w:szCs w:val="22"/>
        </w:rPr>
        <w:t>.</w:t>
      </w:r>
      <w:r>
        <w:rPr>
          <w:rStyle w:val="FootnoteReference"/>
          <w:rFonts w:asciiTheme="minorHAnsi" w:hAnsiTheme="minorHAnsi"/>
          <w:szCs w:val="22"/>
        </w:rPr>
        <w:footnoteReference w:id="39"/>
      </w:r>
    </w:p>
    <w:p w14:paraId="014DDA3C" w14:textId="77777777" w:rsidR="00E272F2" w:rsidRDefault="00E272F2" w:rsidP="00B3061D">
      <w:pPr>
        <w:pStyle w:val="Para1"/>
        <w:numPr>
          <w:ilvl w:val="0"/>
          <w:numId w:val="0"/>
        </w:numPr>
        <w:spacing w:before="0" w:after="0"/>
        <w:rPr>
          <w:rFonts w:asciiTheme="minorHAnsi" w:hAnsiTheme="minorHAnsi"/>
          <w:szCs w:val="22"/>
        </w:rPr>
      </w:pPr>
    </w:p>
    <w:p w14:paraId="07349FFB" w14:textId="6BE0BFF3" w:rsidR="00825434" w:rsidRDefault="00E272F2" w:rsidP="00825434">
      <w:pPr>
        <w:pStyle w:val="Para1"/>
        <w:numPr>
          <w:ilvl w:val="0"/>
          <w:numId w:val="0"/>
        </w:numPr>
        <w:spacing w:before="0" w:after="0"/>
        <w:rPr>
          <w:rFonts w:asciiTheme="minorHAnsi" w:hAnsiTheme="minorHAnsi"/>
          <w:szCs w:val="22"/>
        </w:rPr>
      </w:pPr>
      <w:r>
        <w:rPr>
          <w:rFonts w:asciiTheme="minorHAnsi" w:hAnsiTheme="minorHAnsi"/>
          <w:szCs w:val="22"/>
        </w:rPr>
        <w:t xml:space="preserve">Community-based case studies and documentation however </w:t>
      </w:r>
      <w:r w:rsidR="001F00D8">
        <w:rPr>
          <w:rFonts w:asciiTheme="minorHAnsi" w:hAnsiTheme="minorHAnsi"/>
          <w:szCs w:val="22"/>
        </w:rPr>
        <w:t xml:space="preserve">do still record problems relating to lack of respect for tenure rights and customary institutions. </w:t>
      </w:r>
      <w:r w:rsidR="00825434" w:rsidRPr="00825434">
        <w:rPr>
          <w:rFonts w:asciiTheme="minorHAnsi" w:hAnsiTheme="minorHAnsi"/>
          <w:szCs w:val="22"/>
        </w:rPr>
        <w:t xml:space="preserve">In Guyana, </w:t>
      </w:r>
      <w:proofErr w:type="spellStart"/>
      <w:r w:rsidR="00825434">
        <w:rPr>
          <w:rFonts w:asciiTheme="minorHAnsi" w:hAnsiTheme="minorHAnsi"/>
          <w:szCs w:val="22"/>
        </w:rPr>
        <w:t>Wapichan</w:t>
      </w:r>
      <w:proofErr w:type="spellEnd"/>
      <w:r w:rsidR="00825434">
        <w:rPr>
          <w:rFonts w:asciiTheme="minorHAnsi" w:hAnsiTheme="minorHAnsi"/>
          <w:szCs w:val="22"/>
        </w:rPr>
        <w:t xml:space="preserve"> people were surprised to learn about the </w:t>
      </w:r>
      <w:r w:rsidR="00825434" w:rsidRPr="00825434">
        <w:rPr>
          <w:rFonts w:asciiTheme="minorHAnsi" w:hAnsiTheme="minorHAnsi"/>
          <w:szCs w:val="22"/>
        </w:rPr>
        <w:t xml:space="preserve">proposed </w:t>
      </w:r>
      <w:proofErr w:type="spellStart"/>
      <w:r w:rsidR="00825434" w:rsidRPr="00825434">
        <w:rPr>
          <w:rFonts w:asciiTheme="minorHAnsi" w:hAnsiTheme="minorHAnsi"/>
          <w:szCs w:val="22"/>
        </w:rPr>
        <w:t>Kanukus</w:t>
      </w:r>
      <w:proofErr w:type="spellEnd"/>
      <w:r w:rsidR="00825434" w:rsidRPr="00825434">
        <w:rPr>
          <w:rFonts w:asciiTheme="minorHAnsi" w:hAnsiTheme="minorHAnsi"/>
          <w:szCs w:val="22"/>
        </w:rPr>
        <w:t xml:space="preserve"> Mountains Projected Area (KMPA) </w:t>
      </w:r>
      <w:r w:rsidR="00825434">
        <w:rPr>
          <w:rFonts w:asciiTheme="minorHAnsi" w:hAnsiTheme="minorHAnsi"/>
          <w:szCs w:val="22"/>
        </w:rPr>
        <w:t xml:space="preserve">in which they had not been involved, </w:t>
      </w:r>
      <w:r w:rsidR="00825434" w:rsidRPr="00825434">
        <w:rPr>
          <w:rFonts w:asciiTheme="minorHAnsi" w:hAnsiTheme="minorHAnsi"/>
          <w:szCs w:val="22"/>
        </w:rPr>
        <w:t xml:space="preserve">despite the fact that half the park overlaps </w:t>
      </w:r>
      <w:proofErr w:type="spellStart"/>
      <w:r w:rsidR="00825434" w:rsidRPr="00825434">
        <w:rPr>
          <w:rFonts w:asciiTheme="minorHAnsi" w:hAnsiTheme="minorHAnsi"/>
          <w:szCs w:val="22"/>
        </w:rPr>
        <w:t>Wapichan</w:t>
      </w:r>
      <w:proofErr w:type="spellEnd"/>
      <w:r w:rsidR="00825434" w:rsidRPr="00825434">
        <w:rPr>
          <w:rFonts w:asciiTheme="minorHAnsi" w:hAnsiTheme="minorHAnsi"/>
          <w:szCs w:val="22"/>
        </w:rPr>
        <w:t xml:space="preserve"> territory</w:t>
      </w:r>
      <w:r w:rsidR="00825434" w:rsidRPr="00E6184C">
        <w:rPr>
          <w:rFonts w:asciiTheme="minorHAnsi" w:hAnsiTheme="minorHAnsi"/>
          <w:szCs w:val="22"/>
          <w:highlight w:val="yellow"/>
        </w:rPr>
        <w:t>.</w:t>
      </w:r>
      <w:r w:rsidR="0091351B">
        <w:rPr>
          <w:rFonts w:asciiTheme="minorHAnsi" w:hAnsiTheme="minorHAnsi"/>
          <w:szCs w:val="22"/>
          <w:highlight w:val="yellow"/>
        </w:rPr>
        <w:t xml:space="preserve"> They have now formed a group to insist on involvement in the development of the management plan </w:t>
      </w:r>
      <w:r w:rsidR="00E6184C" w:rsidRPr="00E6184C">
        <w:rPr>
          <w:rFonts w:asciiTheme="minorHAnsi" w:hAnsiTheme="minorHAnsi"/>
          <w:szCs w:val="22"/>
          <w:highlight w:val="yellow"/>
        </w:rPr>
        <w:t>[check facts/updates]</w:t>
      </w:r>
    </w:p>
    <w:p w14:paraId="313F60FC" w14:textId="77777777" w:rsidR="007C43FE" w:rsidRDefault="007C43FE" w:rsidP="00B3061D">
      <w:pPr>
        <w:pStyle w:val="Para1"/>
        <w:numPr>
          <w:ilvl w:val="0"/>
          <w:numId w:val="0"/>
        </w:numPr>
        <w:spacing w:before="0" w:after="0"/>
        <w:rPr>
          <w:rFonts w:asciiTheme="minorHAnsi" w:hAnsiTheme="minorHAnsi"/>
          <w:szCs w:val="22"/>
        </w:rPr>
      </w:pPr>
    </w:p>
    <w:p w14:paraId="22B9D663" w14:textId="6708FBC4" w:rsidR="00E272F2" w:rsidRDefault="001F00D8" w:rsidP="00B3061D">
      <w:pPr>
        <w:pStyle w:val="Para1"/>
        <w:numPr>
          <w:ilvl w:val="0"/>
          <w:numId w:val="0"/>
        </w:numPr>
        <w:spacing w:before="0" w:after="0"/>
        <w:rPr>
          <w:rFonts w:asciiTheme="minorHAnsi" w:hAnsiTheme="minorHAnsi"/>
          <w:szCs w:val="22"/>
        </w:rPr>
      </w:pPr>
      <w:r>
        <w:rPr>
          <w:rFonts w:asciiTheme="minorHAnsi" w:hAnsiTheme="minorHAnsi"/>
          <w:szCs w:val="22"/>
        </w:rPr>
        <w:t xml:space="preserve">But there are also examples where collaboration between governments, conservation bodies and indigenous communities lead to </w:t>
      </w:r>
      <w:r w:rsidR="007D3A0A">
        <w:rPr>
          <w:rFonts w:asciiTheme="minorHAnsi" w:hAnsiTheme="minorHAnsi"/>
          <w:szCs w:val="22"/>
        </w:rPr>
        <w:t xml:space="preserve">the increased awareness and acknowledgement of indigenous management and conservation and to the </w:t>
      </w:r>
      <w:r>
        <w:rPr>
          <w:rFonts w:asciiTheme="minorHAnsi" w:hAnsiTheme="minorHAnsi"/>
          <w:szCs w:val="22"/>
        </w:rPr>
        <w:t>strengthening and increased application of traditional knowledge</w:t>
      </w:r>
      <w:r w:rsidR="007D3A0A">
        <w:rPr>
          <w:rFonts w:asciiTheme="minorHAnsi" w:hAnsiTheme="minorHAnsi"/>
          <w:szCs w:val="22"/>
        </w:rPr>
        <w:t xml:space="preserve"> in protected area strategies</w:t>
      </w:r>
      <w:r>
        <w:rPr>
          <w:rFonts w:asciiTheme="minorHAnsi" w:hAnsiTheme="minorHAnsi"/>
          <w:szCs w:val="22"/>
        </w:rPr>
        <w:t xml:space="preserve">. </w:t>
      </w:r>
    </w:p>
    <w:p w14:paraId="59D7433C" w14:textId="77777777" w:rsidR="00DA351B" w:rsidRDefault="00DA351B" w:rsidP="001F00D8">
      <w:pPr>
        <w:spacing w:after="0" w:line="240" w:lineRule="auto"/>
        <w:rPr>
          <w:rFonts w:eastAsia="Times New Roman" w:cs="Tahoma"/>
          <w:color w:val="000000"/>
          <w:lang w:val="en-GB" w:eastAsia="nl-NL"/>
        </w:rPr>
      </w:pPr>
    </w:p>
    <w:p w14:paraId="259DFC30" w14:textId="64900F57" w:rsidR="00DA351B" w:rsidRPr="0000185E" w:rsidRDefault="00DA351B" w:rsidP="00DA351B">
      <w:pPr>
        <w:spacing w:after="0" w:line="240" w:lineRule="auto"/>
        <w:ind w:left="708"/>
        <w:rPr>
          <w:lang w:val="en-GB"/>
        </w:rPr>
      </w:pPr>
      <w:r w:rsidRPr="00DA351B">
        <w:rPr>
          <w:color w:val="0070C0"/>
          <w:lang w:val="en-GB"/>
        </w:rPr>
        <w:t xml:space="preserve">Case study: </w:t>
      </w:r>
      <w:r w:rsidRPr="0000185E">
        <w:rPr>
          <w:lang w:val="en-GB"/>
        </w:rPr>
        <w:t xml:space="preserve">Ob </w:t>
      </w:r>
      <w:proofErr w:type="spellStart"/>
      <w:r w:rsidRPr="0000185E">
        <w:rPr>
          <w:lang w:val="en-GB"/>
        </w:rPr>
        <w:t>Luang</w:t>
      </w:r>
      <w:proofErr w:type="spellEnd"/>
      <w:r w:rsidRPr="0000185E">
        <w:rPr>
          <w:lang w:val="en-GB"/>
        </w:rPr>
        <w:t xml:space="preserve"> </w:t>
      </w:r>
      <w:r>
        <w:rPr>
          <w:lang w:val="en-GB"/>
        </w:rPr>
        <w:t>joint management</w:t>
      </w:r>
      <w:r w:rsidRPr="0000185E">
        <w:rPr>
          <w:lang w:val="en-GB"/>
        </w:rPr>
        <w:t xml:space="preserve"> (Thailand)</w:t>
      </w:r>
    </w:p>
    <w:p w14:paraId="38E082F9" w14:textId="77777777" w:rsidR="00DA351B" w:rsidRDefault="00DA351B" w:rsidP="00DA351B">
      <w:pPr>
        <w:spacing w:after="0" w:line="240" w:lineRule="auto"/>
        <w:ind w:left="708"/>
        <w:rPr>
          <w:color w:val="333333"/>
          <w:lang w:val="en"/>
        </w:rPr>
      </w:pPr>
      <w:r>
        <w:rPr>
          <w:color w:val="333333"/>
          <w:lang w:val="en"/>
        </w:rPr>
        <w:t xml:space="preserve">In </w:t>
      </w:r>
      <w:r w:rsidRPr="0063296E">
        <w:rPr>
          <w:color w:val="333333"/>
          <w:lang w:val="en"/>
        </w:rPr>
        <w:t>Ob Luang National Park,</w:t>
      </w:r>
      <w:r>
        <w:rPr>
          <w:color w:val="333333"/>
          <w:lang w:val="en"/>
        </w:rPr>
        <w:t xml:space="preserve"> Northern Thailand, indigenous communities and park authorities are engaged in a process to achieve a more equitable management of the park (a key component of Target 11), which evolved from a situation of conflict to one of enhanced trust, </w:t>
      </w:r>
      <w:r>
        <w:rPr>
          <w:lang w:val="en-GB"/>
        </w:rPr>
        <w:t>dialogue and collaboration. The park, established in 1991, overlapped with the ancestral lands of neighbouring indigenous communities. W</w:t>
      </w:r>
      <w:r w:rsidRPr="0063296E">
        <w:rPr>
          <w:color w:val="333333"/>
          <w:lang w:val="en"/>
        </w:rPr>
        <w:t xml:space="preserve">hile Thailand’s 2007 constitution allows indigenous peoples and local communities to manage their natural resources, they are still </w:t>
      </w:r>
      <w:r w:rsidRPr="0063296E">
        <w:rPr>
          <w:color w:val="333333"/>
          <w:lang w:val="en"/>
        </w:rPr>
        <w:lastRenderedPageBreak/>
        <w:t xml:space="preserve">not legally allowed to live in protected areas. </w:t>
      </w:r>
      <w:r>
        <w:rPr>
          <w:lang w:val="en-GB"/>
        </w:rPr>
        <w:t xml:space="preserve">Being restricted in using their customary farming areas in the park caused conflicting situations between officials and community members. </w:t>
      </w:r>
    </w:p>
    <w:p w14:paraId="180D5384" w14:textId="77777777" w:rsidR="00DA351B" w:rsidRPr="00FD3AB8" w:rsidRDefault="00DA351B" w:rsidP="00DA351B">
      <w:pPr>
        <w:spacing w:after="0" w:line="240" w:lineRule="auto"/>
        <w:ind w:left="708"/>
        <w:rPr>
          <w:rFonts w:cs="Angsana New"/>
          <w:lang w:val="en-GB"/>
        </w:rPr>
      </w:pPr>
    </w:p>
    <w:p w14:paraId="5249A640" w14:textId="77777777" w:rsidR="00DA351B" w:rsidRPr="005E1E97" w:rsidRDefault="00DA351B" w:rsidP="00DA351B">
      <w:pPr>
        <w:pStyle w:val="NormalWeb"/>
        <w:spacing w:before="0" w:beforeAutospacing="0" w:after="0" w:afterAutospacing="0"/>
        <w:ind w:left="708"/>
        <w:rPr>
          <w:rFonts w:asciiTheme="minorHAnsi" w:hAnsiTheme="minorHAnsi"/>
          <w:color w:val="333333"/>
          <w:sz w:val="22"/>
          <w:szCs w:val="22"/>
          <w:lang w:val="en-GB"/>
        </w:rPr>
      </w:pPr>
      <w:r>
        <w:rPr>
          <w:rFonts w:asciiTheme="minorHAnsi" w:hAnsiTheme="minorHAnsi" w:cs="Angsana New"/>
          <w:sz w:val="22"/>
          <w:szCs w:val="22"/>
          <w:lang w:val="en-GB"/>
        </w:rPr>
        <w:t xml:space="preserve">To address the tensions and concerns, a </w:t>
      </w:r>
      <w:r w:rsidRPr="0063296E">
        <w:rPr>
          <w:rFonts w:asciiTheme="minorHAnsi" w:hAnsiTheme="minorHAnsi" w:cs="Angsana New"/>
          <w:sz w:val="22"/>
          <w:szCs w:val="22"/>
          <w:lang w:val="en-GB"/>
        </w:rPr>
        <w:t xml:space="preserve">pilot project </w:t>
      </w:r>
      <w:r>
        <w:rPr>
          <w:rFonts w:asciiTheme="minorHAnsi" w:hAnsiTheme="minorHAnsi" w:cs="Angsana New"/>
          <w:sz w:val="22"/>
          <w:szCs w:val="22"/>
          <w:lang w:val="en-GB"/>
        </w:rPr>
        <w:t xml:space="preserve">for </w:t>
      </w:r>
      <w:r w:rsidRPr="0063296E">
        <w:rPr>
          <w:rFonts w:asciiTheme="minorHAnsi" w:hAnsiTheme="minorHAnsi" w:cs="Angsana New"/>
          <w:sz w:val="22"/>
          <w:szCs w:val="22"/>
          <w:lang w:val="en-GB"/>
        </w:rPr>
        <w:t xml:space="preserve">joint management in Ob </w:t>
      </w:r>
      <w:proofErr w:type="spellStart"/>
      <w:r w:rsidRPr="0063296E">
        <w:rPr>
          <w:rFonts w:asciiTheme="minorHAnsi" w:hAnsiTheme="minorHAnsi" w:cs="Angsana New"/>
          <w:sz w:val="22"/>
          <w:szCs w:val="22"/>
          <w:lang w:val="en-GB"/>
        </w:rPr>
        <w:t>Luang</w:t>
      </w:r>
      <w:proofErr w:type="spellEnd"/>
      <w:r w:rsidRPr="0063296E">
        <w:rPr>
          <w:rFonts w:asciiTheme="minorHAnsi" w:hAnsiTheme="minorHAnsi" w:cs="Angsana New"/>
          <w:sz w:val="22"/>
          <w:szCs w:val="22"/>
          <w:lang w:val="en-GB"/>
        </w:rPr>
        <w:t xml:space="preserve"> National Park </w:t>
      </w:r>
      <w:r>
        <w:rPr>
          <w:rFonts w:asciiTheme="minorHAnsi" w:hAnsiTheme="minorHAnsi" w:cs="Angsana New"/>
          <w:sz w:val="22"/>
          <w:szCs w:val="22"/>
          <w:lang w:val="en-GB"/>
        </w:rPr>
        <w:t xml:space="preserve">was set up in </w:t>
      </w:r>
      <w:r w:rsidRPr="0063296E">
        <w:rPr>
          <w:rFonts w:asciiTheme="minorHAnsi" w:hAnsiTheme="minorHAnsi" w:cs="Angsana New"/>
          <w:sz w:val="22"/>
          <w:szCs w:val="22"/>
          <w:lang w:val="en-GB"/>
        </w:rPr>
        <w:t xml:space="preserve">2005 </w:t>
      </w:r>
      <w:r>
        <w:rPr>
          <w:rFonts w:asciiTheme="minorHAnsi" w:hAnsiTheme="minorHAnsi" w:cs="Angsana New"/>
          <w:sz w:val="22"/>
          <w:szCs w:val="22"/>
          <w:lang w:val="en-GB"/>
        </w:rPr>
        <w:t xml:space="preserve">followed by a voluntary </w:t>
      </w:r>
      <w:r w:rsidRPr="0063296E">
        <w:rPr>
          <w:rFonts w:asciiTheme="minorHAnsi" w:hAnsiTheme="minorHAnsi" w:cs="Angsana New"/>
          <w:sz w:val="22"/>
          <w:szCs w:val="22"/>
          <w:lang w:val="en-GB"/>
        </w:rPr>
        <w:t xml:space="preserve">open-ended co-management process </w:t>
      </w:r>
      <w:r>
        <w:rPr>
          <w:rFonts w:asciiTheme="minorHAnsi" w:hAnsiTheme="minorHAnsi" w:cs="Angsana New"/>
          <w:sz w:val="22"/>
          <w:szCs w:val="22"/>
          <w:lang w:val="en-GB"/>
        </w:rPr>
        <w:t>after 2009.</w:t>
      </w:r>
      <w:r>
        <w:rPr>
          <w:rFonts w:asciiTheme="minorHAnsi" w:hAnsiTheme="minorHAnsi"/>
          <w:color w:val="333333"/>
          <w:sz w:val="22"/>
          <w:szCs w:val="22"/>
          <w:lang w:val="en"/>
        </w:rPr>
        <w:t xml:space="preserve"> This involved </w:t>
      </w:r>
      <w:r w:rsidRPr="0063296E">
        <w:rPr>
          <w:rFonts w:asciiTheme="minorHAnsi" w:hAnsiTheme="minorHAnsi"/>
          <w:sz w:val="22"/>
          <w:szCs w:val="22"/>
          <w:lang w:val="en-GB"/>
        </w:rPr>
        <w:t>land demarcation of farmland</w:t>
      </w:r>
      <w:r>
        <w:rPr>
          <w:rFonts w:asciiTheme="minorHAnsi" w:hAnsiTheme="minorHAnsi"/>
          <w:sz w:val="22"/>
          <w:szCs w:val="22"/>
          <w:lang w:val="en-GB"/>
        </w:rPr>
        <w:t xml:space="preserve">; surveys of </w:t>
      </w:r>
      <w:r w:rsidRPr="008F09F0">
        <w:rPr>
          <w:rFonts w:asciiTheme="minorHAnsi" w:hAnsiTheme="minorHAnsi"/>
          <w:sz w:val="22"/>
          <w:szCs w:val="22"/>
          <w:lang w:val="en-GB"/>
        </w:rPr>
        <w:t>conflict</w:t>
      </w:r>
      <w:r>
        <w:rPr>
          <w:rFonts w:asciiTheme="minorHAnsi" w:hAnsiTheme="minorHAnsi"/>
          <w:sz w:val="22"/>
          <w:szCs w:val="22"/>
          <w:lang w:val="en-GB"/>
        </w:rPr>
        <w:t>ing</w:t>
      </w:r>
      <w:r w:rsidRPr="008F09F0">
        <w:rPr>
          <w:rFonts w:asciiTheme="minorHAnsi" w:hAnsiTheme="minorHAnsi"/>
          <w:sz w:val="22"/>
          <w:szCs w:val="22"/>
          <w:lang w:val="en-GB"/>
        </w:rPr>
        <w:t xml:space="preserve"> areas</w:t>
      </w:r>
      <w:r>
        <w:rPr>
          <w:rFonts w:asciiTheme="minorHAnsi" w:hAnsiTheme="minorHAnsi"/>
          <w:sz w:val="22"/>
          <w:szCs w:val="22"/>
          <w:lang w:val="en-GB"/>
        </w:rPr>
        <w:t xml:space="preserve">; </w:t>
      </w:r>
      <w:r>
        <w:rPr>
          <w:rFonts w:asciiTheme="minorHAnsi" w:hAnsiTheme="minorHAnsi"/>
          <w:color w:val="333333"/>
          <w:sz w:val="22"/>
          <w:szCs w:val="22"/>
          <w:lang w:val="en"/>
        </w:rPr>
        <w:t xml:space="preserve"> d</w:t>
      </w:r>
      <w:proofErr w:type="spellStart"/>
      <w:r w:rsidRPr="008F09F0">
        <w:rPr>
          <w:rFonts w:asciiTheme="minorHAnsi" w:hAnsiTheme="minorHAnsi"/>
          <w:sz w:val="22"/>
          <w:szCs w:val="22"/>
          <w:lang w:val="en-GB"/>
        </w:rPr>
        <w:t>iscussions</w:t>
      </w:r>
      <w:proofErr w:type="spellEnd"/>
      <w:r w:rsidRPr="008F09F0">
        <w:rPr>
          <w:rFonts w:asciiTheme="minorHAnsi" w:hAnsiTheme="minorHAnsi"/>
          <w:sz w:val="22"/>
          <w:szCs w:val="22"/>
          <w:lang w:val="en-GB"/>
        </w:rPr>
        <w:t xml:space="preserve"> about problems encountered by the villagers</w:t>
      </w:r>
      <w:r>
        <w:rPr>
          <w:rFonts w:asciiTheme="minorHAnsi" w:hAnsiTheme="minorHAnsi"/>
          <w:sz w:val="22"/>
          <w:szCs w:val="22"/>
          <w:lang w:val="en-GB"/>
        </w:rPr>
        <w:t xml:space="preserve">; </w:t>
      </w:r>
      <w:r>
        <w:rPr>
          <w:rFonts w:asciiTheme="minorHAnsi" w:hAnsiTheme="minorHAnsi"/>
          <w:color w:val="333333"/>
          <w:sz w:val="22"/>
          <w:szCs w:val="22"/>
          <w:lang w:val="en"/>
        </w:rPr>
        <w:t>and c</w:t>
      </w:r>
      <w:proofErr w:type="spellStart"/>
      <w:r w:rsidRPr="000049BA">
        <w:rPr>
          <w:rFonts w:asciiTheme="minorHAnsi" w:hAnsiTheme="minorHAnsi"/>
          <w:sz w:val="22"/>
          <w:szCs w:val="22"/>
          <w:lang w:val="en-GB"/>
        </w:rPr>
        <w:t>ollaborative</w:t>
      </w:r>
      <w:proofErr w:type="spellEnd"/>
      <w:r w:rsidRPr="000049BA">
        <w:rPr>
          <w:rFonts w:asciiTheme="minorHAnsi" w:hAnsiTheme="minorHAnsi"/>
          <w:sz w:val="22"/>
          <w:szCs w:val="22"/>
          <w:lang w:val="en-GB"/>
        </w:rPr>
        <w:t xml:space="preserve"> monitoring of actual land use practices </w:t>
      </w:r>
      <w:r>
        <w:rPr>
          <w:rFonts w:asciiTheme="minorHAnsi" w:hAnsiTheme="minorHAnsi"/>
          <w:sz w:val="22"/>
          <w:szCs w:val="22"/>
          <w:lang w:val="en-GB"/>
        </w:rPr>
        <w:t xml:space="preserve">by indigenous peoples. These activities were intended </w:t>
      </w:r>
      <w:r w:rsidRPr="008F09F0">
        <w:rPr>
          <w:rFonts w:asciiTheme="minorHAnsi" w:hAnsiTheme="minorHAnsi"/>
          <w:sz w:val="22"/>
          <w:szCs w:val="22"/>
          <w:lang w:val="en-GB"/>
        </w:rPr>
        <w:t>to find solutions and increase mutual understanding and trust b</w:t>
      </w:r>
      <w:r>
        <w:rPr>
          <w:rFonts w:asciiTheme="minorHAnsi" w:hAnsiTheme="minorHAnsi"/>
          <w:sz w:val="22"/>
          <w:szCs w:val="22"/>
          <w:lang w:val="en-GB"/>
        </w:rPr>
        <w:t xml:space="preserve">etween villagers and officials. Indigenous peoples were also admitted to </w:t>
      </w:r>
      <w:r w:rsidRPr="005E1E97">
        <w:rPr>
          <w:rFonts w:asciiTheme="minorHAnsi" w:hAnsiTheme="minorHAnsi"/>
          <w:sz w:val="22"/>
          <w:szCs w:val="22"/>
          <w:lang w:val="en-GB"/>
        </w:rPr>
        <w:t xml:space="preserve">meetings </w:t>
      </w:r>
      <w:r>
        <w:rPr>
          <w:rFonts w:asciiTheme="minorHAnsi" w:hAnsiTheme="minorHAnsi"/>
          <w:sz w:val="22"/>
          <w:szCs w:val="22"/>
          <w:lang w:val="en-GB"/>
        </w:rPr>
        <w:t xml:space="preserve">of park’s management committees </w:t>
      </w:r>
      <w:proofErr w:type="gramStart"/>
      <w:r>
        <w:rPr>
          <w:rFonts w:asciiTheme="minorHAnsi" w:hAnsiTheme="minorHAnsi"/>
          <w:sz w:val="22"/>
          <w:szCs w:val="22"/>
          <w:lang w:val="en-GB"/>
        </w:rPr>
        <w:t xml:space="preserve">and </w:t>
      </w:r>
      <w:r w:rsidRPr="005E1E97">
        <w:rPr>
          <w:rFonts w:asciiTheme="minorHAnsi" w:hAnsiTheme="minorHAnsi"/>
          <w:sz w:val="22"/>
          <w:szCs w:val="22"/>
          <w:lang w:val="en-GB"/>
        </w:rPr>
        <w:t xml:space="preserve"> informed</w:t>
      </w:r>
      <w:proofErr w:type="gramEnd"/>
      <w:r w:rsidRPr="005E1E97">
        <w:rPr>
          <w:rFonts w:asciiTheme="minorHAnsi" w:hAnsiTheme="minorHAnsi"/>
          <w:sz w:val="22"/>
          <w:szCs w:val="22"/>
          <w:lang w:val="en-GB"/>
        </w:rPr>
        <w:t xml:space="preserve"> </w:t>
      </w:r>
      <w:r>
        <w:rPr>
          <w:rFonts w:asciiTheme="minorHAnsi" w:hAnsiTheme="minorHAnsi"/>
          <w:sz w:val="22"/>
          <w:szCs w:val="22"/>
          <w:lang w:val="en-GB"/>
        </w:rPr>
        <w:t xml:space="preserve">and consulted on the </w:t>
      </w:r>
      <w:r w:rsidRPr="005E1E97">
        <w:rPr>
          <w:rFonts w:asciiTheme="minorHAnsi" w:hAnsiTheme="minorHAnsi"/>
          <w:sz w:val="22"/>
          <w:szCs w:val="22"/>
          <w:lang w:val="en-GB"/>
        </w:rPr>
        <w:t>work</w:t>
      </w:r>
      <w:r>
        <w:rPr>
          <w:rFonts w:asciiTheme="minorHAnsi" w:hAnsiTheme="minorHAnsi"/>
          <w:sz w:val="22"/>
          <w:szCs w:val="22"/>
          <w:lang w:val="en-GB"/>
        </w:rPr>
        <w:t xml:space="preserve"> </w:t>
      </w:r>
      <w:r w:rsidRPr="005E1E97">
        <w:rPr>
          <w:rFonts w:asciiTheme="minorHAnsi" w:hAnsiTheme="minorHAnsi"/>
          <w:sz w:val="22"/>
          <w:szCs w:val="22"/>
          <w:lang w:val="en-GB"/>
        </w:rPr>
        <w:t>plans</w:t>
      </w:r>
      <w:r>
        <w:rPr>
          <w:rFonts w:asciiTheme="minorHAnsi" w:hAnsiTheme="minorHAnsi"/>
          <w:sz w:val="22"/>
          <w:szCs w:val="22"/>
          <w:lang w:val="en-GB"/>
        </w:rPr>
        <w:t xml:space="preserve">. </w:t>
      </w:r>
    </w:p>
    <w:p w14:paraId="751AB08D" w14:textId="77777777" w:rsidR="00DA351B" w:rsidRDefault="00DA351B" w:rsidP="00DA351B">
      <w:pPr>
        <w:pStyle w:val="NormalWeb"/>
        <w:spacing w:before="0" w:beforeAutospacing="0" w:after="0" w:afterAutospacing="0"/>
        <w:ind w:left="708"/>
        <w:rPr>
          <w:rFonts w:asciiTheme="minorHAnsi" w:hAnsiTheme="minorHAnsi"/>
          <w:color w:val="333333"/>
          <w:sz w:val="22"/>
          <w:szCs w:val="22"/>
          <w:lang w:val="en"/>
        </w:rPr>
      </w:pPr>
    </w:p>
    <w:p w14:paraId="1CA963AB" w14:textId="77777777" w:rsidR="00DA351B" w:rsidRPr="0063296E" w:rsidRDefault="00DA351B" w:rsidP="00DA351B">
      <w:pPr>
        <w:pStyle w:val="NormalWeb"/>
        <w:spacing w:before="0" w:beforeAutospacing="0" w:after="0" w:afterAutospacing="0"/>
        <w:ind w:left="708"/>
        <w:rPr>
          <w:rFonts w:asciiTheme="minorHAnsi" w:hAnsiTheme="minorHAnsi"/>
          <w:color w:val="333333"/>
          <w:sz w:val="22"/>
          <w:szCs w:val="22"/>
          <w:lang w:val="en"/>
        </w:rPr>
      </w:pPr>
      <w:r>
        <w:rPr>
          <w:rFonts w:asciiTheme="minorHAnsi" w:hAnsiTheme="minorHAnsi"/>
          <w:color w:val="333333"/>
          <w:sz w:val="22"/>
          <w:szCs w:val="22"/>
          <w:lang w:val="en"/>
        </w:rPr>
        <w:t>T</w:t>
      </w:r>
      <w:r w:rsidRPr="0063296E">
        <w:rPr>
          <w:rFonts w:asciiTheme="minorHAnsi" w:hAnsiTheme="minorHAnsi"/>
          <w:color w:val="333333"/>
          <w:sz w:val="22"/>
          <w:szCs w:val="22"/>
          <w:lang w:val="en"/>
        </w:rPr>
        <w:t xml:space="preserve">he joint management approach </w:t>
      </w:r>
      <w:r>
        <w:rPr>
          <w:rFonts w:asciiTheme="minorHAnsi" w:hAnsiTheme="minorHAnsi"/>
          <w:color w:val="333333"/>
          <w:sz w:val="22"/>
          <w:szCs w:val="22"/>
          <w:lang w:val="en"/>
        </w:rPr>
        <w:t>has</w:t>
      </w:r>
      <w:r w:rsidRPr="0063296E">
        <w:rPr>
          <w:rFonts w:asciiTheme="minorHAnsi" w:hAnsiTheme="minorHAnsi"/>
          <w:color w:val="333333"/>
          <w:sz w:val="22"/>
          <w:szCs w:val="22"/>
          <w:lang w:val="en"/>
        </w:rPr>
        <w:t xml:space="preserve"> clearly</w:t>
      </w:r>
      <w:r>
        <w:rPr>
          <w:rFonts w:asciiTheme="minorHAnsi" w:hAnsiTheme="minorHAnsi"/>
          <w:color w:val="333333"/>
          <w:sz w:val="22"/>
          <w:szCs w:val="22"/>
          <w:lang w:val="en"/>
        </w:rPr>
        <w:t xml:space="preserve"> had</w:t>
      </w:r>
      <w:r w:rsidRPr="0063296E">
        <w:rPr>
          <w:rFonts w:asciiTheme="minorHAnsi" w:hAnsiTheme="minorHAnsi"/>
          <w:color w:val="333333"/>
          <w:sz w:val="22"/>
          <w:szCs w:val="22"/>
          <w:lang w:val="en"/>
        </w:rPr>
        <w:t xml:space="preserve"> visible positive effects</w:t>
      </w:r>
      <w:r>
        <w:rPr>
          <w:rFonts w:asciiTheme="minorHAnsi" w:hAnsiTheme="minorHAnsi"/>
          <w:color w:val="333333"/>
          <w:sz w:val="22"/>
          <w:szCs w:val="22"/>
          <w:lang w:val="en"/>
        </w:rPr>
        <w:t xml:space="preserve">, such as </w:t>
      </w:r>
      <w:r w:rsidRPr="0063296E">
        <w:rPr>
          <w:rFonts w:asciiTheme="minorHAnsi" w:hAnsiTheme="minorHAnsi"/>
          <w:color w:val="333333"/>
          <w:sz w:val="22"/>
          <w:szCs w:val="22"/>
          <w:lang w:val="en"/>
        </w:rPr>
        <w:t>reduced tensions between the government and communities, increased protection of forests and watersheds, and improved livelihood security for indigenous peoples and local communities.</w:t>
      </w:r>
      <w:r>
        <w:rPr>
          <w:rFonts w:asciiTheme="minorHAnsi" w:hAnsiTheme="minorHAnsi"/>
          <w:color w:val="333333"/>
          <w:sz w:val="22"/>
          <w:szCs w:val="22"/>
          <w:lang w:val="en"/>
        </w:rPr>
        <w:t xml:space="preserve"> </w:t>
      </w:r>
      <w:r w:rsidRPr="0063296E">
        <w:rPr>
          <w:rFonts w:asciiTheme="minorHAnsi" w:hAnsiTheme="minorHAnsi"/>
          <w:color w:val="333333"/>
          <w:sz w:val="22"/>
          <w:szCs w:val="22"/>
          <w:lang w:val="en"/>
        </w:rPr>
        <w:t xml:space="preserve">Based </w:t>
      </w:r>
      <w:r>
        <w:rPr>
          <w:rFonts w:asciiTheme="minorHAnsi" w:hAnsiTheme="minorHAnsi"/>
          <w:color w:val="333333"/>
          <w:sz w:val="22"/>
          <w:szCs w:val="22"/>
          <w:lang w:val="en"/>
        </w:rPr>
        <w:t>on the</w:t>
      </w:r>
      <w:r w:rsidRPr="0063296E">
        <w:rPr>
          <w:rFonts w:asciiTheme="minorHAnsi" w:hAnsiTheme="minorHAnsi"/>
          <w:color w:val="333333"/>
          <w:sz w:val="22"/>
          <w:szCs w:val="22"/>
          <w:lang w:val="en"/>
        </w:rPr>
        <w:t xml:space="preserve"> positive experiences in Ob Luang, </w:t>
      </w:r>
      <w:r>
        <w:rPr>
          <w:rFonts w:asciiTheme="minorHAnsi" w:hAnsiTheme="minorHAnsi"/>
          <w:color w:val="333333"/>
          <w:sz w:val="22"/>
          <w:szCs w:val="22"/>
          <w:lang w:val="en"/>
        </w:rPr>
        <w:t xml:space="preserve">there is interest among the National Park authorities and </w:t>
      </w:r>
      <w:r w:rsidRPr="0063296E">
        <w:rPr>
          <w:rFonts w:asciiTheme="minorHAnsi" w:hAnsiTheme="minorHAnsi"/>
          <w:color w:val="333333"/>
          <w:sz w:val="22"/>
          <w:szCs w:val="22"/>
          <w:lang w:val="en"/>
        </w:rPr>
        <w:t xml:space="preserve">communities to expand the joint management approach to other protected areas in Thailand and allow communities to live legally in the parks. At a community restitution workshop on 6 February 2012, participants unanimously agreed that the current laws have to be revised so that Thailand can legally implement </w:t>
      </w:r>
      <w:r>
        <w:rPr>
          <w:rFonts w:asciiTheme="minorHAnsi" w:hAnsiTheme="minorHAnsi"/>
          <w:color w:val="333333"/>
          <w:sz w:val="22"/>
          <w:szCs w:val="22"/>
          <w:lang w:val="en"/>
        </w:rPr>
        <w:t>all aspects of Target 11.</w:t>
      </w:r>
    </w:p>
    <w:p w14:paraId="323B3CF3" w14:textId="77777777" w:rsidR="00DA351B" w:rsidRPr="00DA351B" w:rsidRDefault="00DA351B" w:rsidP="00DA351B">
      <w:pPr>
        <w:spacing w:after="0" w:line="240" w:lineRule="auto"/>
        <w:ind w:left="708"/>
        <w:rPr>
          <w:rFonts w:eastAsia="Times New Roman" w:cs="Tahoma"/>
          <w:color w:val="000000"/>
          <w:lang w:val="en" w:eastAsia="nl-NL"/>
        </w:rPr>
      </w:pPr>
    </w:p>
    <w:p w14:paraId="3FFA018F" w14:textId="77777777" w:rsidR="00DA351B" w:rsidRDefault="00DA351B" w:rsidP="00DA351B">
      <w:pPr>
        <w:spacing w:after="0" w:line="240" w:lineRule="auto"/>
        <w:rPr>
          <w:rFonts w:eastAsia="Times New Roman" w:cs="Tahoma"/>
          <w:color w:val="000000"/>
          <w:lang w:val="en-GB" w:eastAsia="nl-NL"/>
        </w:rPr>
      </w:pPr>
      <w:proofErr w:type="gramStart"/>
      <w:r>
        <w:rPr>
          <w:rFonts w:eastAsia="Times New Roman" w:cs="Tahoma"/>
          <w:color w:val="000000"/>
          <w:highlight w:val="yellow"/>
          <w:lang w:val="en-GB" w:eastAsia="nl-NL"/>
        </w:rPr>
        <w:t>(</w:t>
      </w:r>
      <w:r w:rsidRPr="001F00D8">
        <w:rPr>
          <w:rFonts w:eastAsia="Times New Roman" w:cs="Tahoma"/>
          <w:color w:val="000000"/>
          <w:highlight w:val="yellow"/>
          <w:lang w:val="en-GB" w:eastAsia="nl-NL"/>
        </w:rPr>
        <w:t xml:space="preserve"> Mt</w:t>
      </w:r>
      <w:proofErr w:type="gramEnd"/>
      <w:r w:rsidRPr="001F00D8">
        <w:rPr>
          <w:rFonts w:eastAsia="Times New Roman" w:cs="Tahoma"/>
          <w:color w:val="000000"/>
          <w:highlight w:val="yellow"/>
          <w:lang w:val="en-GB" w:eastAsia="nl-NL"/>
        </w:rPr>
        <w:t>. Elgon?)</w:t>
      </w:r>
      <w:r w:rsidRPr="00B3061D">
        <w:rPr>
          <w:rFonts w:eastAsia="Times New Roman" w:cs="Tahoma"/>
          <w:color w:val="000000"/>
          <w:lang w:val="en-GB" w:eastAsia="nl-NL"/>
        </w:rPr>
        <w:t xml:space="preserve"> </w:t>
      </w:r>
    </w:p>
    <w:p w14:paraId="14AC76F6" w14:textId="77777777" w:rsidR="006D7EAD" w:rsidRDefault="006D7EAD" w:rsidP="00B3061D">
      <w:pPr>
        <w:pStyle w:val="Para1"/>
        <w:numPr>
          <w:ilvl w:val="0"/>
          <w:numId w:val="0"/>
        </w:numPr>
        <w:spacing w:before="0" w:after="0"/>
        <w:rPr>
          <w:rFonts w:asciiTheme="minorHAnsi" w:hAnsiTheme="minorHAnsi"/>
          <w:szCs w:val="22"/>
        </w:rPr>
      </w:pPr>
    </w:p>
    <w:p w14:paraId="0613E8FC" w14:textId="488D2849" w:rsidR="002077FF" w:rsidRPr="002077FF" w:rsidRDefault="002077FF" w:rsidP="002077FF">
      <w:pPr>
        <w:pStyle w:val="Para1"/>
        <w:numPr>
          <w:ilvl w:val="0"/>
          <w:numId w:val="0"/>
        </w:numPr>
        <w:spacing w:before="0" w:after="0"/>
        <w:rPr>
          <w:rFonts w:asciiTheme="minorHAnsi" w:hAnsiTheme="minorHAnsi"/>
          <w:szCs w:val="22"/>
          <w:lang w:eastAsia="de-DE"/>
        </w:rPr>
      </w:pPr>
      <w:r w:rsidRPr="002077FF">
        <w:rPr>
          <w:rFonts w:asciiTheme="minorHAnsi" w:hAnsiTheme="minorHAnsi"/>
          <w:szCs w:val="22"/>
        </w:rPr>
        <w:t>An important step forwards is that t</w:t>
      </w:r>
      <w:r w:rsidR="001F00D8" w:rsidRPr="002077FF">
        <w:rPr>
          <w:rFonts w:asciiTheme="minorHAnsi" w:hAnsiTheme="minorHAnsi"/>
          <w:szCs w:val="22"/>
        </w:rPr>
        <w:t xml:space="preserve">he </w:t>
      </w:r>
      <w:r w:rsidRPr="002077FF">
        <w:rPr>
          <w:rFonts w:asciiTheme="minorHAnsi" w:hAnsiTheme="minorHAnsi"/>
          <w:szCs w:val="22"/>
        </w:rPr>
        <w:t xml:space="preserve">first phase of the </w:t>
      </w:r>
      <w:r w:rsidR="001F00D8" w:rsidRPr="002077FF">
        <w:rPr>
          <w:rFonts w:asciiTheme="minorHAnsi" w:hAnsiTheme="minorHAnsi"/>
          <w:szCs w:val="22"/>
        </w:rPr>
        <w:t>new plan of action on customary use</w:t>
      </w:r>
      <w:r w:rsidRPr="002077FF">
        <w:rPr>
          <w:rFonts w:asciiTheme="minorHAnsi" w:hAnsiTheme="minorHAnsi"/>
          <w:szCs w:val="22"/>
        </w:rPr>
        <w:t xml:space="preserve"> (to be adopted at COP12)</w:t>
      </w:r>
      <w:r w:rsidR="001F00D8" w:rsidRPr="002077FF">
        <w:rPr>
          <w:rFonts w:asciiTheme="minorHAnsi" w:hAnsiTheme="minorHAnsi"/>
          <w:szCs w:val="22"/>
        </w:rPr>
        <w:t xml:space="preserve"> includes a priority task </w:t>
      </w:r>
      <w:r w:rsidRPr="002077FF">
        <w:rPr>
          <w:rFonts w:asciiTheme="minorHAnsi" w:hAnsiTheme="minorHAnsi"/>
          <w:szCs w:val="22"/>
        </w:rPr>
        <w:t>to identify</w:t>
      </w:r>
      <w:r w:rsidR="001F00D8" w:rsidRPr="002077FF">
        <w:rPr>
          <w:rFonts w:asciiTheme="minorHAnsi" w:hAnsiTheme="minorHAnsi"/>
          <w:szCs w:val="22"/>
        </w:rPr>
        <w:t xml:space="preserve"> best practices related to</w:t>
      </w:r>
      <w:r w:rsidRPr="002077FF">
        <w:rPr>
          <w:rFonts w:asciiTheme="minorHAnsi" w:hAnsiTheme="minorHAnsi"/>
          <w:szCs w:val="22"/>
        </w:rPr>
        <w:t xml:space="preserve"> promote their participation and FPCI in the </w:t>
      </w:r>
      <w:r w:rsidRPr="002077FF">
        <w:rPr>
          <w:rFonts w:asciiTheme="minorHAnsi" w:hAnsiTheme="minorHAnsi"/>
        </w:rPr>
        <w:t>establishment, expansion, governance and management of protected areas, and to encourage the application of traditional knowledge and customary sustainable use</w:t>
      </w:r>
      <w:r w:rsidRPr="002077FF">
        <w:rPr>
          <w:rFonts w:asciiTheme="minorHAnsi" w:hAnsiTheme="minorHAnsi"/>
          <w:szCs w:val="22"/>
        </w:rPr>
        <w:t xml:space="preserve"> </w:t>
      </w:r>
      <w:r w:rsidRPr="002077FF">
        <w:rPr>
          <w:rFonts w:asciiTheme="minorHAnsi" w:hAnsiTheme="minorHAnsi"/>
        </w:rPr>
        <w:t>protected areas. The rationale of the (draft) plan of action acknowledges that “</w:t>
      </w:r>
      <w:r w:rsidRPr="002077FF">
        <w:rPr>
          <w:rFonts w:asciiTheme="minorHAnsi" w:hAnsiTheme="minorHAnsi"/>
          <w:szCs w:val="22"/>
          <w:lang w:eastAsia="de-DE"/>
        </w:rPr>
        <w:t xml:space="preserve">Protected areas established without the prior informed consent or approval and involvement of indigenous and local communities can restrict access and use of traditional areas and therefore undermine customary practices and knowledge associated with certain areas or biological resources. At the same time, conservation of biodiversity is vital for the protection and maintenance of </w:t>
      </w:r>
      <w:r w:rsidRPr="002077FF">
        <w:rPr>
          <w:rFonts w:asciiTheme="minorHAnsi" w:hAnsiTheme="minorHAnsi"/>
        </w:rPr>
        <w:t>customary sustainable use</w:t>
      </w:r>
      <w:r w:rsidRPr="002077FF">
        <w:rPr>
          <w:rFonts w:asciiTheme="minorHAnsi" w:hAnsiTheme="minorHAnsi"/>
          <w:szCs w:val="22"/>
        </w:rPr>
        <w:t xml:space="preserve"> of biological diversity</w:t>
      </w:r>
      <w:r w:rsidRPr="002077FF">
        <w:rPr>
          <w:rFonts w:asciiTheme="minorHAnsi" w:hAnsiTheme="minorHAnsi"/>
          <w:szCs w:val="22"/>
          <w:lang w:eastAsia="de-DE"/>
        </w:rPr>
        <w:t xml:space="preserve"> and associated traditional knowledge”. The use of community protocols and other community procedures is promoted to articulate the potentially affected communities’ values, procedures and priorities.</w:t>
      </w:r>
      <w:r w:rsidRPr="002077FF">
        <w:rPr>
          <w:rStyle w:val="FootnoteReference"/>
          <w:rFonts w:asciiTheme="minorHAnsi" w:hAnsiTheme="minorHAnsi"/>
          <w:szCs w:val="22"/>
          <w:lang w:eastAsia="de-DE"/>
        </w:rPr>
        <w:footnoteReference w:id="40"/>
      </w:r>
      <w:r w:rsidRPr="002077FF">
        <w:rPr>
          <w:rFonts w:asciiTheme="minorHAnsi" w:hAnsiTheme="minorHAnsi"/>
          <w:szCs w:val="22"/>
          <w:lang w:eastAsia="de-DE"/>
        </w:rPr>
        <w:t xml:space="preserve"> </w:t>
      </w:r>
    </w:p>
    <w:p w14:paraId="1FDC45EC" w14:textId="77777777" w:rsidR="009D4F75" w:rsidRPr="00B3061D" w:rsidRDefault="009D4F75" w:rsidP="00B3061D">
      <w:pPr>
        <w:pStyle w:val="Para1"/>
        <w:numPr>
          <w:ilvl w:val="0"/>
          <w:numId w:val="0"/>
        </w:numPr>
        <w:spacing w:before="0" w:after="0"/>
        <w:rPr>
          <w:rFonts w:asciiTheme="minorHAnsi" w:hAnsiTheme="minorHAnsi"/>
          <w:szCs w:val="22"/>
        </w:rPr>
      </w:pPr>
    </w:p>
    <w:p w14:paraId="7DCB6CDF" w14:textId="5DF1E2BC" w:rsidR="000651E4" w:rsidRPr="00B3061D" w:rsidRDefault="002B7269"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t>Related to target 10, g</w:t>
      </w:r>
      <w:r w:rsidR="000651E4" w:rsidRPr="00B3061D">
        <w:rPr>
          <w:rFonts w:asciiTheme="minorHAnsi" w:hAnsiTheme="minorHAnsi"/>
          <w:szCs w:val="22"/>
        </w:rPr>
        <w:t xml:space="preserve">overnment policies sometimes </w:t>
      </w:r>
      <w:proofErr w:type="gramStart"/>
      <w:r w:rsidR="000651E4" w:rsidRPr="00B3061D">
        <w:rPr>
          <w:rFonts w:asciiTheme="minorHAnsi" w:hAnsiTheme="minorHAnsi"/>
          <w:szCs w:val="22"/>
        </w:rPr>
        <w:t>ban</w:t>
      </w:r>
      <w:r w:rsidR="002D72A2" w:rsidRPr="00B3061D">
        <w:rPr>
          <w:rFonts w:asciiTheme="minorHAnsi" w:hAnsiTheme="minorHAnsi"/>
          <w:szCs w:val="22"/>
        </w:rPr>
        <w:t xml:space="preserve"> </w:t>
      </w:r>
      <w:r w:rsidR="000651E4" w:rsidRPr="00B3061D">
        <w:rPr>
          <w:rFonts w:asciiTheme="minorHAnsi" w:hAnsiTheme="minorHAnsi"/>
          <w:szCs w:val="22"/>
        </w:rPr>
        <w:t xml:space="preserve"> or</w:t>
      </w:r>
      <w:proofErr w:type="gramEnd"/>
      <w:r w:rsidR="000651E4" w:rsidRPr="00B3061D">
        <w:rPr>
          <w:rFonts w:asciiTheme="minorHAnsi" w:hAnsiTheme="minorHAnsi"/>
          <w:szCs w:val="22"/>
        </w:rPr>
        <w:t xml:space="preserve"> restrict community access and use of areas that </w:t>
      </w:r>
      <w:r w:rsidRPr="00B3061D">
        <w:rPr>
          <w:rFonts w:asciiTheme="minorHAnsi" w:hAnsiTheme="minorHAnsi"/>
          <w:szCs w:val="22"/>
        </w:rPr>
        <w:t>a</w:t>
      </w:r>
      <w:r w:rsidR="000651E4" w:rsidRPr="00B3061D">
        <w:rPr>
          <w:rFonts w:asciiTheme="minorHAnsi" w:hAnsiTheme="minorHAnsi"/>
          <w:szCs w:val="22"/>
        </w:rPr>
        <w:t>re vulnerable to climate change</w:t>
      </w:r>
      <w:r w:rsidR="002D72A2" w:rsidRPr="00B3061D">
        <w:rPr>
          <w:rFonts w:asciiTheme="minorHAnsi" w:hAnsiTheme="minorHAnsi"/>
          <w:szCs w:val="22"/>
        </w:rPr>
        <w:t xml:space="preserve"> (</w:t>
      </w:r>
      <w:r w:rsidR="00C775A5" w:rsidRPr="00B3061D">
        <w:rPr>
          <w:rFonts w:asciiTheme="minorHAnsi" w:hAnsiTheme="minorHAnsi"/>
          <w:b/>
          <w:color w:val="0070C0"/>
          <w:szCs w:val="22"/>
        </w:rPr>
        <w:t>case:</w:t>
      </w:r>
      <w:r w:rsidR="00C775A5" w:rsidRPr="00B3061D">
        <w:rPr>
          <w:rFonts w:asciiTheme="minorHAnsi" w:hAnsiTheme="minorHAnsi"/>
          <w:szCs w:val="22"/>
        </w:rPr>
        <w:t xml:space="preserve"> </w:t>
      </w:r>
      <w:proofErr w:type="spellStart"/>
      <w:r w:rsidR="002D72A2" w:rsidRPr="00B3061D">
        <w:rPr>
          <w:rFonts w:asciiTheme="minorHAnsi" w:hAnsiTheme="minorHAnsi"/>
          <w:szCs w:val="22"/>
        </w:rPr>
        <w:t>Sundarbans</w:t>
      </w:r>
      <w:proofErr w:type="spellEnd"/>
      <w:r w:rsidR="002D72A2" w:rsidRPr="00B3061D">
        <w:rPr>
          <w:rFonts w:asciiTheme="minorHAnsi" w:hAnsiTheme="minorHAnsi"/>
          <w:szCs w:val="22"/>
        </w:rPr>
        <w:t>)</w:t>
      </w:r>
      <w:r w:rsidR="00850361">
        <w:rPr>
          <w:rStyle w:val="FootnoteReference"/>
          <w:rFonts w:asciiTheme="minorHAnsi" w:hAnsiTheme="minorHAnsi"/>
          <w:szCs w:val="22"/>
        </w:rPr>
        <w:footnoteReference w:id="41"/>
      </w:r>
      <w:r w:rsidR="000651E4" w:rsidRPr="00B3061D">
        <w:rPr>
          <w:rFonts w:asciiTheme="minorHAnsi" w:hAnsiTheme="minorHAnsi"/>
          <w:szCs w:val="22"/>
        </w:rPr>
        <w:t xml:space="preserve">. </w:t>
      </w:r>
      <w:r w:rsidRPr="00B3061D">
        <w:rPr>
          <w:rFonts w:asciiTheme="minorHAnsi" w:hAnsiTheme="minorHAnsi"/>
          <w:szCs w:val="22"/>
        </w:rPr>
        <w:t>This also has adverse effects on traditional knowledge and occupations of these communities – whereas it could be an opportunity to support TK-based strategies to adapt to the changes and address the vulnerability of the ecosystems (</w:t>
      </w:r>
      <w:proofErr w:type="spellStart"/>
      <w:r w:rsidRPr="00B3061D">
        <w:rPr>
          <w:rFonts w:asciiTheme="minorHAnsi" w:hAnsiTheme="minorHAnsi"/>
          <w:szCs w:val="22"/>
        </w:rPr>
        <w:t>Sundarbans</w:t>
      </w:r>
      <w:proofErr w:type="spellEnd"/>
      <w:r w:rsidRPr="00B3061D">
        <w:rPr>
          <w:rFonts w:asciiTheme="minorHAnsi" w:hAnsiTheme="minorHAnsi"/>
          <w:szCs w:val="22"/>
        </w:rPr>
        <w:t xml:space="preserve">). </w:t>
      </w:r>
    </w:p>
    <w:p w14:paraId="40E8877D" w14:textId="77777777" w:rsidR="000651E4" w:rsidRPr="00B3061D" w:rsidRDefault="000651E4" w:rsidP="00B3061D">
      <w:pPr>
        <w:pStyle w:val="ListParagraph"/>
        <w:ind w:left="0"/>
        <w:rPr>
          <w:rFonts w:eastAsia="MS Mincho"/>
          <w:b/>
          <w:color w:val="0070C0"/>
          <w:sz w:val="22"/>
          <w:szCs w:val="22"/>
          <w:lang w:val="en-GB" w:eastAsia="ja-JP"/>
        </w:rPr>
      </w:pPr>
    </w:p>
    <w:p w14:paraId="54869681" w14:textId="121C8766" w:rsidR="006A5E58" w:rsidRPr="00765103" w:rsidRDefault="00AC7E1B" w:rsidP="00765103">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lang w:val="en-GB" w:eastAsia="nl-NL"/>
        </w:rPr>
      </w:pPr>
      <w:r w:rsidRPr="00765103">
        <w:rPr>
          <w:rFonts w:eastAsia="Times New Roman" w:cs="Tahoma"/>
          <w:color w:val="000000"/>
          <w:lang w:val="en-GB" w:eastAsia="nl-NL"/>
        </w:rPr>
        <w:t xml:space="preserve">Box: </w:t>
      </w:r>
      <w:r w:rsidR="008157E8">
        <w:rPr>
          <w:rFonts w:eastAsia="Times New Roman" w:cs="Tahoma"/>
          <w:color w:val="000000"/>
          <w:lang w:val="en-GB" w:eastAsia="nl-NL"/>
        </w:rPr>
        <w:t xml:space="preserve">Indigenous </w:t>
      </w:r>
      <w:proofErr w:type="gramStart"/>
      <w:r w:rsidR="008157E8">
        <w:rPr>
          <w:rFonts w:eastAsia="Times New Roman" w:cs="Tahoma"/>
          <w:color w:val="000000"/>
          <w:lang w:val="en-GB" w:eastAsia="nl-NL"/>
        </w:rPr>
        <w:t>peoples’</w:t>
      </w:r>
      <w:proofErr w:type="gramEnd"/>
      <w:r w:rsidR="008157E8">
        <w:rPr>
          <w:rFonts w:eastAsia="Times New Roman" w:cs="Tahoma"/>
          <w:color w:val="000000"/>
          <w:lang w:val="en-GB" w:eastAsia="nl-NL"/>
        </w:rPr>
        <w:t xml:space="preserve"> own</w:t>
      </w:r>
      <w:r w:rsidR="00202DB5" w:rsidRPr="00765103">
        <w:rPr>
          <w:rFonts w:eastAsia="Times New Roman" w:cs="Tahoma"/>
          <w:color w:val="000000"/>
          <w:lang w:val="en-GB" w:eastAsia="nl-NL"/>
        </w:rPr>
        <w:t xml:space="preserve"> initiatives towards promoting and revitalizing TK and CSU</w:t>
      </w:r>
    </w:p>
    <w:p w14:paraId="4AED2295" w14:textId="77777777" w:rsidR="007A2317" w:rsidRPr="00765103" w:rsidRDefault="007A2317" w:rsidP="00765103">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lang w:val="en-GB" w:eastAsia="nl-NL"/>
        </w:rPr>
      </w:pPr>
    </w:p>
    <w:p w14:paraId="4EA011DB" w14:textId="26E56552" w:rsidR="00AC7E1B" w:rsidRPr="00765103" w:rsidRDefault="00AC7E1B" w:rsidP="00765103">
      <w:pPr>
        <w:pBdr>
          <w:top w:val="single" w:sz="4" w:space="1" w:color="auto"/>
          <w:left w:val="single" w:sz="4" w:space="4" w:color="auto"/>
          <w:bottom w:val="single" w:sz="4" w:space="1" w:color="auto"/>
          <w:right w:val="single" w:sz="4" w:space="4" w:color="auto"/>
        </w:pBdr>
        <w:spacing w:after="0" w:line="240" w:lineRule="auto"/>
        <w:rPr>
          <w:rFonts w:eastAsia="Times New Roman" w:cs="Tahoma"/>
          <w:color w:val="000000"/>
          <w:sz w:val="20"/>
          <w:szCs w:val="20"/>
          <w:lang w:val="en-GB" w:eastAsia="nl-NL"/>
        </w:rPr>
      </w:pPr>
      <w:r w:rsidRPr="00765103">
        <w:rPr>
          <w:rFonts w:eastAsia="Times New Roman" w:cs="Tahoma"/>
          <w:color w:val="000000"/>
          <w:sz w:val="20"/>
          <w:szCs w:val="20"/>
          <w:lang w:val="en-GB" w:eastAsia="nl-NL"/>
        </w:rPr>
        <w:t xml:space="preserve">It’s important to note that there are countless examples of initiatives initiated by indigenous peoples and local communities that are aimed at restoring, strengthening, or just transferring traditional knowledge, languages, skills and practices – effective initiatives that can be supported by Parties to bolster implementation of Target 18. </w:t>
      </w:r>
    </w:p>
    <w:p w14:paraId="6B3607D6" w14:textId="77777777" w:rsidR="00AC7E1B" w:rsidRPr="00765103" w:rsidRDefault="00AC7E1B" w:rsidP="00765103">
      <w:pPr>
        <w:pBdr>
          <w:top w:val="single" w:sz="4" w:space="1" w:color="auto"/>
          <w:left w:val="single" w:sz="4" w:space="4" w:color="auto"/>
          <w:bottom w:val="single" w:sz="4" w:space="1" w:color="auto"/>
          <w:right w:val="single" w:sz="4" w:space="4" w:color="auto"/>
        </w:pBdr>
        <w:spacing w:after="0" w:line="240" w:lineRule="auto"/>
        <w:rPr>
          <w:b/>
          <w:sz w:val="20"/>
          <w:szCs w:val="20"/>
          <w:lang w:val="en-GB"/>
        </w:rPr>
      </w:pPr>
    </w:p>
    <w:p w14:paraId="6E05E328" w14:textId="10F00B94" w:rsidR="006A05BD" w:rsidRDefault="006A05BD" w:rsidP="00765103">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sidRPr="00765103">
        <w:rPr>
          <w:sz w:val="20"/>
          <w:szCs w:val="20"/>
          <w:lang w:val="en-GB"/>
        </w:rPr>
        <w:t xml:space="preserve">One example is the </w:t>
      </w:r>
      <w:proofErr w:type="spellStart"/>
      <w:r w:rsidRPr="00765103">
        <w:rPr>
          <w:sz w:val="20"/>
          <w:szCs w:val="20"/>
          <w:lang w:val="en-GB"/>
        </w:rPr>
        <w:t>Tumul’kin</w:t>
      </w:r>
      <w:proofErr w:type="spellEnd"/>
      <w:r w:rsidRPr="00765103">
        <w:rPr>
          <w:sz w:val="20"/>
          <w:szCs w:val="20"/>
          <w:lang w:val="en-GB"/>
        </w:rPr>
        <w:t xml:space="preserve"> </w:t>
      </w:r>
      <w:proofErr w:type="spellStart"/>
      <w:r w:rsidRPr="00765103">
        <w:rPr>
          <w:sz w:val="20"/>
          <w:szCs w:val="20"/>
          <w:lang w:val="en-GB"/>
        </w:rPr>
        <w:t>Center</w:t>
      </w:r>
      <w:proofErr w:type="spellEnd"/>
      <w:r w:rsidRPr="00765103">
        <w:rPr>
          <w:sz w:val="20"/>
          <w:szCs w:val="20"/>
          <w:lang w:val="en-GB"/>
        </w:rPr>
        <w:t xml:space="preserve"> of Learning in Belize. This is a Maya NGO aimed at promoting sustainable development and preservation of Maya identity. This is done through </w:t>
      </w:r>
      <w:proofErr w:type="spellStart"/>
      <w:r w:rsidRPr="00765103">
        <w:rPr>
          <w:sz w:val="20"/>
          <w:szCs w:val="20"/>
          <w:lang w:val="en-GB"/>
        </w:rPr>
        <w:t>interculural</w:t>
      </w:r>
      <w:proofErr w:type="spellEnd"/>
      <w:r w:rsidRPr="00765103">
        <w:rPr>
          <w:sz w:val="20"/>
          <w:szCs w:val="20"/>
          <w:lang w:val="en-GB"/>
        </w:rPr>
        <w:t xml:space="preserve"> education, training and </w:t>
      </w:r>
      <w:proofErr w:type="gramStart"/>
      <w:r w:rsidRPr="00765103">
        <w:rPr>
          <w:sz w:val="20"/>
          <w:szCs w:val="20"/>
          <w:lang w:val="en-GB"/>
        </w:rPr>
        <w:t>research which</w:t>
      </w:r>
      <w:proofErr w:type="gramEnd"/>
      <w:r w:rsidRPr="00765103">
        <w:rPr>
          <w:sz w:val="20"/>
          <w:szCs w:val="20"/>
          <w:lang w:val="en-GB"/>
        </w:rPr>
        <w:t xml:space="preserve"> combines ‘modern’ and Maya values, knowledge and philosophy. </w:t>
      </w:r>
      <w:proofErr w:type="spellStart"/>
      <w:r w:rsidRPr="00765103">
        <w:rPr>
          <w:sz w:val="20"/>
          <w:szCs w:val="20"/>
          <w:lang w:val="en-GB"/>
        </w:rPr>
        <w:t>Tumul’kin</w:t>
      </w:r>
      <w:proofErr w:type="spellEnd"/>
      <w:r w:rsidRPr="00765103">
        <w:rPr>
          <w:sz w:val="20"/>
          <w:szCs w:val="20"/>
          <w:lang w:val="en-GB"/>
        </w:rPr>
        <w:t xml:space="preserve"> offers a five-year residential intercultural programme where youth can specialize in agriculture, ecotourism and sustainable land use. In the fifth year students develop and exercise their own </w:t>
      </w:r>
      <w:proofErr w:type="spellStart"/>
      <w:r w:rsidRPr="00765103">
        <w:rPr>
          <w:sz w:val="20"/>
          <w:szCs w:val="20"/>
          <w:lang w:val="en-GB"/>
        </w:rPr>
        <w:t>buseinessplan</w:t>
      </w:r>
      <w:proofErr w:type="spellEnd"/>
      <w:r w:rsidRPr="00765103">
        <w:rPr>
          <w:sz w:val="20"/>
          <w:szCs w:val="20"/>
          <w:lang w:val="en-GB"/>
        </w:rPr>
        <w:t xml:space="preserve"> in one of the Maya communities.</w:t>
      </w:r>
      <w:r w:rsidRPr="00765103">
        <w:rPr>
          <w:rStyle w:val="FootnoteReference"/>
          <w:sz w:val="20"/>
          <w:szCs w:val="20"/>
          <w:lang w:val="en-GB"/>
        </w:rPr>
        <w:footnoteReference w:id="42"/>
      </w:r>
      <w:r w:rsidRPr="00765103">
        <w:rPr>
          <w:sz w:val="20"/>
          <w:szCs w:val="20"/>
          <w:lang w:val="en-GB"/>
        </w:rPr>
        <w:t xml:space="preserve"> Belize has no official policy for bi-lingual intercultural education, but the government does support initiatives set up by Maya </w:t>
      </w:r>
      <w:r w:rsidR="00765103" w:rsidRPr="00765103">
        <w:rPr>
          <w:sz w:val="20"/>
          <w:szCs w:val="20"/>
          <w:lang w:val="en-GB"/>
        </w:rPr>
        <w:t>and</w:t>
      </w:r>
      <w:r w:rsidRPr="00765103">
        <w:rPr>
          <w:sz w:val="20"/>
          <w:szCs w:val="20"/>
          <w:lang w:val="en-GB"/>
        </w:rPr>
        <w:t xml:space="preserve"> Garifuna communities. </w:t>
      </w:r>
    </w:p>
    <w:p w14:paraId="1C7AA6C0" w14:textId="77777777" w:rsidR="00AB2A22" w:rsidRDefault="00AB2A22" w:rsidP="00765103">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50CBD6C8" w14:textId="4C0F4693" w:rsidR="00AB2A22" w:rsidRPr="00AB2A22" w:rsidRDefault="00AB2A22" w:rsidP="00AB2A2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Pr>
          <w:sz w:val="20"/>
          <w:szCs w:val="20"/>
          <w:lang w:val="en-GB"/>
        </w:rPr>
        <w:t xml:space="preserve">In several countries indigenous researchers have also produced </w:t>
      </w:r>
      <w:r w:rsidRPr="00AB2A22">
        <w:rPr>
          <w:sz w:val="20"/>
          <w:szCs w:val="20"/>
          <w:lang w:val="en-GB"/>
        </w:rPr>
        <w:t xml:space="preserve">case studies about customary sustainable use of biological diversity. By describing and explaining what customary sustainable use is, and what customary rules and laws are, the communities are providing more insight into their customary management systems, and what is needed to maintain them. </w:t>
      </w:r>
      <w:proofErr w:type="gramStart"/>
      <w:r>
        <w:rPr>
          <w:sz w:val="20"/>
          <w:szCs w:val="20"/>
          <w:lang w:val="en-GB"/>
        </w:rPr>
        <w:t>This  contributes</w:t>
      </w:r>
      <w:proofErr w:type="gramEnd"/>
      <w:r w:rsidRPr="00AB2A22">
        <w:rPr>
          <w:sz w:val="20"/>
          <w:szCs w:val="20"/>
          <w:lang w:val="en-GB"/>
        </w:rPr>
        <w:t xml:space="preserve"> to safeguarding customary knowledge and practices for future generations and the documentation process has led to a revival of interest and enthusiasm for traditional biodiversity knowledge, in particular among the youth. The </w:t>
      </w:r>
      <w:proofErr w:type="gramStart"/>
      <w:r w:rsidRPr="00AB2A22">
        <w:rPr>
          <w:sz w:val="20"/>
          <w:szCs w:val="20"/>
          <w:lang w:val="en-GB"/>
        </w:rPr>
        <w:t>transfer of knowledge and skills to children and youth is considered very important by the communities</w:t>
      </w:r>
      <w:proofErr w:type="gramEnd"/>
      <w:r w:rsidRPr="00AB2A22">
        <w:rPr>
          <w:sz w:val="20"/>
          <w:szCs w:val="20"/>
          <w:lang w:val="en-GB"/>
        </w:rPr>
        <w:t xml:space="preserve"> and the information collected during the research is used to feed into various educational programmes for indigenous children. In Thailand, for example, the Karen and Hmong organise youth camps to pass on indigenous culture and knowledge related to the environment, and are setting up community cultural centres to provide a space for the elders to teach cultural practices to the youth. They are also working to develop a local indigenous curriculum focussing on traditional knowledge and customary use of natural resources, to complement the standard national school curriculum.   </w:t>
      </w:r>
    </w:p>
    <w:p w14:paraId="5DC82433" w14:textId="77777777" w:rsidR="00AB2A22" w:rsidRDefault="00AB2A22" w:rsidP="00AB2A2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sidRPr="00AB2A22">
        <w:rPr>
          <w:sz w:val="20"/>
          <w:szCs w:val="20"/>
          <w:lang w:val="en-GB"/>
        </w:rPr>
        <w:t xml:space="preserve">In Suriname, the communities are developing educational school material based on the information collected for this study and are raising awareness and initiating discussions about intercultural and bilingual education (IBE) among parents, teachers and school boards in Suriname. </w:t>
      </w:r>
    </w:p>
    <w:p w14:paraId="41E6E483" w14:textId="77777777" w:rsidR="00AB2A22" w:rsidRDefault="00AB2A22" w:rsidP="00AB2A2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3946C5CC" w14:textId="4137BBC9" w:rsidR="00AB2A22" w:rsidRDefault="00AB2A22" w:rsidP="00AB2A22">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Pr>
          <w:sz w:val="20"/>
          <w:szCs w:val="20"/>
          <w:lang w:val="en-GB"/>
        </w:rPr>
        <w:t>P</w:t>
      </w:r>
      <w:r w:rsidRPr="00AB2A22">
        <w:rPr>
          <w:sz w:val="20"/>
          <w:szCs w:val="20"/>
          <w:lang w:val="en-GB"/>
        </w:rPr>
        <w:t>articipatory mapping</w:t>
      </w:r>
      <w:r>
        <w:rPr>
          <w:sz w:val="20"/>
          <w:szCs w:val="20"/>
          <w:lang w:val="en-GB"/>
        </w:rPr>
        <w:t xml:space="preserve"> (see section 5.2)</w:t>
      </w:r>
      <w:r w:rsidRPr="00AB2A22">
        <w:rPr>
          <w:sz w:val="20"/>
          <w:szCs w:val="20"/>
          <w:lang w:val="en-GB"/>
        </w:rPr>
        <w:t xml:space="preserve"> also contribute</w:t>
      </w:r>
      <w:r>
        <w:rPr>
          <w:sz w:val="20"/>
          <w:szCs w:val="20"/>
          <w:lang w:val="en-GB"/>
        </w:rPr>
        <w:t>s</w:t>
      </w:r>
      <w:r w:rsidRPr="00AB2A22">
        <w:rPr>
          <w:sz w:val="20"/>
          <w:szCs w:val="20"/>
          <w:lang w:val="en-GB"/>
        </w:rPr>
        <w:t xml:space="preserve"> to the revitalisation of traditional knowledge as younger people work</w:t>
      </w:r>
      <w:r>
        <w:rPr>
          <w:sz w:val="20"/>
          <w:szCs w:val="20"/>
          <w:lang w:val="en-GB"/>
        </w:rPr>
        <w:t xml:space="preserve"> </w:t>
      </w:r>
      <w:r w:rsidRPr="00AB2A22">
        <w:rPr>
          <w:sz w:val="20"/>
          <w:szCs w:val="20"/>
          <w:lang w:val="en-GB"/>
        </w:rPr>
        <w:t>with elders to collect the information for the maps.</w:t>
      </w:r>
    </w:p>
    <w:p w14:paraId="492205D6" w14:textId="77777777" w:rsidR="00AB2A22" w:rsidRDefault="00AB2A22" w:rsidP="00765103">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67E6F448" w14:textId="665A07AD" w:rsidR="00AB2A22" w:rsidRPr="00765103" w:rsidRDefault="00AB2A22" w:rsidP="00765103">
      <w:pPr>
        <w:pBdr>
          <w:top w:val="single" w:sz="4" w:space="1" w:color="auto"/>
          <w:left w:val="single" w:sz="4" w:space="4" w:color="auto"/>
          <w:bottom w:val="single" w:sz="4" w:space="1" w:color="auto"/>
          <w:right w:val="single" w:sz="4" w:space="4" w:color="auto"/>
        </w:pBdr>
        <w:spacing w:after="0" w:line="240" w:lineRule="auto"/>
        <w:rPr>
          <w:sz w:val="20"/>
          <w:szCs w:val="20"/>
          <w:lang w:val="en-GB"/>
        </w:rPr>
      </w:pPr>
      <w:r>
        <w:rPr>
          <w:sz w:val="20"/>
          <w:szCs w:val="20"/>
          <w:lang w:val="en-GB"/>
        </w:rPr>
        <w:t>This work helps to promote internal strengthening of customary practices, but also serve to</w:t>
      </w:r>
      <w:r w:rsidRPr="00AB2A22">
        <w:rPr>
          <w:sz w:val="20"/>
          <w:szCs w:val="20"/>
          <w:lang w:val="en-GB"/>
        </w:rPr>
        <w:t xml:space="preserve"> increase understanding and acknowledgement</w:t>
      </w:r>
      <w:r>
        <w:rPr>
          <w:sz w:val="20"/>
          <w:szCs w:val="20"/>
          <w:lang w:val="en-GB"/>
        </w:rPr>
        <w:t xml:space="preserve"> by others</w:t>
      </w:r>
      <w:r w:rsidRPr="00AB2A22">
        <w:rPr>
          <w:sz w:val="20"/>
          <w:szCs w:val="20"/>
          <w:lang w:val="en-GB"/>
        </w:rPr>
        <w:t xml:space="preserve"> of the value of customary practices and traditional knowledge in relation to biodiversity conservation and sustainable use, and of the important role of customary laws and traditional institutions</w:t>
      </w:r>
      <w:r>
        <w:rPr>
          <w:sz w:val="20"/>
          <w:szCs w:val="20"/>
          <w:lang w:val="en-GB"/>
        </w:rPr>
        <w:t>. As such they can contribute to</w:t>
      </w:r>
      <w:r w:rsidRPr="00AB2A22">
        <w:rPr>
          <w:sz w:val="20"/>
          <w:szCs w:val="20"/>
          <w:lang w:val="en-GB"/>
        </w:rPr>
        <w:t xml:space="preserve"> concrete actions to recognise and institutionalise these.</w:t>
      </w:r>
      <w:r>
        <w:rPr>
          <w:rStyle w:val="FootnoteReference"/>
          <w:sz w:val="20"/>
          <w:szCs w:val="20"/>
          <w:lang w:val="en-GB"/>
        </w:rPr>
        <w:footnoteReference w:id="43"/>
      </w:r>
    </w:p>
    <w:p w14:paraId="1D6AB30D" w14:textId="23A99401" w:rsidR="006A05BD" w:rsidRPr="00765103" w:rsidRDefault="006A05BD" w:rsidP="00765103">
      <w:pPr>
        <w:pBdr>
          <w:top w:val="single" w:sz="4" w:space="1" w:color="auto"/>
          <w:left w:val="single" w:sz="4" w:space="4" w:color="auto"/>
          <w:bottom w:val="single" w:sz="4" w:space="1" w:color="auto"/>
          <w:right w:val="single" w:sz="4" w:space="4" w:color="auto"/>
        </w:pBdr>
        <w:spacing w:after="0" w:line="240" w:lineRule="auto"/>
        <w:rPr>
          <w:sz w:val="20"/>
          <w:szCs w:val="20"/>
          <w:lang w:val="en-GB"/>
        </w:rPr>
      </w:pPr>
    </w:p>
    <w:p w14:paraId="04AAD4FE" w14:textId="77777777" w:rsidR="00CB23EC" w:rsidRPr="00765103" w:rsidRDefault="00CB23EC" w:rsidP="00765103">
      <w:pPr>
        <w:pBdr>
          <w:top w:val="single" w:sz="4" w:space="1" w:color="auto"/>
          <w:left w:val="single" w:sz="4" w:space="4" w:color="auto"/>
          <w:bottom w:val="single" w:sz="4" w:space="1" w:color="auto"/>
          <w:right w:val="single" w:sz="4" w:space="4" w:color="auto"/>
        </w:pBdr>
        <w:spacing w:after="0" w:line="240" w:lineRule="auto"/>
        <w:rPr>
          <w:lang w:val="en-GB"/>
        </w:rPr>
      </w:pPr>
    </w:p>
    <w:p w14:paraId="68E7F95E" w14:textId="77777777" w:rsidR="00CA19F7" w:rsidRPr="00765103" w:rsidRDefault="00CA19F7" w:rsidP="00765103">
      <w:pPr>
        <w:spacing w:after="0" w:line="240" w:lineRule="auto"/>
        <w:rPr>
          <w:b/>
          <w:lang w:val="en-GB"/>
        </w:rPr>
      </w:pPr>
    </w:p>
    <w:p w14:paraId="67EB8CEE" w14:textId="303F6594" w:rsidR="00CA19F7" w:rsidRPr="00B3061D" w:rsidRDefault="00B94BC3" w:rsidP="00626832">
      <w:pPr>
        <w:pStyle w:val="ListParagraph"/>
        <w:numPr>
          <w:ilvl w:val="0"/>
          <w:numId w:val="3"/>
        </w:numPr>
        <w:pBdr>
          <w:bottom w:val="single" w:sz="4" w:space="1" w:color="auto"/>
        </w:pBdr>
        <w:ind w:left="0"/>
        <w:rPr>
          <w:sz w:val="22"/>
          <w:szCs w:val="22"/>
          <w:lang w:val="en-GB"/>
        </w:rPr>
      </w:pPr>
      <w:r w:rsidRPr="00B3061D">
        <w:rPr>
          <w:b/>
          <w:sz w:val="22"/>
          <w:szCs w:val="22"/>
          <w:lang w:val="en-GB"/>
        </w:rPr>
        <w:t>IP</w:t>
      </w:r>
      <w:r w:rsidR="00A06D07" w:rsidRPr="00B3061D">
        <w:rPr>
          <w:b/>
          <w:sz w:val="22"/>
          <w:szCs w:val="22"/>
          <w:lang w:val="en-GB"/>
        </w:rPr>
        <w:t xml:space="preserve"> contributions to developing </w:t>
      </w:r>
      <w:r w:rsidR="003B0694" w:rsidRPr="00B3061D">
        <w:rPr>
          <w:b/>
          <w:sz w:val="22"/>
          <w:szCs w:val="22"/>
        </w:rPr>
        <w:t>i</w:t>
      </w:r>
      <w:r w:rsidR="00CA19F7" w:rsidRPr="00B3061D">
        <w:rPr>
          <w:b/>
          <w:sz w:val="22"/>
          <w:szCs w:val="22"/>
        </w:rPr>
        <w:t>ndicators and monitoring status and trends</w:t>
      </w:r>
      <w:r w:rsidR="003B0694" w:rsidRPr="00B3061D">
        <w:rPr>
          <w:b/>
          <w:sz w:val="22"/>
          <w:szCs w:val="22"/>
        </w:rPr>
        <w:t xml:space="preserve"> of biodiversity and well-being </w:t>
      </w:r>
    </w:p>
    <w:p w14:paraId="1BD2B701" w14:textId="77777777" w:rsidR="009754E6" w:rsidRPr="00B3061D" w:rsidRDefault="009754E6" w:rsidP="00B3061D">
      <w:pPr>
        <w:pStyle w:val="ListParagraph"/>
        <w:ind w:left="0"/>
        <w:rPr>
          <w:sz w:val="22"/>
          <w:szCs w:val="22"/>
          <w:lang w:val="en-GB"/>
        </w:rPr>
      </w:pPr>
    </w:p>
    <w:p w14:paraId="75086D21" w14:textId="47E8DF3A" w:rsidR="00D74446" w:rsidRPr="00B3061D" w:rsidRDefault="00D74446" w:rsidP="00626832">
      <w:pPr>
        <w:pStyle w:val="ListParagraph"/>
        <w:numPr>
          <w:ilvl w:val="1"/>
          <w:numId w:val="3"/>
        </w:numPr>
        <w:ind w:left="0"/>
        <w:rPr>
          <w:sz w:val="22"/>
          <w:szCs w:val="22"/>
          <w:lang w:val="en-GB"/>
        </w:rPr>
      </w:pPr>
      <w:proofErr w:type="gramStart"/>
      <w:r w:rsidRPr="00B3061D">
        <w:rPr>
          <w:sz w:val="22"/>
          <w:szCs w:val="22"/>
          <w:lang w:val="en-GB"/>
        </w:rPr>
        <w:t>indicators</w:t>
      </w:r>
      <w:proofErr w:type="gramEnd"/>
      <w:r w:rsidRPr="00B3061D">
        <w:rPr>
          <w:sz w:val="22"/>
          <w:szCs w:val="22"/>
          <w:lang w:val="en-GB"/>
        </w:rPr>
        <w:t xml:space="preserve"> </w:t>
      </w:r>
      <w:r w:rsidR="00E243DC" w:rsidRPr="00B3061D">
        <w:rPr>
          <w:sz w:val="22"/>
          <w:szCs w:val="22"/>
          <w:lang w:val="en-GB"/>
        </w:rPr>
        <w:t>relevant for biodiversity and people</w:t>
      </w:r>
    </w:p>
    <w:p w14:paraId="48BFCEEE" w14:textId="77777777" w:rsidR="00E243DC" w:rsidRPr="00B3061D" w:rsidRDefault="00E243DC" w:rsidP="00B3061D">
      <w:pPr>
        <w:spacing w:after="0" w:line="240" w:lineRule="auto"/>
        <w:rPr>
          <w:lang w:val="en-GB"/>
        </w:rPr>
      </w:pPr>
    </w:p>
    <w:p w14:paraId="5C3BE6B6" w14:textId="0902F683" w:rsidR="007A2317" w:rsidRPr="00B3061D" w:rsidRDefault="00E243DC" w:rsidP="00B3061D">
      <w:pPr>
        <w:spacing w:after="0" w:line="240" w:lineRule="auto"/>
        <w:rPr>
          <w:lang w:val="en-GB"/>
        </w:rPr>
      </w:pPr>
      <w:r w:rsidRPr="00B3061D">
        <w:rPr>
          <w:lang w:val="en-GB"/>
        </w:rPr>
        <w:t>In 2006 the International Indigenous Forum on Biodiversity (IIFB) formed a Working Group on Indicators to identify indicators relevant to indigenous peopl</w:t>
      </w:r>
      <w:r w:rsidR="00BA2C83" w:rsidRPr="00B3061D">
        <w:rPr>
          <w:lang w:val="en-GB"/>
        </w:rPr>
        <w:t>es, biodiversity and wellbeing, starting with the CBD</w:t>
      </w:r>
      <w:r w:rsidR="007266CF">
        <w:rPr>
          <w:lang w:val="en-GB"/>
        </w:rPr>
        <w:t xml:space="preserve">, to </w:t>
      </w:r>
      <w:r w:rsidR="00BA2C83" w:rsidRPr="00B3061D">
        <w:rPr>
          <w:lang w:val="en-GB"/>
        </w:rPr>
        <w:t>measur</w:t>
      </w:r>
      <w:r w:rsidR="007266CF">
        <w:rPr>
          <w:lang w:val="en-GB"/>
        </w:rPr>
        <w:t xml:space="preserve">e </w:t>
      </w:r>
      <w:r w:rsidR="00BA2C83" w:rsidRPr="00B3061D">
        <w:rPr>
          <w:lang w:val="en-GB"/>
        </w:rPr>
        <w:t xml:space="preserve">what was really happening to indigenous peoples’ traditional knowledge and to biodiversity in their territories. In several global (technical) workshops and seminars, the key domains and issues were </w:t>
      </w:r>
      <w:proofErr w:type="gramStart"/>
      <w:r w:rsidR="00BA2C83" w:rsidRPr="00B3061D">
        <w:rPr>
          <w:lang w:val="en-GB"/>
        </w:rPr>
        <w:t>identified,</w:t>
      </w:r>
      <w:proofErr w:type="gramEnd"/>
      <w:r w:rsidR="00BA2C83" w:rsidRPr="00B3061D">
        <w:rPr>
          <w:lang w:val="en-GB"/>
        </w:rPr>
        <w:t xml:space="preserve"> resulting is a set of indicators pertaining to various aspects of indigenous land management. With the adoption of the new framework under the 2010-2020 Strategic Plan, t</w:t>
      </w:r>
      <w:r w:rsidRPr="00B3061D">
        <w:rPr>
          <w:lang w:val="en-GB"/>
        </w:rPr>
        <w:t xml:space="preserve">his working group has played a major role in the </w:t>
      </w:r>
      <w:r w:rsidR="00CE2245" w:rsidRPr="00B3061D">
        <w:rPr>
          <w:lang w:val="en-GB"/>
        </w:rPr>
        <w:t xml:space="preserve">selection and </w:t>
      </w:r>
      <w:r w:rsidRPr="00B3061D">
        <w:rPr>
          <w:lang w:val="en-GB"/>
        </w:rPr>
        <w:t xml:space="preserve">development of indicators </w:t>
      </w:r>
      <w:r w:rsidR="00B9276A" w:rsidRPr="00B3061D">
        <w:rPr>
          <w:lang w:val="en-GB"/>
        </w:rPr>
        <w:t>on traditional knowledge and customary sustainable use</w:t>
      </w:r>
      <w:r w:rsidRPr="00B3061D">
        <w:rPr>
          <w:lang w:val="en-GB"/>
        </w:rPr>
        <w:t>.</w:t>
      </w:r>
      <w:r w:rsidR="007A243E">
        <w:rPr>
          <w:rStyle w:val="FootnoteReference"/>
          <w:lang w:val="en-GB"/>
        </w:rPr>
        <w:footnoteReference w:id="44"/>
      </w:r>
      <w:r w:rsidR="00B9276A" w:rsidRPr="00B3061D">
        <w:rPr>
          <w:lang w:val="en-GB"/>
        </w:rPr>
        <w:t xml:space="preserve"> The importance of this work </w:t>
      </w:r>
      <w:r w:rsidR="00B9276A" w:rsidRPr="00B3061D">
        <w:rPr>
          <w:lang w:val="en-GB"/>
        </w:rPr>
        <w:lastRenderedPageBreak/>
        <w:t xml:space="preserve">was acknowledged by the Parties to the </w:t>
      </w:r>
      <w:proofErr w:type="gramStart"/>
      <w:r w:rsidR="00B9276A" w:rsidRPr="00B3061D">
        <w:rPr>
          <w:lang w:val="en-GB"/>
        </w:rPr>
        <w:t>CBD which</w:t>
      </w:r>
      <w:proofErr w:type="gramEnd"/>
      <w:r w:rsidR="00B9276A" w:rsidRPr="00B3061D">
        <w:rPr>
          <w:lang w:val="en-GB"/>
        </w:rPr>
        <w:t xml:space="preserve"> also requested this group to continue to work on refining, testing and using the indicators.</w:t>
      </w:r>
      <w:r w:rsidR="00B9276A" w:rsidRPr="00B3061D">
        <w:rPr>
          <w:rStyle w:val="FootnoteReference"/>
          <w:lang w:val="en-GB"/>
        </w:rPr>
        <w:footnoteReference w:id="45"/>
      </w:r>
      <w:r w:rsidRPr="00B3061D">
        <w:rPr>
          <w:lang w:val="en-GB"/>
        </w:rPr>
        <w:t xml:space="preserve"> </w:t>
      </w:r>
    </w:p>
    <w:p w14:paraId="4295331E" w14:textId="77777777" w:rsidR="005456A2" w:rsidRPr="00B3061D" w:rsidRDefault="005456A2" w:rsidP="00B3061D">
      <w:pPr>
        <w:spacing w:after="0" w:line="240" w:lineRule="auto"/>
        <w:rPr>
          <w:lang w:val="en-GB"/>
        </w:rPr>
      </w:pPr>
    </w:p>
    <w:p w14:paraId="7EC2C380" w14:textId="08CCA38F" w:rsidR="00E243DC" w:rsidRPr="00B3061D" w:rsidRDefault="008A2D17" w:rsidP="00B3061D">
      <w:pPr>
        <w:spacing w:after="0" w:line="240" w:lineRule="auto"/>
        <w:rPr>
          <w:lang w:val="en-GB"/>
        </w:rPr>
      </w:pPr>
      <w:r w:rsidRPr="00B3061D">
        <w:rPr>
          <w:lang w:val="en-GB"/>
        </w:rPr>
        <w:t>While the focus has been on developing indicators for inclusion in the framework under target 18</w:t>
      </w:r>
      <w:proofErr w:type="gramStart"/>
      <w:r w:rsidRPr="00B3061D">
        <w:rPr>
          <w:lang w:val="en-GB"/>
        </w:rPr>
        <w:t xml:space="preserve">, </w:t>
      </w:r>
      <w:r w:rsidR="008B3BE9">
        <w:rPr>
          <w:lang w:val="en-GB"/>
        </w:rPr>
        <w:t xml:space="preserve"> the</w:t>
      </w:r>
      <w:proofErr w:type="gramEnd"/>
      <w:r w:rsidR="008B3BE9">
        <w:rPr>
          <w:lang w:val="en-GB"/>
        </w:rPr>
        <w:t xml:space="preserve"> working group has </w:t>
      </w:r>
      <w:r w:rsidR="00E243DC" w:rsidRPr="00B3061D">
        <w:rPr>
          <w:lang w:val="en-GB"/>
        </w:rPr>
        <w:t>proposed and developed indicator</w:t>
      </w:r>
      <w:r w:rsidR="008B3BE9">
        <w:rPr>
          <w:lang w:val="en-GB"/>
        </w:rPr>
        <w:t>s</w:t>
      </w:r>
      <w:r w:rsidR="00E243DC" w:rsidRPr="00B3061D">
        <w:rPr>
          <w:lang w:val="en-GB"/>
        </w:rPr>
        <w:t xml:space="preserve"> under several other doma</w:t>
      </w:r>
      <w:r w:rsidRPr="00B3061D">
        <w:rPr>
          <w:lang w:val="en-GB"/>
        </w:rPr>
        <w:t xml:space="preserve">ins and targets. </w:t>
      </w:r>
    </w:p>
    <w:p w14:paraId="424BBBF1" w14:textId="77777777" w:rsidR="00D74446" w:rsidRPr="00B3061D" w:rsidRDefault="00D74446" w:rsidP="00B3061D">
      <w:pPr>
        <w:pStyle w:val="ListParagraph"/>
        <w:ind w:left="0"/>
        <w:rPr>
          <w:sz w:val="22"/>
          <w:szCs w:val="22"/>
          <w:lang w:val="en-GB"/>
        </w:rPr>
      </w:pPr>
    </w:p>
    <w:p w14:paraId="59BE3B6D" w14:textId="1D0B8BE9" w:rsidR="00D74446" w:rsidRDefault="00D74446" w:rsidP="00626832">
      <w:pPr>
        <w:pStyle w:val="ListParagraph"/>
        <w:numPr>
          <w:ilvl w:val="1"/>
          <w:numId w:val="3"/>
        </w:numPr>
        <w:ind w:left="0"/>
        <w:rPr>
          <w:sz w:val="22"/>
          <w:szCs w:val="22"/>
          <w:lang w:val="en-GB"/>
        </w:rPr>
      </w:pPr>
      <w:r w:rsidRPr="00B3061D">
        <w:rPr>
          <w:sz w:val="22"/>
          <w:szCs w:val="22"/>
          <w:lang w:val="en-GB"/>
        </w:rPr>
        <w:t>Community-based monitoring and information systems</w:t>
      </w:r>
    </w:p>
    <w:p w14:paraId="2DAB6D7B" w14:textId="77777777" w:rsidR="008B3BE9" w:rsidRPr="00B3061D" w:rsidRDefault="008B3BE9" w:rsidP="008B3BE9">
      <w:pPr>
        <w:pStyle w:val="ListParagraph"/>
        <w:ind w:left="0"/>
        <w:rPr>
          <w:sz w:val="22"/>
          <w:szCs w:val="22"/>
          <w:lang w:val="en-GB"/>
        </w:rPr>
      </w:pPr>
    </w:p>
    <w:p w14:paraId="6656D324" w14:textId="283F0D24" w:rsidR="005456A2" w:rsidRPr="00B3061D" w:rsidRDefault="007A2317" w:rsidP="00B3061D">
      <w:pPr>
        <w:spacing w:after="0" w:line="240" w:lineRule="auto"/>
        <w:rPr>
          <w:lang w:val="en-GB"/>
        </w:rPr>
      </w:pPr>
      <w:r w:rsidRPr="00B3061D">
        <w:rPr>
          <w:lang w:val="en-GB"/>
        </w:rPr>
        <w:t>The CBD technical series (issue 98, forthcoming</w:t>
      </w:r>
      <w:r w:rsidR="00A96CBB">
        <w:rPr>
          <w:lang w:val="en-GB"/>
        </w:rPr>
        <w:t>)</w:t>
      </w:r>
      <w:r w:rsidRPr="00B3061D">
        <w:rPr>
          <w:lang w:val="en-GB"/>
        </w:rPr>
        <w:t xml:space="preserve"> (technical paper on Target 18</w:t>
      </w:r>
      <w:r w:rsidR="004A1021">
        <w:rPr>
          <w:lang w:val="en-GB"/>
        </w:rPr>
        <w:t xml:space="preserve"> – </w:t>
      </w:r>
      <w:r w:rsidR="004A1021" w:rsidRPr="004A1021">
        <w:rPr>
          <w:highlight w:val="yellow"/>
          <w:lang w:val="en-GB"/>
        </w:rPr>
        <w:t>need to check when it comes out as until then we cannot cite</w:t>
      </w:r>
      <w:r w:rsidRPr="00B3061D">
        <w:rPr>
          <w:lang w:val="en-GB"/>
        </w:rPr>
        <w:t>) acknowledge</w:t>
      </w:r>
      <w:r w:rsidR="00A96CBB">
        <w:rPr>
          <w:lang w:val="en-GB"/>
        </w:rPr>
        <w:t>s</w:t>
      </w:r>
      <w:r w:rsidRPr="00B3061D">
        <w:rPr>
          <w:lang w:val="en-GB"/>
        </w:rPr>
        <w:t xml:space="preserve"> that t</w:t>
      </w:r>
      <w:r w:rsidR="00B9276A" w:rsidRPr="00B3061D">
        <w:rPr>
          <w:lang w:val="en-GB"/>
        </w:rPr>
        <w:t xml:space="preserve">arget 18 is extremely complex to measure and information is variable across countries </w:t>
      </w:r>
      <w:proofErr w:type="gramStart"/>
      <w:r w:rsidR="00B9276A" w:rsidRPr="00B3061D">
        <w:rPr>
          <w:lang w:val="en-GB"/>
        </w:rPr>
        <w:t>and  communities</w:t>
      </w:r>
      <w:proofErr w:type="gramEnd"/>
      <w:r w:rsidR="00B9276A" w:rsidRPr="00B3061D">
        <w:rPr>
          <w:lang w:val="en-GB"/>
        </w:rPr>
        <w:t xml:space="preserve"> and frequently not easily accessible</w:t>
      </w:r>
      <w:r w:rsidR="00B35BD2">
        <w:rPr>
          <w:lang w:val="en-GB"/>
        </w:rPr>
        <w:t>. Uncertainties</w:t>
      </w:r>
      <w:r w:rsidR="001C4B04" w:rsidRPr="00B3061D">
        <w:rPr>
          <w:lang w:val="en-GB"/>
        </w:rPr>
        <w:t xml:space="preserve"> remain due to a lack of reliable data that is geographically and chronologically comparable.</w:t>
      </w:r>
      <w:r w:rsidR="00B9276A" w:rsidRPr="00B3061D">
        <w:rPr>
          <w:rStyle w:val="FootnoteReference"/>
          <w:lang w:val="en-GB"/>
        </w:rPr>
        <w:footnoteReference w:id="46"/>
      </w:r>
    </w:p>
    <w:p w14:paraId="5025179F" w14:textId="77777777" w:rsidR="005456A2" w:rsidRPr="00B3061D" w:rsidRDefault="005456A2" w:rsidP="00B3061D">
      <w:pPr>
        <w:spacing w:after="0" w:line="240" w:lineRule="auto"/>
        <w:rPr>
          <w:lang w:val="en-GB"/>
        </w:rPr>
      </w:pPr>
    </w:p>
    <w:p w14:paraId="7F067DBC" w14:textId="03D8E31F" w:rsidR="00675604" w:rsidRPr="007266CF" w:rsidRDefault="001C4B04" w:rsidP="00B35BD2">
      <w:pPr>
        <w:spacing w:after="0" w:line="240" w:lineRule="auto"/>
        <w:rPr>
          <w:lang w:val="en-GB"/>
        </w:rPr>
      </w:pPr>
      <w:r w:rsidRPr="00B3061D">
        <w:rPr>
          <w:lang w:val="en-GB"/>
        </w:rPr>
        <w:t xml:space="preserve">In different global regions, indigenous and local communities have developed their own ways of monitoring ecosystems and community health and </w:t>
      </w:r>
      <w:proofErr w:type="gramStart"/>
      <w:r w:rsidRPr="00B3061D">
        <w:rPr>
          <w:lang w:val="en-GB"/>
        </w:rPr>
        <w:t>well-being</w:t>
      </w:r>
      <w:proofErr w:type="gramEnd"/>
      <w:r w:rsidRPr="00B3061D">
        <w:rPr>
          <w:lang w:val="en-GB"/>
        </w:rPr>
        <w:t xml:space="preserve">. These are based on traditional knowledge and a holistic view of people and environment, but use and adapt new technologies. </w:t>
      </w:r>
      <w:r w:rsidR="002E7751" w:rsidRPr="00D26E20">
        <w:rPr>
          <w:lang w:val="en-GB"/>
        </w:rPr>
        <w:t>To support th</w:t>
      </w:r>
      <w:r w:rsidR="001465A5" w:rsidRPr="00D26E20">
        <w:rPr>
          <w:lang w:val="en-GB"/>
        </w:rPr>
        <w:t>e i</w:t>
      </w:r>
      <w:r w:rsidR="002E7751" w:rsidRPr="00D26E20">
        <w:rPr>
          <w:lang w:val="en-GB"/>
        </w:rPr>
        <w:t>mportant work</w:t>
      </w:r>
      <w:r w:rsidR="001465A5" w:rsidRPr="00D26E20">
        <w:rPr>
          <w:lang w:val="en-GB"/>
        </w:rPr>
        <w:t xml:space="preserve"> on CBD indicators</w:t>
      </w:r>
      <w:r w:rsidR="002E7751" w:rsidRPr="00D26E20">
        <w:rPr>
          <w:lang w:val="en-GB"/>
        </w:rPr>
        <w:t xml:space="preserve">, a group of community-based organisations (largely overlapping with </w:t>
      </w:r>
      <w:proofErr w:type="gramStart"/>
      <w:r w:rsidR="002E7751" w:rsidRPr="00D26E20">
        <w:rPr>
          <w:lang w:val="en-GB"/>
        </w:rPr>
        <w:t>the  IIFB</w:t>
      </w:r>
      <w:proofErr w:type="gramEnd"/>
      <w:r w:rsidR="002E7751" w:rsidRPr="00D26E20">
        <w:rPr>
          <w:lang w:val="en-GB"/>
        </w:rPr>
        <w:t xml:space="preserve"> Working Group on Indicators) </w:t>
      </w:r>
      <w:r w:rsidR="00A33231" w:rsidRPr="00D26E20">
        <w:rPr>
          <w:lang w:val="en-GB"/>
        </w:rPr>
        <w:t>initiated a project and a</w:t>
      </w:r>
      <w:r w:rsidR="002E7751" w:rsidRPr="00D26E20">
        <w:rPr>
          <w:lang w:val="en-GB"/>
        </w:rPr>
        <w:t xml:space="preserve"> network on community-based monitoring and information systems (</w:t>
      </w:r>
      <w:r w:rsidR="00CD3ED3" w:rsidRPr="00D26E20">
        <w:rPr>
          <w:lang w:val="en-GB"/>
        </w:rPr>
        <w:t>CBMIS</w:t>
      </w:r>
      <w:r w:rsidR="002E7751" w:rsidRPr="00D26E20">
        <w:rPr>
          <w:lang w:val="en-GB"/>
        </w:rPr>
        <w:t xml:space="preserve">). </w:t>
      </w:r>
      <w:r w:rsidR="001465A5" w:rsidRPr="007266CF">
        <w:rPr>
          <w:lang w:val="en-GB"/>
        </w:rPr>
        <w:t xml:space="preserve">CBMIS can be understood as </w:t>
      </w:r>
      <w:r w:rsidR="00675604" w:rsidRPr="007266CF">
        <w:rPr>
          <w:lang w:val="en-GB"/>
        </w:rPr>
        <w:t>‘the bundle of monitoring approaches related to biodiversity, ecosystems, land and waters, and other resources, as well as human well-being, used by indigenous and local communities as tools for their management and documentation of their resources’.</w:t>
      </w:r>
      <w:r w:rsidR="00675604" w:rsidRPr="00B3061D">
        <w:rPr>
          <w:rStyle w:val="FootnoteReference"/>
        </w:rPr>
        <w:footnoteReference w:id="47"/>
      </w:r>
      <w:r w:rsidR="00675604" w:rsidRPr="007266CF">
        <w:rPr>
          <w:lang w:val="en-GB"/>
        </w:rPr>
        <w:t xml:space="preserve"> </w:t>
      </w:r>
    </w:p>
    <w:p w14:paraId="457E5388" w14:textId="77777777" w:rsidR="00CB55C9" w:rsidRPr="00B3061D" w:rsidRDefault="00CB55C9" w:rsidP="00B3061D">
      <w:pPr>
        <w:spacing w:after="0" w:line="240" w:lineRule="auto"/>
        <w:rPr>
          <w:lang w:val="en-GB"/>
        </w:rPr>
      </w:pPr>
    </w:p>
    <w:p w14:paraId="430240C2" w14:textId="15E7F140" w:rsidR="00CB55C9" w:rsidRPr="00B3061D" w:rsidRDefault="002E7751" w:rsidP="00B3061D">
      <w:pPr>
        <w:spacing w:after="0" w:line="240" w:lineRule="auto"/>
        <w:rPr>
          <w:lang w:val="en-GB"/>
        </w:rPr>
      </w:pPr>
      <w:r w:rsidRPr="00B3061D">
        <w:rPr>
          <w:lang w:val="en-GB"/>
        </w:rPr>
        <w:t>T</w:t>
      </w:r>
      <w:r w:rsidR="00675604" w:rsidRPr="00B3061D">
        <w:rPr>
          <w:lang w:val="en-GB"/>
        </w:rPr>
        <w:t xml:space="preserve">he organisations that have joined the network are involved in </w:t>
      </w:r>
      <w:r w:rsidR="00BF5552" w:rsidRPr="00B3061D">
        <w:rPr>
          <w:lang w:val="en-GB"/>
        </w:rPr>
        <w:t xml:space="preserve">bottom-up </w:t>
      </w:r>
      <w:r w:rsidRPr="00B3061D">
        <w:rPr>
          <w:lang w:val="en-GB"/>
        </w:rPr>
        <w:t xml:space="preserve">work to monitor the TK/CSU indicators mentioned above, as well as indicators under other Targets of the Strategic Plan (for instance on ‘equitably managed’ protected areas) through the generation of relevant community-based </w:t>
      </w:r>
      <w:proofErr w:type="gramStart"/>
      <w:r w:rsidRPr="00B3061D">
        <w:rPr>
          <w:lang w:val="en-GB"/>
        </w:rPr>
        <w:t>case-studies</w:t>
      </w:r>
      <w:proofErr w:type="gramEnd"/>
      <w:r w:rsidRPr="00B3061D">
        <w:rPr>
          <w:lang w:val="en-GB"/>
        </w:rPr>
        <w:t xml:space="preserve"> and local-level data and information. </w:t>
      </w:r>
      <w:r w:rsidR="009E11B3" w:rsidRPr="00B3061D">
        <w:rPr>
          <w:lang w:val="en-GB"/>
        </w:rPr>
        <w:t xml:space="preserve">The CBMIS network of indigenous peoples and local </w:t>
      </w:r>
      <w:proofErr w:type="gramStart"/>
      <w:r w:rsidR="009E11B3" w:rsidRPr="00B3061D">
        <w:rPr>
          <w:lang w:val="en-GB"/>
        </w:rPr>
        <w:t>communities  is</w:t>
      </w:r>
      <w:proofErr w:type="gramEnd"/>
      <w:r w:rsidR="009E11B3" w:rsidRPr="00B3061D">
        <w:rPr>
          <w:lang w:val="en-GB"/>
        </w:rPr>
        <w:t xml:space="preserve"> now active in pilot communities in around a dozen countries.</w:t>
      </w:r>
      <w:r w:rsidR="00CB55C9" w:rsidRPr="00B3061D">
        <w:rPr>
          <w:lang w:val="en-GB"/>
        </w:rPr>
        <w:t xml:space="preserve"> Some of the tools and methodologies that have so far been presented in the network include community mapping, </w:t>
      </w:r>
      <w:r w:rsidR="00616822" w:rsidRPr="00B3061D">
        <w:rPr>
          <w:lang w:val="en-GB"/>
        </w:rPr>
        <w:t xml:space="preserve">inventories, </w:t>
      </w:r>
      <w:r w:rsidR="00CB55C9" w:rsidRPr="00B3061D">
        <w:rPr>
          <w:lang w:val="en-GB"/>
        </w:rPr>
        <w:t>eco/</w:t>
      </w:r>
      <w:proofErr w:type="spellStart"/>
      <w:r w:rsidR="00CB55C9" w:rsidRPr="00B3061D">
        <w:rPr>
          <w:lang w:val="en-GB"/>
        </w:rPr>
        <w:t>agri</w:t>
      </w:r>
      <w:proofErr w:type="spellEnd"/>
      <w:r w:rsidR="00CB55C9" w:rsidRPr="00B3061D">
        <w:rPr>
          <w:lang w:val="en-GB"/>
        </w:rPr>
        <w:t>-calendars, biodiversity registers and other community based biodiversity monitoring (CBBM) tools, forms (hardcopies), cameras, GPS, video, smartphones, community radio, measurements and/or taking samples (water, soil),</w:t>
      </w:r>
      <w:r w:rsidR="00B35BD2">
        <w:rPr>
          <w:lang w:val="en-GB"/>
        </w:rPr>
        <w:t xml:space="preserve"> and</w:t>
      </w:r>
      <w:r w:rsidR="00CB55C9" w:rsidRPr="00B3061D">
        <w:rPr>
          <w:lang w:val="en-GB"/>
        </w:rPr>
        <w:t xml:space="preserve"> testimonies.</w:t>
      </w:r>
    </w:p>
    <w:p w14:paraId="051E2E8F" w14:textId="247914A3" w:rsidR="009E11B3" w:rsidRPr="00B3061D" w:rsidRDefault="009E11B3" w:rsidP="00B3061D">
      <w:pPr>
        <w:spacing w:after="0" w:line="240" w:lineRule="auto"/>
        <w:rPr>
          <w:lang w:val="en-GB"/>
        </w:rPr>
      </w:pPr>
    </w:p>
    <w:p w14:paraId="5B29D31F" w14:textId="22DE7ABF" w:rsidR="001C4B04" w:rsidRDefault="001C4B04" w:rsidP="00B3061D">
      <w:pPr>
        <w:spacing w:after="0" w:line="240" w:lineRule="auto"/>
        <w:rPr>
          <w:lang w:val="en-GB"/>
        </w:rPr>
      </w:pPr>
      <w:r w:rsidRPr="00B3061D">
        <w:rPr>
          <w:lang w:val="en-GB"/>
        </w:rPr>
        <w:t>Several global workshops have been organised, bringing together indigenous and local community representatives, Governments, academics, research institutes, intergovernmental organizations and non</w:t>
      </w:r>
      <w:r w:rsidRPr="00B3061D">
        <w:rPr>
          <w:lang w:val="en-GB"/>
        </w:rPr>
        <w:noBreakHyphen/>
        <w:t>governmental organizations (NGOs) with an interest in using the information generated by community monitoring, whether at local, national or global levels. The aim of these workshops is to explore the importance, substance and applications of community-based monitor</w:t>
      </w:r>
      <w:r w:rsidR="00D26E20">
        <w:rPr>
          <w:lang w:val="en-GB"/>
        </w:rPr>
        <w:t xml:space="preserve">ing and information systems </w:t>
      </w:r>
      <w:r w:rsidRPr="00B3061D">
        <w:rPr>
          <w:lang w:val="en-GB"/>
        </w:rPr>
        <w:t xml:space="preserve">for traditional knowledge, biodiversity and climate change, and the rights and </w:t>
      </w:r>
      <w:proofErr w:type="gramStart"/>
      <w:r w:rsidRPr="00B3061D">
        <w:rPr>
          <w:lang w:val="en-GB"/>
        </w:rPr>
        <w:t>well-being</w:t>
      </w:r>
      <w:proofErr w:type="gramEnd"/>
      <w:r w:rsidRPr="00B3061D">
        <w:rPr>
          <w:lang w:val="en-GB"/>
        </w:rPr>
        <w:t xml:space="preserve"> of indigenous and local communities</w:t>
      </w:r>
      <w:r w:rsidRPr="00B3061D">
        <w:rPr>
          <w:rStyle w:val="FootnoteReference"/>
          <w:lang w:val="en-GB"/>
        </w:rPr>
        <w:footnoteReference w:id="48"/>
      </w:r>
      <w:r w:rsidRPr="00B3061D">
        <w:rPr>
          <w:lang w:val="en-GB"/>
        </w:rPr>
        <w:t>.</w:t>
      </w:r>
    </w:p>
    <w:p w14:paraId="47EABA37" w14:textId="77777777" w:rsidR="00B774FC" w:rsidRDefault="00B774FC" w:rsidP="00B3061D">
      <w:pPr>
        <w:spacing w:after="0" w:line="240" w:lineRule="auto"/>
        <w:rPr>
          <w:lang w:val="en-GB"/>
        </w:rPr>
      </w:pPr>
    </w:p>
    <w:p w14:paraId="5574B619" w14:textId="77777777" w:rsidR="007C4831" w:rsidRDefault="007C4831" w:rsidP="00B3061D">
      <w:pPr>
        <w:spacing w:after="0" w:line="240" w:lineRule="auto"/>
        <w:rPr>
          <w:lang w:val="en-GB"/>
        </w:rPr>
      </w:pPr>
    </w:p>
    <w:p w14:paraId="797AC0E2" w14:textId="77777777" w:rsidR="007C4831" w:rsidRDefault="007C4831" w:rsidP="00B3061D">
      <w:pPr>
        <w:spacing w:after="0" w:line="240" w:lineRule="auto"/>
        <w:rPr>
          <w:lang w:val="en-GB"/>
        </w:rPr>
      </w:pPr>
    </w:p>
    <w:p w14:paraId="284298F3" w14:textId="77777777" w:rsidR="00B774FC" w:rsidRPr="00B3061D" w:rsidRDefault="00B774FC" w:rsidP="00B774FC">
      <w:pPr>
        <w:spacing w:after="0" w:line="240" w:lineRule="auto"/>
        <w:rPr>
          <w:lang w:val="en-GB"/>
        </w:rPr>
      </w:pPr>
    </w:p>
    <w:p w14:paraId="1DF2729A" w14:textId="068F7D3E" w:rsidR="00B774FC" w:rsidRPr="00B3061D" w:rsidRDefault="00B774FC" w:rsidP="00B774FC">
      <w:pPr>
        <w:pBdr>
          <w:top w:val="single" w:sz="4" w:space="1" w:color="auto"/>
          <w:left w:val="single" w:sz="4" w:space="4" w:color="auto"/>
          <w:bottom w:val="single" w:sz="4" w:space="1" w:color="auto"/>
          <w:right w:val="single" w:sz="4" w:space="4" w:color="auto"/>
        </w:pBdr>
        <w:spacing w:after="0" w:line="240" w:lineRule="auto"/>
        <w:rPr>
          <w:lang w:val="en-GB"/>
        </w:rPr>
      </w:pPr>
      <w:r>
        <w:rPr>
          <w:u w:val="single"/>
          <w:lang w:val="en-GB"/>
        </w:rPr>
        <w:lastRenderedPageBreak/>
        <w:t>Box: e</w:t>
      </w:r>
      <w:r w:rsidRPr="00B3061D">
        <w:rPr>
          <w:u w:val="single"/>
          <w:lang w:val="en-GB"/>
        </w:rPr>
        <w:t>vidence</w:t>
      </w:r>
      <w:r>
        <w:rPr>
          <w:u w:val="single"/>
          <w:lang w:val="en-GB"/>
        </w:rPr>
        <w:t xml:space="preserve"> of CBMIS </w:t>
      </w:r>
      <w:r w:rsidR="00680F3E">
        <w:rPr>
          <w:u w:val="single"/>
          <w:lang w:val="en-GB"/>
        </w:rPr>
        <w:t>effectiveness</w:t>
      </w:r>
    </w:p>
    <w:p w14:paraId="79234CFE" w14:textId="77777777" w:rsidR="00B774FC" w:rsidRDefault="00B774FC" w:rsidP="00B774FC">
      <w:pPr>
        <w:pBdr>
          <w:top w:val="single" w:sz="4" w:space="1" w:color="auto"/>
          <w:left w:val="single" w:sz="4" w:space="4" w:color="auto"/>
          <w:bottom w:val="single" w:sz="4" w:space="1" w:color="auto"/>
          <w:right w:val="single" w:sz="4" w:space="4" w:color="auto"/>
        </w:pBdr>
        <w:spacing w:after="0" w:line="240" w:lineRule="auto"/>
        <w:rPr>
          <w:lang w:val="en-GB"/>
        </w:rPr>
      </w:pPr>
    </w:p>
    <w:p w14:paraId="5A4D9E50" w14:textId="77777777" w:rsidR="00B774FC" w:rsidRPr="00B3061D" w:rsidRDefault="00B774FC" w:rsidP="00B774FC">
      <w:pPr>
        <w:pBdr>
          <w:top w:val="single" w:sz="4" w:space="1" w:color="auto"/>
          <w:left w:val="single" w:sz="4" w:space="4" w:color="auto"/>
          <w:bottom w:val="single" w:sz="4" w:space="1" w:color="auto"/>
          <w:right w:val="single" w:sz="4" w:space="4" w:color="auto"/>
        </w:pBdr>
        <w:spacing w:after="0" w:line="240" w:lineRule="auto"/>
        <w:rPr>
          <w:lang w:val="en-GB"/>
        </w:rPr>
      </w:pPr>
      <w:r w:rsidRPr="00B3061D">
        <w:rPr>
          <w:lang w:val="en-GB"/>
        </w:rPr>
        <w:t>Recent independent research</w:t>
      </w:r>
      <w:r>
        <w:rPr>
          <w:lang w:val="en-GB"/>
        </w:rPr>
        <w:t xml:space="preserve"> (</w:t>
      </w:r>
      <w:r w:rsidRPr="00B3061D">
        <w:rPr>
          <w:lang w:val="en-GB"/>
        </w:rPr>
        <w:t xml:space="preserve">Finn </w:t>
      </w:r>
      <w:proofErr w:type="spellStart"/>
      <w:r w:rsidRPr="00B3061D">
        <w:rPr>
          <w:lang w:val="en-GB"/>
        </w:rPr>
        <w:t>Danielsen</w:t>
      </w:r>
      <w:proofErr w:type="spellEnd"/>
      <w:r w:rsidRPr="00B3061D">
        <w:rPr>
          <w:lang w:val="en-GB"/>
        </w:rPr>
        <w:t xml:space="preserve"> et.al</w:t>
      </w:r>
      <w:r>
        <w:rPr>
          <w:lang w:val="en-GB"/>
        </w:rPr>
        <w:t>, 2013</w:t>
      </w:r>
      <w:proofErr w:type="gramStart"/>
      <w:r>
        <w:rPr>
          <w:lang w:val="en-GB"/>
        </w:rPr>
        <w:t xml:space="preserve">) </w:t>
      </w:r>
      <w:r w:rsidRPr="00B3061D">
        <w:rPr>
          <w:lang w:val="en-GB"/>
        </w:rPr>
        <w:t xml:space="preserve"> to</w:t>
      </w:r>
      <w:proofErr w:type="gramEnd"/>
      <w:r w:rsidRPr="00B3061D">
        <w:rPr>
          <w:lang w:val="en-GB"/>
        </w:rPr>
        <w:t xml:space="preserve"> assess monitoring possibilities for the Convention on Biological Diversity 2020 indicators, and those of 11 other international environmental agreements, concluded that of the 186 indicators in these 12 environmental agreements, 69 (37%) require monitoring by professional scientists, whereas 117 (63%) can involve community members as “citizen scientists” and that promoting “community-based and “citizen-science” approaches could significantly enrich monitoring progress within global environmental conventions”</w:t>
      </w:r>
      <w:r>
        <w:rPr>
          <w:lang w:val="en-GB"/>
        </w:rPr>
        <w:t>.</w:t>
      </w:r>
      <w:r>
        <w:rPr>
          <w:rStyle w:val="FootnoteReference"/>
          <w:lang w:val="en-GB"/>
        </w:rPr>
        <w:footnoteReference w:id="49"/>
      </w:r>
      <w:r w:rsidRPr="00B3061D">
        <w:rPr>
          <w:lang w:val="en-GB"/>
        </w:rPr>
        <w:t xml:space="preserve"> </w:t>
      </w:r>
    </w:p>
    <w:p w14:paraId="6EBF4E95" w14:textId="77777777" w:rsidR="00B774FC" w:rsidRPr="00B3061D" w:rsidRDefault="00B774FC" w:rsidP="00B774FC">
      <w:pPr>
        <w:pBdr>
          <w:top w:val="single" w:sz="4" w:space="1" w:color="auto"/>
          <w:left w:val="single" w:sz="4" w:space="4" w:color="auto"/>
          <w:bottom w:val="single" w:sz="4" w:space="1" w:color="auto"/>
          <w:right w:val="single" w:sz="4" w:space="4" w:color="auto"/>
        </w:pBdr>
        <w:spacing w:after="0" w:line="240" w:lineRule="auto"/>
        <w:rPr>
          <w:lang w:val="en-GB"/>
        </w:rPr>
      </w:pPr>
    </w:p>
    <w:p w14:paraId="3C369D12" w14:textId="0081A5B9" w:rsidR="00B774FC" w:rsidRPr="00B3061D" w:rsidRDefault="00B774FC" w:rsidP="00B774FC">
      <w:pPr>
        <w:pBdr>
          <w:top w:val="single" w:sz="4" w:space="1" w:color="auto"/>
          <w:left w:val="single" w:sz="4" w:space="4" w:color="auto"/>
          <w:bottom w:val="single" w:sz="4" w:space="1" w:color="auto"/>
          <w:right w:val="single" w:sz="4" w:space="4" w:color="auto"/>
        </w:pBdr>
        <w:spacing w:after="0" w:line="240" w:lineRule="auto"/>
        <w:rPr>
          <w:lang w:val="en-GB"/>
        </w:rPr>
      </w:pPr>
      <w:r w:rsidRPr="00B3061D">
        <w:rPr>
          <w:lang w:val="en-GB"/>
        </w:rPr>
        <w:t>Similar analyses by the same research team, published in the journal Ecology and Society, showed that c</w:t>
      </w:r>
      <w:r w:rsidRPr="00B3061D">
        <w:rPr>
          <w:color w:val="333333"/>
          <w:lang w:val="en-GB"/>
        </w:rPr>
        <w:t>ommunities living alongside the world's tropical forests can estimate an area's carbon stocks as effectively as hi-tech systems and that local communities are able to monitor forest biomass up to the highest standards of the Intergovernmental Panel on Climate Change</w:t>
      </w:r>
      <w:r>
        <w:rPr>
          <w:color w:val="333333"/>
          <w:lang w:val="en-GB"/>
        </w:rPr>
        <w:t>.</w:t>
      </w:r>
      <w:r>
        <w:rPr>
          <w:rStyle w:val="FootnoteReference"/>
          <w:color w:val="333333"/>
          <w:lang w:val="en-GB"/>
        </w:rPr>
        <w:footnoteReference w:id="50"/>
      </w:r>
      <w:r w:rsidRPr="00B3061D">
        <w:rPr>
          <w:color w:val="333333"/>
          <w:lang w:val="en-GB"/>
        </w:rPr>
        <w:t xml:space="preserve"> </w:t>
      </w:r>
    </w:p>
    <w:p w14:paraId="16348798" w14:textId="77777777" w:rsidR="00B774FC" w:rsidRPr="00B3061D" w:rsidRDefault="00B774FC" w:rsidP="00B774FC">
      <w:pPr>
        <w:spacing w:after="0" w:line="240" w:lineRule="auto"/>
        <w:rPr>
          <w:b/>
          <w:color w:val="0070C0"/>
          <w:lang w:val="en-GB"/>
        </w:rPr>
      </w:pPr>
    </w:p>
    <w:p w14:paraId="0D7C5BEB" w14:textId="07D00855" w:rsidR="002E7751" w:rsidRDefault="001C4B04" w:rsidP="00B774FC">
      <w:pPr>
        <w:pStyle w:val="Para1"/>
        <w:numPr>
          <w:ilvl w:val="0"/>
          <w:numId w:val="0"/>
        </w:numPr>
        <w:spacing w:before="0" w:after="0"/>
        <w:rPr>
          <w:b/>
          <w:color w:val="0070C0"/>
        </w:rPr>
      </w:pPr>
      <w:r w:rsidRPr="00B3061D">
        <w:rPr>
          <w:rFonts w:asciiTheme="minorHAnsi" w:hAnsiTheme="minorHAnsi"/>
          <w:szCs w:val="22"/>
        </w:rPr>
        <w:t>Governments and international bodies have begun to recognize the importance and value of the information generated thro</w:t>
      </w:r>
      <w:r w:rsidR="001465A5" w:rsidRPr="00B3061D">
        <w:rPr>
          <w:rFonts w:asciiTheme="minorHAnsi" w:hAnsiTheme="minorHAnsi"/>
          <w:szCs w:val="22"/>
        </w:rPr>
        <w:t>ugh community-based monitoring.</w:t>
      </w:r>
      <w:r w:rsidR="001465A5" w:rsidRPr="00B3061D">
        <w:rPr>
          <w:rStyle w:val="FootnoteReference"/>
          <w:rFonts w:asciiTheme="minorHAnsi" w:hAnsiTheme="minorHAnsi"/>
          <w:szCs w:val="22"/>
        </w:rPr>
        <w:footnoteReference w:id="51"/>
      </w:r>
      <w:r w:rsidR="00DB648F">
        <w:rPr>
          <w:rFonts w:asciiTheme="minorHAnsi" w:hAnsiTheme="minorHAnsi"/>
          <w:szCs w:val="22"/>
        </w:rPr>
        <w:t xml:space="preserve"> </w:t>
      </w:r>
      <w:r w:rsidR="00C71C57">
        <w:rPr>
          <w:rFonts w:asciiTheme="minorHAnsi" w:hAnsiTheme="minorHAnsi"/>
          <w:szCs w:val="22"/>
        </w:rPr>
        <w:t>T</w:t>
      </w:r>
      <w:r w:rsidR="002E7751" w:rsidRPr="00B3061D">
        <w:rPr>
          <w:rFonts w:asciiTheme="minorHAnsi" w:hAnsiTheme="minorHAnsi"/>
          <w:szCs w:val="22"/>
        </w:rPr>
        <w:t>he initiatives and contributions from the CBMIS network were warmly welcomed by the Parties at the recent 8</w:t>
      </w:r>
      <w:r w:rsidR="002E7751" w:rsidRPr="00B3061D">
        <w:rPr>
          <w:rFonts w:asciiTheme="minorHAnsi" w:hAnsiTheme="minorHAnsi"/>
          <w:szCs w:val="22"/>
          <w:vertAlign w:val="superscript"/>
        </w:rPr>
        <w:t xml:space="preserve">th  </w:t>
      </w:r>
      <w:r w:rsidR="002E7751" w:rsidRPr="00B3061D">
        <w:rPr>
          <w:rFonts w:asciiTheme="minorHAnsi" w:hAnsiTheme="minorHAnsi"/>
          <w:szCs w:val="22"/>
        </w:rPr>
        <w:t xml:space="preserve"> Meeting of the Working Group on Article 8(j) and Related Provisions in Montreal, as “a significant initiative to complement data being generated through national reports and through other means about the implementation of the CBD Strategic Plan”</w:t>
      </w:r>
      <w:r w:rsidR="002E7751" w:rsidRPr="00B3061D">
        <w:rPr>
          <w:rStyle w:val="FootnoteReference"/>
          <w:rFonts w:asciiTheme="minorHAnsi" w:hAnsiTheme="minorHAnsi"/>
          <w:szCs w:val="22"/>
        </w:rPr>
        <w:footnoteReference w:id="52"/>
      </w:r>
      <w:r w:rsidR="002E7751" w:rsidRPr="00B3061D">
        <w:rPr>
          <w:rFonts w:asciiTheme="minorHAnsi" w:hAnsiTheme="minorHAnsi"/>
          <w:szCs w:val="22"/>
        </w:rPr>
        <w:t>. It was also acknowledged that international agencies such as FAO, UNESCO and ILO, who were invited to contribute to the data gathering on the four indicators</w:t>
      </w:r>
      <w:r w:rsidR="00DB648F">
        <w:rPr>
          <w:rFonts w:asciiTheme="minorHAnsi" w:hAnsiTheme="minorHAnsi"/>
          <w:szCs w:val="22"/>
        </w:rPr>
        <w:t xml:space="preserve"> on TK and CSU</w:t>
      </w:r>
      <w:r w:rsidR="002E7751" w:rsidRPr="00B3061D">
        <w:rPr>
          <w:rFonts w:asciiTheme="minorHAnsi" w:hAnsiTheme="minorHAnsi"/>
          <w:szCs w:val="22"/>
        </w:rPr>
        <w:t xml:space="preserve">, have insufficient capacity and funds to produce global statistics (e.g. on traditional occupations or land use). The required level of detail to assess the indicators is proving </w:t>
      </w:r>
      <w:r w:rsidR="00E278F6" w:rsidRPr="00B3061D">
        <w:rPr>
          <w:rFonts w:asciiTheme="minorHAnsi" w:hAnsiTheme="minorHAnsi"/>
          <w:szCs w:val="22"/>
        </w:rPr>
        <w:t>very</w:t>
      </w:r>
      <w:r w:rsidR="002E7751" w:rsidRPr="00B3061D">
        <w:rPr>
          <w:rFonts w:asciiTheme="minorHAnsi" w:hAnsiTheme="minorHAnsi"/>
          <w:szCs w:val="22"/>
        </w:rPr>
        <w:t xml:space="preserve"> challenging to these organisations</w:t>
      </w:r>
      <w:r w:rsidR="00DB648F">
        <w:rPr>
          <w:rFonts w:asciiTheme="minorHAnsi" w:hAnsiTheme="minorHAnsi"/>
          <w:szCs w:val="22"/>
        </w:rPr>
        <w:t xml:space="preserve">. </w:t>
      </w:r>
      <w:r w:rsidR="008B4D77" w:rsidRPr="00B3061D">
        <w:rPr>
          <w:rFonts w:asciiTheme="minorHAnsi" w:hAnsiTheme="minorHAnsi"/>
          <w:szCs w:val="22"/>
        </w:rPr>
        <w:t>Because of the focus of CBMIS on the local (micro) level, and the profound knowledge and connection to the areas being monitored, indigenous peoples and local communities have important contributions to make to global assessments and monitoring initiatives that usually work on larger scales, and where other organisations or institutions don’t have the capacity to collect detailed, disaggregated data.</w:t>
      </w:r>
      <w:r w:rsidR="00B774FC" w:rsidRPr="00B3061D">
        <w:rPr>
          <w:b/>
          <w:color w:val="0070C0"/>
        </w:rPr>
        <w:t xml:space="preserve"> </w:t>
      </w:r>
    </w:p>
    <w:p w14:paraId="5CF936F8" w14:textId="77777777" w:rsidR="00E5411A" w:rsidRPr="00E5411A" w:rsidRDefault="00E5411A" w:rsidP="00E5411A">
      <w:pPr>
        <w:pStyle w:val="Para1"/>
        <w:numPr>
          <w:ilvl w:val="0"/>
          <w:numId w:val="0"/>
        </w:numPr>
        <w:spacing w:before="0" w:after="0"/>
        <w:rPr>
          <w:rFonts w:asciiTheme="minorHAnsi" w:hAnsiTheme="minorHAnsi"/>
          <w:b/>
          <w:color w:val="0070C0"/>
        </w:rPr>
      </w:pPr>
    </w:p>
    <w:p w14:paraId="44254228" w14:textId="0626D539" w:rsidR="00E5411A" w:rsidRPr="00E5411A" w:rsidRDefault="00E5411A" w:rsidP="00E5411A">
      <w:pPr>
        <w:pStyle w:val="Para1"/>
        <w:numPr>
          <w:ilvl w:val="0"/>
          <w:numId w:val="0"/>
        </w:numPr>
        <w:spacing w:before="0" w:after="0"/>
        <w:rPr>
          <w:rFonts w:asciiTheme="minorHAnsi" w:hAnsiTheme="minorHAnsi"/>
        </w:rPr>
      </w:pPr>
      <w:r w:rsidRPr="00E5411A">
        <w:rPr>
          <w:rFonts w:asciiTheme="minorHAnsi" w:hAnsiTheme="minorHAnsi"/>
        </w:rPr>
        <w:t>Parties at SBSTTA-17 also noted that</w:t>
      </w:r>
      <w:r w:rsidRPr="00E5411A">
        <w:rPr>
          <w:rFonts w:asciiTheme="minorHAnsi" w:hAnsiTheme="minorHAnsi"/>
          <w:b/>
          <w:i/>
        </w:rPr>
        <w:t xml:space="preserve"> </w:t>
      </w:r>
      <w:r>
        <w:rPr>
          <w:rFonts w:asciiTheme="minorHAnsi" w:hAnsiTheme="minorHAnsi"/>
        </w:rPr>
        <w:t>“</w:t>
      </w:r>
      <w:r w:rsidRPr="00E5411A">
        <w:rPr>
          <w:rFonts w:asciiTheme="minorHAnsi" w:hAnsiTheme="minorHAnsi"/>
        </w:rPr>
        <w:t xml:space="preserve">citizen and community based initiatives have an important and growing role to play in helping deliver </w:t>
      </w:r>
      <w:r w:rsidRPr="00E5411A">
        <w:rPr>
          <w:rFonts w:asciiTheme="minorHAnsi" w:hAnsiTheme="minorHAnsi"/>
          <w:i/>
        </w:rPr>
        <w:t>in-situ</w:t>
      </w:r>
      <w:r w:rsidRPr="00E5411A">
        <w:rPr>
          <w:rFonts w:asciiTheme="minorHAnsi" w:hAnsiTheme="minorHAnsi"/>
        </w:rPr>
        <w:t xml:space="preserve"> monitoring</w:t>
      </w:r>
      <w:r>
        <w:rPr>
          <w:rFonts w:asciiTheme="minorHAnsi" w:hAnsiTheme="minorHAnsi"/>
        </w:rPr>
        <w:t>”</w:t>
      </w:r>
      <w:r w:rsidRPr="00E5411A">
        <w:rPr>
          <w:rFonts w:asciiTheme="minorHAnsi" w:hAnsiTheme="minorHAnsi"/>
        </w:rPr>
        <w:t>. And also</w:t>
      </w:r>
      <w:r>
        <w:rPr>
          <w:rFonts w:asciiTheme="minorHAnsi" w:hAnsiTheme="minorHAnsi"/>
        </w:rPr>
        <w:t xml:space="preserve"> that </w:t>
      </w:r>
      <w:r w:rsidRPr="00E5411A">
        <w:rPr>
          <w:rFonts w:asciiTheme="minorHAnsi" w:hAnsiTheme="minorHAnsi"/>
        </w:rPr>
        <w:t>“local knowledge and monitoring efforts are often a critical source of information, complementing scientific approaches and frequently covering different temporal and spatial scales. Respect, trust, equity and transparency are essential for enabling monitoring that draws on combinations of indigenous, traditional and scientific knowledge systems”.</w:t>
      </w:r>
      <w:r w:rsidR="003D4B6E">
        <w:rPr>
          <w:rStyle w:val="FootnoteReference"/>
          <w:rFonts w:asciiTheme="minorHAnsi" w:hAnsiTheme="minorHAnsi"/>
        </w:rPr>
        <w:footnoteReference w:id="53"/>
      </w:r>
      <w:r w:rsidRPr="00E5411A">
        <w:rPr>
          <w:rFonts w:asciiTheme="minorHAnsi" w:hAnsiTheme="minorHAnsi"/>
        </w:rPr>
        <w:t xml:space="preserve">  </w:t>
      </w:r>
    </w:p>
    <w:p w14:paraId="49C45BE9" w14:textId="77777777" w:rsidR="00680F3E" w:rsidRPr="00B3061D" w:rsidRDefault="00680F3E" w:rsidP="00B774FC">
      <w:pPr>
        <w:pStyle w:val="Para1"/>
        <w:numPr>
          <w:ilvl w:val="0"/>
          <w:numId w:val="0"/>
        </w:numPr>
        <w:spacing w:before="0" w:after="0"/>
        <w:rPr>
          <w:b/>
          <w:color w:val="0070C0"/>
        </w:rPr>
      </w:pPr>
    </w:p>
    <w:p w14:paraId="6CB28520" w14:textId="595F340E" w:rsidR="006D19BA" w:rsidRPr="00B3061D" w:rsidRDefault="006D19BA" w:rsidP="00927A83">
      <w:pPr>
        <w:spacing w:after="0" w:line="240" w:lineRule="auto"/>
        <w:ind w:left="708"/>
        <w:rPr>
          <w:b/>
          <w:lang w:val="en-GB"/>
        </w:rPr>
      </w:pPr>
      <w:r w:rsidRPr="00B3061D">
        <w:rPr>
          <w:b/>
          <w:color w:val="0070C0"/>
          <w:lang w:val="en-GB"/>
        </w:rPr>
        <w:t xml:space="preserve">Case study: </w:t>
      </w:r>
      <w:r w:rsidR="00680F3E">
        <w:rPr>
          <w:b/>
          <w:color w:val="0070C0"/>
          <w:lang w:val="en-GB"/>
        </w:rPr>
        <w:t>CBMIS</w:t>
      </w:r>
      <w:r w:rsidRPr="00B3061D">
        <w:rPr>
          <w:b/>
          <w:color w:val="0070C0"/>
          <w:lang w:val="en-GB"/>
        </w:rPr>
        <w:t xml:space="preserve"> in </w:t>
      </w:r>
      <w:proofErr w:type="spellStart"/>
      <w:r w:rsidRPr="00B3061D">
        <w:rPr>
          <w:b/>
          <w:color w:val="0070C0"/>
          <w:lang w:val="en-GB"/>
        </w:rPr>
        <w:t>Tinoc</w:t>
      </w:r>
      <w:proofErr w:type="spellEnd"/>
      <w:r w:rsidRPr="00B3061D">
        <w:rPr>
          <w:b/>
          <w:color w:val="0070C0"/>
          <w:lang w:val="en-GB"/>
        </w:rPr>
        <w:t xml:space="preserve">, </w:t>
      </w:r>
      <w:proofErr w:type="spellStart"/>
      <w:r w:rsidRPr="00B3061D">
        <w:rPr>
          <w:b/>
          <w:color w:val="0070C0"/>
          <w:lang w:val="en-GB"/>
        </w:rPr>
        <w:t>Ifugao</w:t>
      </w:r>
      <w:proofErr w:type="spellEnd"/>
      <w:r w:rsidRPr="00B3061D">
        <w:rPr>
          <w:b/>
          <w:color w:val="0070C0"/>
          <w:lang w:val="en-GB"/>
        </w:rPr>
        <w:t xml:space="preserve"> Philippines </w:t>
      </w:r>
    </w:p>
    <w:p w14:paraId="17AA138A" w14:textId="77777777" w:rsidR="006D19BA" w:rsidRPr="00B3061D" w:rsidRDefault="006D19BA" w:rsidP="00927A83">
      <w:pPr>
        <w:spacing w:after="0" w:line="240" w:lineRule="auto"/>
        <w:ind w:left="708"/>
        <w:rPr>
          <w:lang w:val="en-GB"/>
        </w:rPr>
      </w:pPr>
      <w:proofErr w:type="spellStart"/>
      <w:r w:rsidRPr="00B3061D">
        <w:rPr>
          <w:lang w:val="en-GB"/>
        </w:rPr>
        <w:t>Tinoc</w:t>
      </w:r>
      <w:proofErr w:type="spellEnd"/>
      <w:r w:rsidRPr="00B3061D">
        <w:rPr>
          <w:lang w:val="en-GB"/>
        </w:rPr>
        <w:t xml:space="preserve"> is one of the pilot communities of the Philippine Traditional Knowledge Network (PTKN) where community-based monitoring of traditional knowledge is being conducted using multiple indicators, e.g. on linguistic diversity, traditional occupations, land tenure and land use change.  </w:t>
      </w:r>
    </w:p>
    <w:p w14:paraId="72BC52CC" w14:textId="77777777" w:rsidR="006D19BA" w:rsidRPr="00B3061D" w:rsidRDefault="006D19BA" w:rsidP="00927A83">
      <w:pPr>
        <w:spacing w:after="0" w:line="240" w:lineRule="auto"/>
        <w:ind w:left="708"/>
        <w:rPr>
          <w:lang w:val="en-GB"/>
        </w:rPr>
      </w:pPr>
    </w:p>
    <w:p w14:paraId="3DC148C2" w14:textId="77777777" w:rsidR="006D19BA" w:rsidRPr="00B3061D" w:rsidRDefault="006D19BA" w:rsidP="00927A83">
      <w:pPr>
        <w:spacing w:after="0" w:line="240" w:lineRule="auto"/>
        <w:ind w:left="708"/>
        <w:rPr>
          <w:lang w:val="en-GB"/>
        </w:rPr>
      </w:pPr>
      <w:r w:rsidRPr="00B3061D">
        <w:rPr>
          <w:lang w:val="en-GB"/>
        </w:rPr>
        <w:t xml:space="preserve">Data generated includes cultural mapping of multiple land and forests uses, documentation of customary tenure systems, traditional occupations, status of traditional knowledge </w:t>
      </w:r>
      <w:r w:rsidRPr="00B3061D">
        <w:rPr>
          <w:lang w:val="en-GB"/>
        </w:rPr>
        <w:lastRenderedPageBreak/>
        <w:t xml:space="preserve">holders and cultural transmission.  The status of flora and fauna, productivity of major crops and soil fertility has also been investigated.  Some findings include: contraction of watershed forests to 60% of their size in 1970 due to conversion to vegetable farming and up to 30-50% decline in rice yields due to weakening of traditional knowledge on soil enhancement practices as well as </w:t>
      </w:r>
      <w:r w:rsidRPr="00B3061D">
        <w:rPr>
          <w:rFonts w:eastAsia="Times New Roman" w:cs="Times New Roman"/>
          <w:lang w:val="en-GB"/>
        </w:rPr>
        <w:t>increased pest damage due to veering away from traditional pest control like synchronized farming activities</w:t>
      </w:r>
      <w:r w:rsidRPr="00B3061D">
        <w:rPr>
          <w:lang w:val="en-GB"/>
        </w:rPr>
        <w:t>.</w:t>
      </w:r>
    </w:p>
    <w:p w14:paraId="3B10FCA4" w14:textId="77777777" w:rsidR="006D19BA" w:rsidRPr="00B3061D" w:rsidRDefault="006D19BA" w:rsidP="00927A83">
      <w:pPr>
        <w:spacing w:after="0" w:line="240" w:lineRule="auto"/>
        <w:ind w:left="708"/>
        <w:rPr>
          <w:rFonts w:eastAsia="Times New Roman" w:cs="Times New Roman"/>
          <w:color w:val="000000"/>
          <w:lang w:val="en-GB" w:eastAsia="nl-NL"/>
        </w:rPr>
      </w:pPr>
    </w:p>
    <w:p w14:paraId="15B8E1F8" w14:textId="77777777" w:rsidR="006D19BA" w:rsidRPr="00B3061D" w:rsidRDefault="006D19BA" w:rsidP="00927A83">
      <w:pPr>
        <w:spacing w:after="0" w:line="240" w:lineRule="auto"/>
        <w:ind w:left="708"/>
        <w:rPr>
          <w:lang w:val="en-GB"/>
        </w:rPr>
      </w:pPr>
      <w:r w:rsidRPr="00B3061D">
        <w:rPr>
          <w:rFonts w:eastAsia="Times New Roman" w:cs="Times New Roman"/>
          <w:color w:val="000000"/>
          <w:lang w:val="en-GB" w:eastAsia="nl-NL"/>
        </w:rPr>
        <w:t xml:space="preserve">The information gathered through the project </w:t>
      </w:r>
      <w:proofErr w:type="gramStart"/>
      <w:r w:rsidRPr="00B3061D">
        <w:rPr>
          <w:rFonts w:eastAsia="Times New Roman" w:cs="Times New Roman"/>
          <w:color w:val="000000"/>
          <w:lang w:val="en-GB" w:eastAsia="nl-NL"/>
        </w:rPr>
        <w:t>are</w:t>
      </w:r>
      <w:proofErr w:type="gramEnd"/>
      <w:r w:rsidRPr="00B3061D">
        <w:rPr>
          <w:rFonts w:eastAsia="Times New Roman" w:cs="Times New Roman"/>
          <w:color w:val="000000"/>
          <w:lang w:val="en-GB" w:eastAsia="nl-NL"/>
        </w:rPr>
        <w:t xml:space="preserve"> being used to </w:t>
      </w:r>
      <w:r w:rsidRPr="00B3061D">
        <w:rPr>
          <w:lang w:val="en-GB"/>
        </w:rPr>
        <w:t xml:space="preserve">stimulate community actions on conservation, sustainable use and customary governance over lands, forests and waters. Plans have been developed for revitalizing traditional knowledge and strengthening customary practices and law, including biodiversity management plans and demarcation of protected watershed areas and to strictly control the privatization of common lands critical for community wellbeing and biodiversity, to assist in forest regrowth, and to shift from chemical-input farming to ecological/sustainable farming. The information has been shared with </w:t>
      </w:r>
      <w:r w:rsidRPr="00B3061D">
        <w:rPr>
          <w:rFonts w:eastAsia="Times New Roman" w:cs="Times New Roman"/>
          <w:color w:val="000000"/>
          <w:lang w:val="en-GB" w:eastAsia="nl-NL"/>
        </w:rPr>
        <w:t xml:space="preserve">local and national government. It has led to the adoption of a covenant (by the local community and local government) to arrest environmental degradation and promote peoples' wellbeing through the revival of indigenous knowledge practices and systems of territorial management. </w:t>
      </w:r>
    </w:p>
    <w:p w14:paraId="70C19805" w14:textId="77777777" w:rsidR="006D19BA" w:rsidRPr="00B3061D" w:rsidRDefault="006D19BA" w:rsidP="00927A83">
      <w:pPr>
        <w:spacing w:after="0" w:line="240" w:lineRule="auto"/>
        <w:ind w:left="708"/>
        <w:rPr>
          <w:rFonts w:eastAsia="Times New Roman" w:cs="Times New Roman"/>
          <w:color w:val="000000"/>
          <w:lang w:val="en-GB" w:eastAsia="nl-NL"/>
        </w:rPr>
      </w:pPr>
    </w:p>
    <w:p w14:paraId="4DF1E91C" w14:textId="18A8F299" w:rsidR="006D19BA" w:rsidRPr="00B3061D" w:rsidRDefault="006D19BA" w:rsidP="00927A83">
      <w:pPr>
        <w:spacing w:after="0" w:line="240" w:lineRule="auto"/>
        <w:ind w:left="708"/>
        <w:rPr>
          <w:rFonts w:eastAsia="Times New Roman" w:cs="Times New Roman"/>
          <w:color w:val="FF0000"/>
          <w:lang w:val="en-GB" w:eastAsia="nl-NL"/>
        </w:rPr>
      </w:pPr>
      <w:r w:rsidRPr="00B3061D">
        <w:rPr>
          <w:rFonts w:eastAsia="Times New Roman" w:cs="Times New Roman"/>
          <w:color w:val="000000"/>
          <w:lang w:val="en-GB" w:eastAsia="nl-NL"/>
        </w:rPr>
        <w:t xml:space="preserve">Drawing on pilots such as in </w:t>
      </w:r>
      <w:proofErr w:type="spellStart"/>
      <w:r w:rsidRPr="00B3061D">
        <w:rPr>
          <w:rFonts w:eastAsia="Times New Roman" w:cs="Times New Roman"/>
          <w:color w:val="000000"/>
          <w:lang w:val="en-GB" w:eastAsia="nl-NL"/>
        </w:rPr>
        <w:t>Tinoc</w:t>
      </w:r>
      <w:proofErr w:type="spellEnd"/>
      <w:r w:rsidRPr="00B3061D">
        <w:rPr>
          <w:rFonts w:eastAsia="Times New Roman" w:cs="Times New Roman"/>
          <w:color w:val="000000"/>
          <w:lang w:val="en-GB" w:eastAsia="nl-NL"/>
        </w:rPr>
        <w:t xml:space="preserve">, the Philippine Traditional Knowledge Network (PTKN) and </w:t>
      </w:r>
      <w:proofErr w:type="spellStart"/>
      <w:r w:rsidRPr="00B3061D">
        <w:rPr>
          <w:rFonts w:eastAsia="Times New Roman" w:cs="Times New Roman"/>
          <w:color w:val="000000"/>
          <w:lang w:val="en-GB" w:eastAsia="nl-NL"/>
        </w:rPr>
        <w:t>Tebtebba</w:t>
      </w:r>
      <w:proofErr w:type="spellEnd"/>
      <w:r w:rsidRPr="00B3061D">
        <w:rPr>
          <w:rFonts w:eastAsia="Times New Roman" w:cs="Times New Roman"/>
          <w:color w:val="000000"/>
          <w:lang w:val="en-GB" w:eastAsia="nl-NL"/>
        </w:rPr>
        <w:t xml:space="preserve"> Foundation submitted a list of traditional occupations to the </w:t>
      </w:r>
      <w:r w:rsidRPr="00B3061D">
        <w:rPr>
          <w:rFonts w:eastAsia="Times New Roman" w:cs="Times New Roman"/>
          <w:lang w:val="en-GB"/>
        </w:rPr>
        <w:t>Philippine National Statistical Coordination Board (PNSCB)</w:t>
      </w:r>
      <w:r w:rsidRPr="00B3061D">
        <w:rPr>
          <w:rFonts w:eastAsia="Times New Roman" w:cs="Times New Roman"/>
          <w:color w:val="000000"/>
          <w:lang w:val="en-GB" w:eastAsia="nl-NL"/>
        </w:rPr>
        <w:t xml:space="preserve"> for consideration in the revision process of the Philippine Standard Classification of Occupations (PSOC), resulting in the incorporation of some of the submitted traditional occupations. The PTKN also coordinated with the National Focal Point of the CBD about updating the NBSAP and associated TK indicators.</w:t>
      </w:r>
      <w:r w:rsidR="00494C05">
        <w:rPr>
          <w:rStyle w:val="FootnoteReference"/>
          <w:rFonts w:eastAsia="Times New Roman" w:cs="Times New Roman"/>
          <w:color w:val="000000"/>
          <w:lang w:val="en-GB" w:eastAsia="nl-NL"/>
        </w:rPr>
        <w:footnoteReference w:id="54"/>
      </w:r>
      <w:r w:rsidRPr="00B3061D">
        <w:rPr>
          <w:rFonts w:eastAsia="Times New Roman" w:cs="Times New Roman"/>
          <w:color w:val="000000"/>
          <w:lang w:val="en-GB" w:eastAsia="nl-NL"/>
        </w:rPr>
        <w:t xml:space="preserve"> </w:t>
      </w:r>
    </w:p>
    <w:p w14:paraId="5488A339" w14:textId="77777777" w:rsidR="006D19BA" w:rsidRPr="00B3061D" w:rsidRDefault="006D19BA" w:rsidP="00B3061D">
      <w:pPr>
        <w:spacing w:after="0" w:line="240" w:lineRule="auto"/>
        <w:rPr>
          <w:lang w:val="en-GB"/>
        </w:rPr>
      </w:pPr>
    </w:p>
    <w:p w14:paraId="7D77A358" w14:textId="60227E3B" w:rsidR="006D19BA" w:rsidRPr="00B3061D" w:rsidRDefault="00471EE5" w:rsidP="00C71C57">
      <w:pPr>
        <w:spacing w:after="0" w:line="240" w:lineRule="auto"/>
        <w:ind w:left="708"/>
        <w:rPr>
          <w:lang w:val="en-GB"/>
        </w:rPr>
      </w:pPr>
      <w:r w:rsidRPr="00B3061D">
        <w:rPr>
          <w:lang w:val="en-GB"/>
        </w:rPr>
        <w:t xml:space="preserve">This monitoring initiative is relevant for target 18 (e.g. traditional occupations indicator), but to several others as well as data is gathered on the status of significant areas and the impacts of human interventions, ecosystem services and the importance to local livelihoods, species of importance, etc. (Aichi Targets </w:t>
      </w:r>
      <w:r w:rsidR="006D19BA" w:rsidRPr="00B3061D">
        <w:rPr>
          <w:lang w:val="en-GB"/>
        </w:rPr>
        <w:t>5,</w:t>
      </w:r>
      <w:r w:rsidRPr="00B3061D">
        <w:rPr>
          <w:lang w:val="en-GB"/>
        </w:rPr>
        <w:t xml:space="preserve"> </w:t>
      </w:r>
      <w:r w:rsidR="006D19BA" w:rsidRPr="00B3061D">
        <w:rPr>
          <w:lang w:val="en-GB"/>
        </w:rPr>
        <w:t>7,</w:t>
      </w:r>
      <w:r w:rsidRPr="00B3061D">
        <w:rPr>
          <w:lang w:val="en-GB"/>
        </w:rPr>
        <w:t xml:space="preserve"> </w:t>
      </w:r>
      <w:r w:rsidR="006D19BA" w:rsidRPr="00B3061D">
        <w:rPr>
          <w:lang w:val="en-GB"/>
        </w:rPr>
        <w:t>12,</w:t>
      </w:r>
      <w:r w:rsidRPr="00B3061D">
        <w:rPr>
          <w:lang w:val="en-GB"/>
        </w:rPr>
        <w:t xml:space="preserve"> </w:t>
      </w:r>
      <w:r w:rsidR="006D19BA" w:rsidRPr="00B3061D">
        <w:rPr>
          <w:lang w:val="en-GB"/>
        </w:rPr>
        <w:t>13,</w:t>
      </w:r>
      <w:r w:rsidRPr="00B3061D">
        <w:rPr>
          <w:lang w:val="en-GB"/>
        </w:rPr>
        <w:t xml:space="preserve"> </w:t>
      </w:r>
      <w:r w:rsidR="006D19BA" w:rsidRPr="00B3061D">
        <w:rPr>
          <w:lang w:val="en-GB"/>
        </w:rPr>
        <w:t>14,</w:t>
      </w:r>
      <w:r w:rsidRPr="00B3061D">
        <w:rPr>
          <w:lang w:val="en-GB"/>
        </w:rPr>
        <w:t xml:space="preserve"> </w:t>
      </w:r>
      <w:r w:rsidR="006D19BA" w:rsidRPr="00B3061D">
        <w:rPr>
          <w:lang w:val="en-GB"/>
        </w:rPr>
        <w:t>18</w:t>
      </w:r>
      <w:r w:rsidRPr="00B3061D">
        <w:rPr>
          <w:lang w:val="en-GB"/>
        </w:rPr>
        <w:t>)</w:t>
      </w:r>
      <w:r w:rsidR="006D19BA" w:rsidRPr="00B3061D">
        <w:rPr>
          <w:lang w:val="en-GB"/>
        </w:rPr>
        <w:t>.</w:t>
      </w:r>
    </w:p>
    <w:p w14:paraId="41E7CE69" w14:textId="77777777" w:rsidR="002E7751" w:rsidRPr="00B3061D" w:rsidRDefault="002E7751" w:rsidP="00B3061D">
      <w:pPr>
        <w:spacing w:after="0" w:line="240" w:lineRule="auto"/>
        <w:rPr>
          <w:lang w:val="en-GB"/>
        </w:rPr>
      </w:pPr>
    </w:p>
    <w:p w14:paraId="39C0D9B0" w14:textId="77777777" w:rsidR="002E7751" w:rsidRPr="00B3061D" w:rsidRDefault="002E7751" w:rsidP="00B3061D">
      <w:pPr>
        <w:spacing w:after="0" w:line="240" w:lineRule="auto"/>
        <w:rPr>
          <w:lang w:val="en-GB"/>
        </w:rPr>
      </w:pPr>
    </w:p>
    <w:p w14:paraId="7ADDFE00" w14:textId="0EC4A750" w:rsidR="00B754D7" w:rsidRPr="00B3061D" w:rsidRDefault="00B754D7" w:rsidP="00B3061D">
      <w:pPr>
        <w:spacing w:after="0" w:line="240" w:lineRule="auto"/>
        <w:rPr>
          <w:color w:val="000000" w:themeColor="text1"/>
          <w:lang w:val="en-GB"/>
        </w:rPr>
      </w:pPr>
      <w:r w:rsidRPr="00B3061D">
        <w:rPr>
          <w:b/>
          <w:color w:val="000000" w:themeColor="text1"/>
          <w:lang w:val="en-GB"/>
        </w:rPr>
        <w:t xml:space="preserve">Community-based mapping </w:t>
      </w:r>
    </w:p>
    <w:p w14:paraId="37778EB2" w14:textId="1F2E16FC" w:rsidR="00E34A28" w:rsidRDefault="00E34A28" w:rsidP="00B3061D">
      <w:pPr>
        <w:spacing w:after="0" w:line="240" w:lineRule="auto"/>
        <w:rPr>
          <w:color w:val="000000" w:themeColor="text1"/>
          <w:lang w:val="en-GB"/>
        </w:rPr>
      </w:pPr>
      <w:r w:rsidRPr="00B3061D">
        <w:rPr>
          <w:color w:val="000000" w:themeColor="text1"/>
          <w:lang w:val="en-GB"/>
        </w:rPr>
        <w:t xml:space="preserve">Mapping is a very important tool for </w:t>
      </w:r>
      <w:r w:rsidR="00616822" w:rsidRPr="00B3061D">
        <w:rPr>
          <w:color w:val="000000" w:themeColor="text1"/>
          <w:lang w:val="en-GB"/>
        </w:rPr>
        <w:t xml:space="preserve">documenting and monitoring trends and is specifically relevant for the indicator on trend in land use and land tenure in the traditional territories of indigenous and local communities. Indigenous organisations are choosing and applying the various hard- and software tools that are available. </w:t>
      </w:r>
    </w:p>
    <w:p w14:paraId="75469C34" w14:textId="77777777" w:rsidR="007C4831" w:rsidRDefault="007C4831" w:rsidP="00B3061D">
      <w:pPr>
        <w:spacing w:after="0" w:line="240" w:lineRule="auto"/>
        <w:rPr>
          <w:color w:val="000000" w:themeColor="text1"/>
          <w:lang w:val="en-GB"/>
        </w:rPr>
      </w:pPr>
    </w:p>
    <w:p w14:paraId="26F4FC8E" w14:textId="7C932583" w:rsidR="00C71EFC" w:rsidRDefault="007C4831" w:rsidP="007C4831">
      <w:pPr>
        <w:spacing w:after="0" w:line="240" w:lineRule="auto"/>
        <w:rPr>
          <w:color w:val="000000" w:themeColor="text1"/>
          <w:lang w:val="en-GB"/>
        </w:rPr>
      </w:pPr>
      <w:r w:rsidRPr="007C4831">
        <w:rPr>
          <w:color w:val="000000" w:themeColor="text1"/>
          <w:lang w:val="en-GB"/>
        </w:rPr>
        <w:t xml:space="preserve">The maps that the communities produce demonstrate their traditional occupation and customary use of </w:t>
      </w:r>
      <w:r>
        <w:rPr>
          <w:color w:val="000000" w:themeColor="text1"/>
          <w:lang w:val="en-GB"/>
        </w:rPr>
        <w:t xml:space="preserve">resources in their territories and are often used </w:t>
      </w:r>
      <w:r w:rsidRPr="007C4831">
        <w:rPr>
          <w:color w:val="000000" w:themeColor="text1"/>
          <w:lang w:val="en-GB"/>
        </w:rPr>
        <w:t>as the basis of a territorial defence strategy: the maps are used as a tool at the local and national levels to assert more secure land and resource rights and to support the communities in dialogue and negotiation processes with outside actors who want to access forests traditionally inhabited or used by them</w:t>
      </w:r>
      <w:r w:rsidR="00C71EFC">
        <w:rPr>
          <w:color w:val="000000" w:themeColor="text1"/>
          <w:lang w:val="en-GB"/>
        </w:rPr>
        <w:t xml:space="preserve">. </w:t>
      </w:r>
      <w:r w:rsidRPr="007C4831">
        <w:rPr>
          <w:color w:val="000000" w:themeColor="text1"/>
          <w:lang w:val="en-GB"/>
        </w:rPr>
        <w:t>For example, community maps have contributed to re-negotiations of protected area management plans in Cameroon and Thailand, exposure and monitoring of illegal logging in Cameroon, and negotiation with mining and logging companies in Guyana, Suriname and Cameroon. Participatory videoing is another initiative some of the communities have taken (for insta</w:t>
      </w:r>
      <w:r w:rsidR="00C71EFC">
        <w:rPr>
          <w:color w:val="000000" w:themeColor="text1"/>
          <w:lang w:val="en-GB"/>
        </w:rPr>
        <w:t>nce in Cameroon) to document land use changes.</w:t>
      </w:r>
      <w:r w:rsidR="00C71EFC">
        <w:rPr>
          <w:rStyle w:val="FootnoteReference"/>
          <w:color w:val="000000" w:themeColor="text1"/>
          <w:lang w:val="en-GB"/>
        </w:rPr>
        <w:footnoteReference w:id="55"/>
      </w:r>
    </w:p>
    <w:p w14:paraId="1E88DFBD" w14:textId="77777777" w:rsidR="00372FF4" w:rsidRDefault="00372FF4" w:rsidP="00B3061D">
      <w:pPr>
        <w:spacing w:after="0" w:line="240" w:lineRule="auto"/>
        <w:rPr>
          <w:color w:val="000000" w:themeColor="text1"/>
          <w:lang w:val="en-GB"/>
        </w:rPr>
      </w:pPr>
    </w:p>
    <w:p w14:paraId="6796A089" w14:textId="1D09D5F9" w:rsidR="00616822" w:rsidRPr="00B3061D" w:rsidRDefault="00616822" w:rsidP="00B3061D">
      <w:pPr>
        <w:spacing w:after="0" w:line="240" w:lineRule="auto"/>
        <w:rPr>
          <w:color w:val="000000" w:themeColor="text1"/>
          <w:lang w:val="en-GB"/>
        </w:rPr>
      </w:pPr>
      <w:proofErr w:type="gramStart"/>
      <w:r w:rsidRPr="00372FF4">
        <w:rPr>
          <w:color w:val="000000" w:themeColor="text1"/>
          <w:highlight w:val="yellow"/>
          <w:lang w:val="en-GB"/>
        </w:rPr>
        <w:lastRenderedPageBreak/>
        <w:t xml:space="preserve">Example: </w:t>
      </w:r>
      <w:proofErr w:type="spellStart"/>
      <w:r w:rsidRPr="00372FF4">
        <w:rPr>
          <w:color w:val="000000" w:themeColor="text1"/>
          <w:highlight w:val="yellow"/>
          <w:lang w:val="en-GB"/>
        </w:rPr>
        <w:t>Wapichan</w:t>
      </w:r>
      <w:proofErr w:type="spellEnd"/>
      <w:r w:rsidRPr="00372FF4">
        <w:rPr>
          <w:color w:val="000000" w:themeColor="text1"/>
          <w:highlight w:val="yellow"/>
          <w:lang w:val="en-GB"/>
        </w:rPr>
        <w:t xml:space="preserve"> map / IMPECT map?</w:t>
      </w:r>
      <w:proofErr w:type="gramEnd"/>
      <w:r w:rsidRPr="00B3061D">
        <w:rPr>
          <w:color w:val="000000" w:themeColor="text1"/>
          <w:lang w:val="en-GB"/>
        </w:rPr>
        <w:t xml:space="preserve"> </w:t>
      </w:r>
    </w:p>
    <w:p w14:paraId="594A9D7E" w14:textId="77777777" w:rsidR="00372FF4" w:rsidRDefault="00372FF4" w:rsidP="00372FF4">
      <w:pPr>
        <w:spacing w:after="0" w:line="240" w:lineRule="auto"/>
        <w:ind w:left="708"/>
        <w:rPr>
          <w:color w:val="4F81BD" w:themeColor="accent1"/>
          <w:lang w:val="en-GB"/>
        </w:rPr>
      </w:pPr>
    </w:p>
    <w:p w14:paraId="03586387" w14:textId="44DAC256" w:rsidR="001B433F" w:rsidRPr="00B3061D" w:rsidRDefault="00616822" w:rsidP="00372FF4">
      <w:pPr>
        <w:spacing w:after="0" w:line="240" w:lineRule="auto"/>
        <w:ind w:left="708"/>
        <w:rPr>
          <w:color w:val="000000" w:themeColor="text1"/>
          <w:lang w:val="en-GB"/>
        </w:rPr>
      </w:pPr>
      <w:r w:rsidRPr="00B3061D">
        <w:rPr>
          <w:color w:val="4F81BD" w:themeColor="accent1"/>
          <w:lang w:val="en-GB"/>
        </w:rPr>
        <w:t>Case:</w:t>
      </w:r>
      <w:r w:rsidRPr="00B3061D">
        <w:rPr>
          <w:color w:val="000000" w:themeColor="text1"/>
          <w:lang w:val="en-GB"/>
        </w:rPr>
        <w:t xml:space="preserve"> </w:t>
      </w:r>
      <w:r w:rsidR="001B433F" w:rsidRPr="00B3061D">
        <w:rPr>
          <w:color w:val="000000" w:themeColor="text1"/>
          <w:lang w:val="en-GB"/>
        </w:rPr>
        <w:t>A paper in presented at the International Symposium on Sacred Natural Sites and Cultural Landscapes (Tokyo in 2005) highlights the power of mapping</w:t>
      </w:r>
      <w:r w:rsidR="00F160D8" w:rsidRPr="00B3061D">
        <w:rPr>
          <w:color w:val="000000" w:themeColor="text1"/>
          <w:lang w:val="en-GB"/>
        </w:rPr>
        <w:t xml:space="preserve"> and explains how in the author’s own community in Zuni, New Mexico mapping </w:t>
      </w:r>
      <w:r w:rsidR="00C71EFC">
        <w:rPr>
          <w:color w:val="000000" w:themeColor="text1"/>
          <w:lang w:val="en-GB"/>
        </w:rPr>
        <w:t xml:space="preserve">is used </w:t>
      </w:r>
      <w:r w:rsidR="00F160D8" w:rsidRPr="00B3061D">
        <w:rPr>
          <w:color w:val="000000" w:themeColor="text1"/>
          <w:lang w:val="en-GB"/>
        </w:rPr>
        <w:t>to educate youth about the importance of water and the protection of sacred water places.</w:t>
      </w:r>
      <w:r w:rsidR="001B433F" w:rsidRPr="00B3061D">
        <w:rPr>
          <w:color w:val="000000" w:themeColor="text1"/>
          <w:lang w:val="en-GB"/>
        </w:rPr>
        <w:t xml:space="preserve"> “Indigenous peoples have been losing access to their sacred places, including sites with sacred waters, often because of maps that fail to recognize the concerns of indigenous peoples. However, there is a new worldwide movement by indigenous peoples to map places that are vital to their cultural and political survival. By simply picking up a pencil and making a map from memory, composing a song, or using modern computerized mapping techniques, indigenous peoples can use indigenous mapping as a tool for advocacy and empowerment”. </w:t>
      </w:r>
      <w:r w:rsidR="00F160D8" w:rsidRPr="00B3061D">
        <w:rPr>
          <w:rStyle w:val="FootnoteReference"/>
          <w:color w:val="000000" w:themeColor="text1"/>
          <w:lang w:val="en-GB"/>
        </w:rPr>
        <w:footnoteReference w:id="56"/>
      </w:r>
    </w:p>
    <w:p w14:paraId="6E75EB7B" w14:textId="77777777" w:rsidR="00D74446" w:rsidRPr="00B3061D" w:rsidRDefault="00D74446" w:rsidP="00B3061D">
      <w:pPr>
        <w:pStyle w:val="ListParagraph"/>
        <w:ind w:left="0"/>
        <w:rPr>
          <w:sz w:val="22"/>
          <w:szCs w:val="22"/>
          <w:lang w:val="en-GB"/>
        </w:rPr>
      </w:pPr>
    </w:p>
    <w:p w14:paraId="5D45CBCC" w14:textId="231242BD" w:rsidR="00CD3ED3" w:rsidRPr="00B3061D" w:rsidRDefault="00CD3ED3" w:rsidP="00B3061D">
      <w:pPr>
        <w:spacing w:after="0" w:line="240" w:lineRule="auto"/>
        <w:rPr>
          <w:b/>
          <w:lang w:val="en-GB"/>
        </w:rPr>
      </w:pPr>
      <w:r w:rsidRPr="00B3061D">
        <w:rPr>
          <w:b/>
          <w:lang w:val="en-GB"/>
        </w:rPr>
        <w:t>5.3</w:t>
      </w:r>
      <w:r w:rsidR="007D131E">
        <w:rPr>
          <w:b/>
          <w:lang w:val="en-GB"/>
        </w:rPr>
        <w:t xml:space="preserve"> </w:t>
      </w:r>
      <w:r w:rsidRPr="00B3061D">
        <w:rPr>
          <w:b/>
          <w:lang w:val="en-GB"/>
        </w:rPr>
        <w:t xml:space="preserve">Multiple knowledge systems and biodiversity assessments </w:t>
      </w:r>
    </w:p>
    <w:p w14:paraId="41783455" w14:textId="0E97180B" w:rsidR="0087712B" w:rsidRDefault="0087712B" w:rsidP="00B3061D">
      <w:pPr>
        <w:spacing w:after="0" w:line="240" w:lineRule="auto"/>
        <w:rPr>
          <w:lang w:val="en-GB"/>
        </w:rPr>
      </w:pPr>
      <w:r w:rsidRPr="00B3061D">
        <w:rPr>
          <w:lang w:val="en-GB"/>
        </w:rPr>
        <w:t xml:space="preserve">The support for CBMIS fits into a growing </w:t>
      </w:r>
      <w:r w:rsidR="007D131E">
        <w:rPr>
          <w:lang w:val="en-GB"/>
        </w:rPr>
        <w:t xml:space="preserve">global </w:t>
      </w:r>
      <w:r w:rsidRPr="00B3061D">
        <w:rPr>
          <w:lang w:val="en-GB"/>
        </w:rPr>
        <w:t xml:space="preserve">realisation of the need to tap into different sources of knowledge for global assessments of the worlds’ wellbeing. </w:t>
      </w:r>
    </w:p>
    <w:p w14:paraId="2082065C" w14:textId="77777777" w:rsidR="00244F6A" w:rsidRDefault="00244F6A" w:rsidP="00244F6A">
      <w:pPr>
        <w:spacing w:after="0" w:line="240" w:lineRule="auto"/>
        <w:rPr>
          <w:lang w:val="en-GB"/>
        </w:rPr>
      </w:pPr>
    </w:p>
    <w:p w14:paraId="09B6A3E7" w14:textId="77777777" w:rsidR="00244F6A" w:rsidRPr="00244F6A" w:rsidRDefault="00244F6A" w:rsidP="00244F6A">
      <w:pPr>
        <w:pStyle w:val="Para1"/>
        <w:numPr>
          <w:ilvl w:val="0"/>
          <w:numId w:val="0"/>
        </w:numPr>
        <w:spacing w:before="0" w:after="0"/>
        <w:rPr>
          <w:rFonts w:asciiTheme="minorHAnsi" w:hAnsiTheme="minorHAnsi"/>
          <w:szCs w:val="22"/>
        </w:rPr>
      </w:pPr>
      <w:r w:rsidRPr="00244F6A">
        <w:rPr>
          <w:rFonts w:asciiTheme="minorHAnsi" w:hAnsiTheme="minorHAnsi"/>
        </w:rPr>
        <w:t>This was also identified by SBSTTA-17 as ke</w:t>
      </w:r>
      <w:r>
        <w:rPr>
          <w:rFonts w:asciiTheme="minorHAnsi" w:hAnsiTheme="minorHAnsi"/>
        </w:rPr>
        <w:t>y scientific and technical need</w:t>
      </w:r>
      <w:r w:rsidRPr="00244F6A">
        <w:rPr>
          <w:rFonts w:asciiTheme="minorHAnsi" w:hAnsiTheme="minorHAnsi"/>
        </w:rPr>
        <w:t xml:space="preserve"> related to the implementation of the Strategic Plan for Biodiversity 2011-2020: “</w:t>
      </w:r>
      <w:r w:rsidRPr="00244F6A">
        <w:rPr>
          <w:rFonts w:asciiTheme="minorHAnsi" w:hAnsiTheme="minorHAnsi"/>
          <w:szCs w:val="22"/>
        </w:rPr>
        <w:t>The need for better ways to include relevant indigenous and traditional knowledge systems and the collective actions of indigenous and local communities to complement scientific knowledge in support of the effective implementation of the Strategic Plan for Biodiversity 2011-2020, with the approval and involvement of the holders of such knowledge, innovations and practices</w:t>
      </w:r>
      <w:r w:rsidRPr="00244F6A">
        <w:rPr>
          <w:rFonts w:asciiTheme="minorHAnsi" w:hAnsiTheme="minorHAnsi"/>
        </w:rPr>
        <w:t>”.</w:t>
      </w:r>
      <w:r w:rsidRPr="00244F6A">
        <w:rPr>
          <w:rStyle w:val="FootnoteReference"/>
          <w:rFonts w:asciiTheme="minorHAnsi" w:hAnsiTheme="minorHAnsi"/>
        </w:rPr>
        <w:footnoteReference w:id="57"/>
      </w:r>
      <w:r w:rsidRPr="00244F6A">
        <w:rPr>
          <w:rFonts w:asciiTheme="minorHAnsi" w:hAnsiTheme="minorHAnsi"/>
        </w:rPr>
        <w:t xml:space="preserve"> At SBSTTA-17, parties also identified the need for additional t</w:t>
      </w:r>
      <w:r w:rsidRPr="00244F6A">
        <w:rPr>
          <w:rFonts w:asciiTheme="minorHAnsi" w:hAnsiTheme="minorHAnsi"/>
          <w:szCs w:val="22"/>
        </w:rPr>
        <w:t>ools and methods that, in conjunction, are able to recognize the full range of biodiversity values, including its social, spi</w:t>
      </w:r>
      <w:r>
        <w:rPr>
          <w:rFonts w:asciiTheme="minorHAnsi" w:hAnsiTheme="minorHAnsi"/>
          <w:szCs w:val="22"/>
        </w:rPr>
        <w:t>ritual, and cultural importance.</w:t>
      </w:r>
      <w:r>
        <w:rPr>
          <w:rStyle w:val="FootnoteReference"/>
          <w:rFonts w:asciiTheme="minorHAnsi" w:hAnsiTheme="minorHAnsi"/>
          <w:szCs w:val="22"/>
        </w:rPr>
        <w:footnoteReference w:id="58"/>
      </w:r>
    </w:p>
    <w:p w14:paraId="1AF1AE2E" w14:textId="77777777" w:rsidR="00244F6A" w:rsidRDefault="00244F6A" w:rsidP="00244F6A">
      <w:pPr>
        <w:spacing w:after="0" w:line="240" w:lineRule="auto"/>
        <w:rPr>
          <w:lang w:val="en-GB"/>
        </w:rPr>
      </w:pPr>
    </w:p>
    <w:p w14:paraId="2F1EA417" w14:textId="77777777" w:rsidR="00244F6A" w:rsidRDefault="00244F6A" w:rsidP="00244F6A">
      <w:pPr>
        <w:spacing w:after="0" w:line="240" w:lineRule="auto"/>
        <w:rPr>
          <w:lang w:val="en-GB"/>
        </w:rPr>
      </w:pPr>
      <w:r>
        <w:rPr>
          <w:lang w:val="en-GB"/>
        </w:rPr>
        <w:t xml:space="preserve">These discussions and developments are </w:t>
      </w:r>
      <w:r w:rsidRPr="00B3061D">
        <w:rPr>
          <w:lang w:val="en-GB"/>
        </w:rPr>
        <w:t xml:space="preserve">very relevant for Aichi Target 19, which would benefit </w:t>
      </w:r>
      <w:r>
        <w:rPr>
          <w:lang w:val="en-GB"/>
        </w:rPr>
        <w:t xml:space="preserve">greatly </w:t>
      </w:r>
      <w:r w:rsidRPr="00B3061D">
        <w:rPr>
          <w:lang w:val="en-GB"/>
        </w:rPr>
        <w:t xml:space="preserve">from increased focus on diverse or multiple knowledge systems rather than focusing on a science base. </w:t>
      </w:r>
    </w:p>
    <w:p w14:paraId="4589C48C" w14:textId="77777777" w:rsidR="00244F6A" w:rsidRDefault="00244F6A" w:rsidP="00244F6A">
      <w:pPr>
        <w:spacing w:after="0" w:line="240" w:lineRule="auto"/>
        <w:rPr>
          <w:lang w:val="en-GB"/>
        </w:rPr>
      </w:pPr>
    </w:p>
    <w:p w14:paraId="7E1C0D86" w14:textId="518342A6" w:rsidR="00AF3377" w:rsidRPr="00AF3377" w:rsidRDefault="00244F6A" w:rsidP="00AF3377">
      <w:pPr>
        <w:spacing w:after="0" w:line="240" w:lineRule="auto"/>
        <w:rPr>
          <w:rFonts w:cs="Arial"/>
          <w:lang w:val="en-GB"/>
        </w:rPr>
      </w:pPr>
      <w:r>
        <w:rPr>
          <w:lang w:val="en-GB"/>
        </w:rPr>
        <w:t xml:space="preserve">Such an approach is already being tested through the </w:t>
      </w:r>
      <w:r w:rsidR="0087712B" w:rsidRPr="00B3061D">
        <w:rPr>
          <w:rFonts w:cs="Arial"/>
          <w:color w:val="000000"/>
          <w:lang w:val="en-GB"/>
        </w:rPr>
        <w:t>Intergovernmental Platform on Biodiversity</w:t>
      </w:r>
      <w:r w:rsidR="00D250A6">
        <w:rPr>
          <w:rFonts w:cs="Arial"/>
          <w:color w:val="000000"/>
          <w:lang w:val="en-GB"/>
        </w:rPr>
        <w:t xml:space="preserve"> and Ecosystem Services (IPBES). This </w:t>
      </w:r>
      <w:r w:rsidR="0087712B" w:rsidRPr="00B3061D">
        <w:rPr>
          <w:rFonts w:cs="Arial"/>
          <w:color w:val="000000"/>
          <w:lang w:val="en-GB"/>
        </w:rPr>
        <w:t>leading intergovernmental body for assessing the state of the planet's biodiversity, its ecosystems and the essential services they provide to society</w:t>
      </w:r>
      <w:r w:rsidR="00D250A6">
        <w:rPr>
          <w:rFonts w:cs="Arial"/>
          <w:color w:val="000000"/>
          <w:lang w:val="en-GB"/>
        </w:rPr>
        <w:t xml:space="preserve"> </w:t>
      </w:r>
      <w:r w:rsidR="0087712B" w:rsidRPr="00B3061D">
        <w:rPr>
          <w:rFonts w:cs="Arial"/>
          <w:color w:val="000000"/>
          <w:lang w:val="en-GB"/>
        </w:rPr>
        <w:t>is shaping up as a knowledge platform, rather than a science platform. Indigenous activists and others from many sectors have pressed for local and indigenous knowledge to have an equal position and value, and</w:t>
      </w:r>
      <w:r w:rsidR="007D131E">
        <w:rPr>
          <w:rFonts w:cs="Arial"/>
          <w:color w:val="000000"/>
          <w:lang w:val="en-GB"/>
        </w:rPr>
        <w:t xml:space="preserve"> for</w:t>
      </w:r>
      <w:r w:rsidR="0087712B" w:rsidRPr="00B3061D">
        <w:rPr>
          <w:rFonts w:cs="Arial"/>
          <w:color w:val="000000"/>
          <w:lang w:val="en-GB"/>
        </w:rPr>
        <w:t xml:space="preserve"> local knowledge holders </w:t>
      </w:r>
      <w:r w:rsidR="007D131E">
        <w:rPr>
          <w:rFonts w:cs="Arial"/>
          <w:color w:val="000000"/>
          <w:lang w:val="en-GB"/>
        </w:rPr>
        <w:t xml:space="preserve">to </w:t>
      </w:r>
      <w:r w:rsidR="0087712B" w:rsidRPr="00B3061D">
        <w:rPr>
          <w:rFonts w:cs="Arial"/>
          <w:color w:val="000000"/>
          <w:lang w:val="en-GB"/>
        </w:rPr>
        <w:t xml:space="preserve">have maximum opportunity to participate and contribute. </w:t>
      </w:r>
      <w:r w:rsidR="007D131E">
        <w:rPr>
          <w:rFonts w:cs="Arial"/>
          <w:color w:val="000000"/>
          <w:lang w:val="en-GB"/>
        </w:rPr>
        <w:t xml:space="preserve">Many academics and others share this perspective. </w:t>
      </w:r>
      <w:r w:rsidR="0087712B" w:rsidRPr="00B3061D">
        <w:rPr>
          <w:rFonts w:cs="Arial"/>
          <w:color w:val="000000"/>
          <w:lang w:val="en-GB"/>
        </w:rPr>
        <w:t xml:space="preserve"> </w:t>
      </w:r>
      <w:r w:rsidR="00A030FE" w:rsidRPr="00B3061D">
        <w:rPr>
          <w:rFonts w:cs="Arial"/>
          <w:color w:val="000000"/>
          <w:lang w:val="en-GB"/>
        </w:rPr>
        <w:t>Scientists in the journal ‘Nature’</w:t>
      </w:r>
      <w:r w:rsidR="007D131E">
        <w:rPr>
          <w:rFonts w:cs="Arial"/>
          <w:color w:val="000000"/>
          <w:lang w:val="en-GB"/>
        </w:rPr>
        <w:t>, for instance,</w:t>
      </w:r>
      <w:r w:rsidR="00A030FE" w:rsidRPr="00B3061D">
        <w:rPr>
          <w:rFonts w:cs="Arial"/>
          <w:color w:val="000000"/>
          <w:lang w:val="en-GB"/>
        </w:rPr>
        <w:t xml:space="preserve"> warned IPBES not to </w:t>
      </w:r>
      <w:r w:rsidR="007D131E">
        <w:rPr>
          <w:rFonts w:cs="Arial"/>
          <w:color w:val="000000"/>
          <w:lang w:val="en-GB"/>
        </w:rPr>
        <w:t xml:space="preserve">‘make the same </w:t>
      </w:r>
      <w:r w:rsidR="00A030FE" w:rsidRPr="00B3061D">
        <w:rPr>
          <w:rFonts w:cs="Arial"/>
          <w:color w:val="000000"/>
          <w:lang w:val="en-GB"/>
        </w:rPr>
        <w:t>mistakes’ as the IPCC</w:t>
      </w:r>
      <w:r w:rsidR="007D131E">
        <w:rPr>
          <w:rFonts w:cs="Arial"/>
          <w:color w:val="000000"/>
          <w:lang w:val="en-GB"/>
        </w:rPr>
        <w:t>’</w:t>
      </w:r>
      <w:r w:rsidR="00A030FE" w:rsidRPr="00B3061D">
        <w:rPr>
          <w:rFonts w:cs="Arial"/>
          <w:color w:val="000000"/>
          <w:lang w:val="en-GB"/>
        </w:rPr>
        <w:t>:</w:t>
      </w:r>
      <w:r w:rsidR="007D131E">
        <w:rPr>
          <w:rFonts w:cs="Arial"/>
          <w:color w:val="000000"/>
          <w:lang w:val="en-GB"/>
        </w:rPr>
        <w:t xml:space="preserve"> </w:t>
      </w:r>
      <w:r w:rsidR="00A030FE" w:rsidRPr="00B3061D">
        <w:rPr>
          <w:rFonts w:cs="Arial"/>
          <w:lang w:val="en-GB"/>
        </w:rPr>
        <w:t>“The IPCC focused on producing standardized assessments, with one view of what counts as relevant and valid knowledge for climate change: peer-reviewed science. This approach overshadowed arguably more important tasks: synthesizing wider perspectives about changing climates and spurring action by multiple policy actors. The IPBES must not adopt such tunnel vision. Simply generating and communicating scientific knowledge is not sufficient to combat biodiversity loss”.</w:t>
      </w:r>
      <w:r w:rsidR="00AF3377">
        <w:rPr>
          <w:rFonts w:cs="Arial"/>
          <w:lang w:val="en-GB"/>
        </w:rPr>
        <w:t xml:space="preserve"> They warned IPBES to be </w:t>
      </w:r>
      <w:r w:rsidR="00AF3377" w:rsidRPr="00AF3377">
        <w:rPr>
          <w:rFonts w:cs="Arial"/>
          <w:lang w:val="en-GB"/>
        </w:rPr>
        <w:t>sensitive to local knowledge, needs and conditions</w:t>
      </w:r>
      <w:r w:rsidR="00AF3377">
        <w:rPr>
          <w:rFonts w:cs="Arial"/>
          <w:lang w:val="en-GB"/>
        </w:rPr>
        <w:t xml:space="preserve">, and to include </w:t>
      </w:r>
      <w:r w:rsidR="00AF3377" w:rsidRPr="00AF3377">
        <w:rPr>
          <w:rFonts w:cs="Arial"/>
          <w:lang w:val="en-GB"/>
        </w:rPr>
        <w:t xml:space="preserve">biodiversity practitioners and indigenous-knowledge </w:t>
      </w:r>
    </w:p>
    <w:p w14:paraId="60E9CF0A" w14:textId="03D39D44" w:rsidR="00A030FE" w:rsidRDefault="00AF3377" w:rsidP="00AF3377">
      <w:pPr>
        <w:spacing w:after="0" w:line="240" w:lineRule="auto"/>
        <w:rPr>
          <w:rFonts w:cs="Arial"/>
          <w:lang w:val="en-GB"/>
        </w:rPr>
      </w:pPr>
      <w:proofErr w:type="gramStart"/>
      <w:r w:rsidRPr="00AF3377">
        <w:rPr>
          <w:rFonts w:cs="Arial"/>
          <w:lang w:val="en-GB"/>
        </w:rPr>
        <w:t>Networks</w:t>
      </w:r>
      <w:r>
        <w:rPr>
          <w:rFonts w:cs="Arial"/>
          <w:lang w:val="en-GB"/>
        </w:rPr>
        <w:t xml:space="preserve"> in e</w:t>
      </w:r>
      <w:r w:rsidRPr="00AF3377">
        <w:rPr>
          <w:rFonts w:cs="Arial"/>
          <w:lang w:val="en-GB"/>
        </w:rPr>
        <w:t>xpert panel</w:t>
      </w:r>
      <w:r>
        <w:rPr>
          <w:rFonts w:cs="Arial"/>
          <w:lang w:val="en-GB"/>
        </w:rPr>
        <w:t xml:space="preserve">s alongside </w:t>
      </w:r>
      <w:r w:rsidRPr="00AF3377">
        <w:rPr>
          <w:rFonts w:cs="Arial"/>
          <w:lang w:val="en-GB"/>
        </w:rPr>
        <w:t xml:space="preserve">natural scientists, social scientists, humanities researchers, </w:t>
      </w:r>
      <w:r>
        <w:rPr>
          <w:rFonts w:cs="Arial"/>
          <w:lang w:val="en-GB"/>
        </w:rPr>
        <w:t>and others.</w:t>
      </w:r>
      <w:proofErr w:type="gramEnd"/>
      <w:r>
        <w:rPr>
          <w:rFonts w:cs="Arial"/>
          <w:lang w:val="en-GB"/>
        </w:rPr>
        <w:t xml:space="preserve"> </w:t>
      </w:r>
      <w:r w:rsidR="00A030FE" w:rsidRPr="00B3061D">
        <w:rPr>
          <w:rStyle w:val="FootnoteReference"/>
          <w:rFonts w:cs="Arial"/>
          <w:lang w:val="en-GB"/>
        </w:rPr>
        <w:footnoteReference w:id="59"/>
      </w:r>
    </w:p>
    <w:p w14:paraId="45ECE591" w14:textId="77777777" w:rsidR="00AF3377" w:rsidRPr="00B3061D" w:rsidRDefault="00AF3377" w:rsidP="00B3061D">
      <w:pPr>
        <w:spacing w:after="0" w:line="240" w:lineRule="auto"/>
        <w:rPr>
          <w:rFonts w:cs="Arial"/>
          <w:lang w:val="en-GB"/>
        </w:rPr>
      </w:pPr>
    </w:p>
    <w:p w14:paraId="16F85BA0" w14:textId="44656FF3" w:rsidR="00446022" w:rsidRPr="00B3061D" w:rsidRDefault="0087712B"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lastRenderedPageBreak/>
        <w:t xml:space="preserve">One of the subsidiary bodies of IPBES, the Multidisciplinary Expert Panel (MEP), </w:t>
      </w:r>
      <w:r w:rsidR="00467F1C">
        <w:rPr>
          <w:rFonts w:asciiTheme="minorHAnsi" w:hAnsiTheme="minorHAnsi"/>
          <w:szCs w:val="22"/>
        </w:rPr>
        <w:t>i</w:t>
      </w:r>
      <w:r w:rsidRPr="00B3061D">
        <w:rPr>
          <w:rFonts w:asciiTheme="minorHAnsi" w:hAnsiTheme="minorHAnsi"/>
          <w:szCs w:val="22"/>
        </w:rPr>
        <w:t>s required to “explore ways and means to bring different knowledge systems, including indigenous knowledge systems, into the science-policy interface”.</w:t>
      </w:r>
      <w:r w:rsidRPr="00B3061D">
        <w:rPr>
          <w:rStyle w:val="FootnoteReference"/>
          <w:rFonts w:asciiTheme="minorHAnsi" w:hAnsiTheme="minorHAnsi"/>
          <w:szCs w:val="22"/>
        </w:rPr>
        <w:footnoteReference w:id="60"/>
      </w:r>
      <w:r w:rsidRPr="00B3061D">
        <w:rPr>
          <w:rFonts w:asciiTheme="minorHAnsi" w:hAnsiTheme="minorHAnsi"/>
          <w:szCs w:val="22"/>
        </w:rPr>
        <w:t xml:space="preserve"> Also the work programme is required to “develop an understanding of how to effectively integrate local and traditional knowledge”.</w:t>
      </w:r>
      <w:r w:rsidRPr="00B3061D">
        <w:rPr>
          <w:rStyle w:val="FootnoteReference"/>
          <w:rFonts w:asciiTheme="minorHAnsi" w:hAnsiTheme="minorHAnsi"/>
          <w:szCs w:val="22"/>
        </w:rPr>
        <w:footnoteReference w:id="61"/>
      </w:r>
    </w:p>
    <w:p w14:paraId="4A8280D7" w14:textId="77777777" w:rsidR="00FC3F9A" w:rsidRDefault="00FC3F9A" w:rsidP="00B3061D">
      <w:pPr>
        <w:pStyle w:val="Para1"/>
        <w:numPr>
          <w:ilvl w:val="0"/>
          <w:numId w:val="0"/>
        </w:numPr>
        <w:spacing w:before="0" w:after="0"/>
        <w:rPr>
          <w:rFonts w:asciiTheme="minorHAnsi" w:hAnsiTheme="minorHAnsi"/>
          <w:szCs w:val="22"/>
        </w:rPr>
      </w:pPr>
    </w:p>
    <w:p w14:paraId="1D2C180A" w14:textId="2D70F24F" w:rsidR="00446022" w:rsidRPr="00B3061D" w:rsidRDefault="00446022"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t>In 2013</w:t>
      </w:r>
      <w:r w:rsidR="0087712B" w:rsidRPr="00B3061D">
        <w:rPr>
          <w:rFonts w:asciiTheme="minorHAnsi" w:hAnsiTheme="minorHAnsi"/>
          <w:szCs w:val="22"/>
        </w:rPr>
        <w:t xml:space="preserve"> the IPBES MEP, in collaboration with the United Nations Educational, Scientific and Cultural Organization (UNESCO) and the U</w:t>
      </w:r>
      <w:r w:rsidR="00FC3F9A">
        <w:rPr>
          <w:rFonts w:asciiTheme="minorHAnsi" w:hAnsiTheme="minorHAnsi"/>
          <w:szCs w:val="22"/>
        </w:rPr>
        <w:t xml:space="preserve">nited Nations University (UNU) </w:t>
      </w:r>
      <w:r w:rsidR="0087712B" w:rsidRPr="00B3061D">
        <w:rPr>
          <w:rFonts w:asciiTheme="minorHAnsi" w:hAnsiTheme="minorHAnsi"/>
          <w:szCs w:val="22"/>
        </w:rPr>
        <w:t xml:space="preserve">organized an International Expert Workshop on Indigenous and Local Knowledge in IPBES: </w:t>
      </w:r>
      <w:r w:rsidR="00FC3F9A">
        <w:rPr>
          <w:rFonts w:asciiTheme="minorHAnsi" w:hAnsiTheme="minorHAnsi"/>
          <w:szCs w:val="22"/>
        </w:rPr>
        <w:t>Building Synergies with Science</w:t>
      </w:r>
      <w:r w:rsidR="0087712B" w:rsidRPr="00B3061D">
        <w:rPr>
          <w:rFonts w:asciiTheme="minorHAnsi" w:hAnsiTheme="minorHAnsi"/>
          <w:szCs w:val="22"/>
        </w:rPr>
        <w:t xml:space="preserve">. </w:t>
      </w:r>
      <w:r w:rsidRPr="00B3061D">
        <w:rPr>
          <w:rFonts w:asciiTheme="minorHAnsi" w:hAnsiTheme="minorHAnsi"/>
          <w:color w:val="333333"/>
          <w:szCs w:val="22"/>
        </w:rPr>
        <w:t>The objectives of the workshop were to examine and identify procedures and approaches for working with indigenous and local knowledge systems in the framework of IPBES</w:t>
      </w:r>
      <w:r w:rsidR="00FC3F9A">
        <w:rPr>
          <w:rFonts w:asciiTheme="minorHAnsi" w:hAnsiTheme="minorHAnsi"/>
          <w:color w:val="333333"/>
          <w:szCs w:val="22"/>
        </w:rPr>
        <w:t xml:space="preserve">, </w:t>
      </w:r>
      <w:r w:rsidRPr="00B3061D">
        <w:rPr>
          <w:rFonts w:asciiTheme="minorHAnsi" w:hAnsiTheme="minorHAnsi"/>
          <w:color w:val="333333"/>
          <w:szCs w:val="22"/>
        </w:rPr>
        <w:t>and to review and assess possible conceptual frameworks for the work of IPBES that are based on or accommodate indigenous and local knowledge systems and worldviews. The outcomes were presented at the second session of the Platform's Plenary (IPBES-2</w:t>
      </w:r>
      <w:r w:rsidR="00FC3F9A">
        <w:rPr>
          <w:rFonts w:asciiTheme="minorHAnsi" w:hAnsiTheme="minorHAnsi"/>
          <w:color w:val="333333"/>
          <w:szCs w:val="22"/>
        </w:rPr>
        <w:t>)</w:t>
      </w:r>
      <w:r w:rsidRPr="00B3061D">
        <w:rPr>
          <w:rFonts w:asciiTheme="minorHAnsi" w:hAnsiTheme="minorHAnsi"/>
          <w:color w:val="333333"/>
          <w:szCs w:val="22"/>
        </w:rPr>
        <w:t>.</w:t>
      </w:r>
      <w:r w:rsidRPr="00B3061D">
        <w:rPr>
          <w:rStyle w:val="FootnoteReference"/>
          <w:rFonts w:asciiTheme="minorHAnsi" w:hAnsiTheme="minorHAnsi"/>
          <w:color w:val="333333"/>
          <w:szCs w:val="22"/>
        </w:rPr>
        <w:footnoteReference w:id="62"/>
      </w:r>
    </w:p>
    <w:p w14:paraId="0CEE4F9D" w14:textId="77777777" w:rsidR="00FC3F9A" w:rsidRDefault="00FC3F9A" w:rsidP="00B3061D">
      <w:pPr>
        <w:pStyle w:val="Para1"/>
        <w:numPr>
          <w:ilvl w:val="0"/>
          <w:numId w:val="0"/>
        </w:numPr>
        <w:spacing w:before="0" w:after="0"/>
        <w:rPr>
          <w:rFonts w:asciiTheme="minorHAnsi" w:hAnsiTheme="minorHAnsi"/>
          <w:szCs w:val="22"/>
        </w:rPr>
      </w:pPr>
    </w:p>
    <w:p w14:paraId="194ED382" w14:textId="77777777" w:rsidR="0087712B" w:rsidRPr="00B3061D" w:rsidRDefault="0087712B" w:rsidP="00B3061D">
      <w:pPr>
        <w:pStyle w:val="Para1"/>
        <w:numPr>
          <w:ilvl w:val="0"/>
          <w:numId w:val="0"/>
        </w:numPr>
        <w:spacing w:before="0" w:after="0"/>
        <w:rPr>
          <w:rFonts w:asciiTheme="minorHAnsi" w:hAnsiTheme="minorHAnsi"/>
          <w:szCs w:val="22"/>
        </w:rPr>
      </w:pPr>
      <w:r w:rsidRPr="00B3061D">
        <w:rPr>
          <w:rFonts w:asciiTheme="minorHAnsi" w:hAnsiTheme="minorHAnsi"/>
          <w:szCs w:val="22"/>
        </w:rPr>
        <w:t>As the IPBES is still under development and procedures are not yet fully established, some workshops and meetings have been organized by interested Governments and others, in order to contribute to the discussion on the issue of connecting diverse knowledge systems. For example:</w:t>
      </w:r>
    </w:p>
    <w:p w14:paraId="0014E5E4" w14:textId="22858C87" w:rsidR="0087712B" w:rsidRPr="00B3061D" w:rsidRDefault="0087712B" w:rsidP="00FC3F9A">
      <w:pPr>
        <w:pStyle w:val="Para1"/>
        <w:numPr>
          <w:ilvl w:val="0"/>
          <w:numId w:val="15"/>
        </w:numPr>
        <w:spacing w:before="0" w:after="0"/>
        <w:rPr>
          <w:rFonts w:asciiTheme="minorHAnsi" w:hAnsiTheme="minorHAnsi"/>
          <w:szCs w:val="22"/>
        </w:rPr>
      </w:pPr>
      <w:r w:rsidRPr="00B3061D">
        <w:rPr>
          <w:rFonts w:asciiTheme="minorHAnsi" w:hAnsiTheme="minorHAnsi"/>
          <w:szCs w:val="22"/>
        </w:rPr>
        <w:t xml:space="preserve">Informal expert meeting with representatives of the International Indigenous Forum on Biodiversity (IIFB), EU experts and scientists engaged in Traditional Knowledge and IPBES, organized by </w:t>
      </w:r>
      <w:proofErr w:type="spellStart"/>
      <w:r w:rsidRPr="00B3061D">
        <w:rPr>
          <w:rFonts w:asciiTheme="minorHAnsi" w:hAnsiTheme="minorHAnsi"/>
          <w:szCs w:val="22"/>
        </w:rPr>
        <w:t>Swedbio</w:t>
      </w:r>
      <w:proofErr w:type="spellEnd"/>
      <w:r w:rsidRPr="00B3061D">
        <w:rPr>
          <w:rFonts w:asciiTheme="minorHAnsi" w:hAnsiTheme="minorHAnsi"/>
          <w:szCs w:val="22"/>
        </w:rPr>
        <w:t>, the programme on resilience and development at Stockholm Resi</w:t>
      </w:r>
      <w:r w:rsidR="001E18AB">
        <w:rPr>
          <w:rFonts w:asciiTheme="minorHAnsi" w:hAnsiTheme="minorHAnsi"/>
          <w:szCs w:val="22"/>
        </w:rPr>
        <w:t xml:space="preserve">lience Centre (SRC) and </w:t>
      </w:r>
      <w:proofErr w:type="spellStart"/>
      <w:r w:rsidR="001E18AB">
        <w:rPr>
          <w:rFonts w:asciiTheme="minorHAnsi" w:hAnsiTheme="minorHAnsi"/>
          <w:szCs w:val="22"/>
        </w:rPr>
        <w:t>Naptek</w:t>
      </w:r>
      <w:proofErr w:type="spellEnd"/>
      <w:r w:rsidR="001E18AB">
        <w:rPr>
          <w:rFonts w:asciiTheme="minorHAnsi" w:hAnsiTheme="minorHAnsi"/>
          <w:szCs w:val="22"/>
        </w:rPr>
        <w:t xml:space="preserve"> (</w:t>
      </w:r>
      <w:proofErr w:type="spellStart"/>
      <w:r w:rsidRPr="00B3061D">
        <w:rPr>
          <w:rFonts w:asciiTheme="minorHAnsi" w:hAnsiTheme="minorHAnsi"/>
          <w:szCs w:val="22"/>
        </w:rPr>
        <w:t>Jokkmokk</w:t>
      </w:r>
      <w:proofErr w:type="spellEnd"/>
      <w:r w:rsidR="001E18AB">
        <w:rPr>
          <w:rFonts w:asciiTheme="minorHAnsi" w:hAnsiTheme="minorHAnsi"/>
          <w:szCs w:val="22"/>
        </w:rPr>
        <w:t xml:space="preserve">, </w:t>
      </w:r>
      <w:r w:rsidRPr="00B3061D">
        <w:rPr>
          <w:rFonts w:asciiTheme="minorHAnsi" w:hAnsiTheme="minorHAnsi"/>
          <w:szCs w:val="22"/>
        </w:rPr>
        <w:t>June 2011</w:t>
      </w:r>
      <w:r w:rsidR="001E18AB">
        <w:rPr>
          <w:rFonts w:asciiTheme="minorHAnsi" w:hAnsiTheme="minorHAnsi"/>
          <w:szCs w:val="22"/>
        </w:rPr>
        <w:t>).</w:t>
      </w:r>
      <w:r w:rsidRPr="00B3061D">
        <w:rPr>
          <w:rStyle w:val="FootnoteReference"/>
          <w:rFonts w:asciiTheme="minorHAnsi" w:hAnsiTheme="minorHAnsi"/>
          <w:szCs w:val="22"/>
        </w:rPr>
        <w:footnoteReference w:id="63"/>
      </w:r>
    </w:p>
    <w:p w14:paraId="3CC41021" w14:textId="2DE5ACD4" w:rsidR="0087712B" w:rsidRPr="00B3061D" w:rsidRDefault="0087712B" w:rsidP="00FC3F9A">
      <w:pPr>
        <w:pStyle w:val="Para1"/>
        <w:numPr>
          <w:ilvl w:val="0"/>
          <w:numId w:val="15"/>
        </w:numPr>
        <w:spacing w:before="0" w:after="0"/>
        <w:rPr>
          <w:rFonts w:asciiTheme="minorHAnsi" w:hAnsiTheme="minorHAnsi"/>
          <w:szCs w:val="22"/>
        </w:rPr>
      </w:pPr>
      <w:r w:rsidRPr="00B3061D">
        <w:rPr>
          <w:rFonts w:asciiTheme="minorHAnsi" w:hAnsiTheme="minorHAnsi"/>
          <w:szCs w:val="22"/>
        </w:rPr>
        <w:t xml:space="preserve">International Dialogue Workshop: Indigenous Knowledge, Traditional Knowledge, Science and Connecting Diverse Knowledge Systems, </w:t>
      </w:r>
      <w:r w:rsidR="001E18AB">
        <w:rPr>
          <w:rFonts w:asciiTheme="minorHAnsi" w:hAnsiTheme="minorHAnsi"/>
          <w:szCs w:val="22"/>
        </w:rPr>
        <w:t>(</w:t>
      </w:r>
      <w:proofErr w:type="spellStart"/>
      <w:r w:rsidRPr="00B3061D">
        <w:rPr>
          <w:rFonts w:asciiTheme="minorHAnsi" w:hAnsiTheme="minorHAnsi"/>
          <w:szCs w:val="22"/>
        </w:rPr>
        <w:t>Guna</w:t>
      </w:r>
      <w:proofErr w:type="spellEnd"/>
      <w:r w:rsidRPr="00B3061D">
        <w:rPr>
          <w:rFonts w:asciiTheme="minorHAnsi" w:hAnsiTheme="minorHAnsi"/>
          <w:szCs w:val="22"/>
        </w:rPr>
        <w:t xml:space="preserve"> </w:t>
      </w:r>
      <w:proofErr w:type="spellStart"/>
      <w:r w:rsidRPr="00B3061D">
        <w:rPr>
          <w:rFonts w:asciiTheme="minorHAnsi" w:hAnsiTheme="minorHAnsi"/>
          <w:szCs w:val="22"/>
        </w:rPr>
        <w:t>Yala</w:t>
      </w:r>
      <w:proofErr w:type="spellEnd"/>
      <w:r w:rsidRPr="00B3061D">
        <w:rPr>
          <w:rFonts w:asciiTheme="minorHAnsi" w:hAnsiTheme="minorHAnsi"/>
          <w:szCs w:val="22"/>
        </w:rPr>
        <w:t>, Panama</w:t>
      </w:r>
      <w:r w:rsidR="001E18AB">
        <w:rPr>
          <w:rFonts w:asciiTheme="minorHAnsi" w:hAnsiTheme="minorHAnsi"/>
          <w:szCs w:val="22"/>
        </w:rPr>
        <w:t xml:space="preserve">, </w:t>
      </w:r>
      <w:r w:rsidRPr="00B3061D">
        <w:rPr>
          <w:rFonts w:asciiTheme="minorHAnsi" w:hAnsiTheme="minorHAnsi"/>
          <w:szCs w:val="22"/>
        </w:rPr>
        <w:t>April</w:t>
      </w:r>
      <w:r w:rsidR="001E18AB">
        <w:rPr>
          <w:rFonts w:asciiTheme="minorHAnsi" w:hAnsiTheme="minorHAnsi"/>
          <w:szCs w:val="22"/>
        </w:rPr>
        <w:t xml:space="preserve"> 2011)</w:t>
      </w:r>
      <w:r w:rsidRPr="00B3061D">
        <w:rPr>
          <w:rFonts w:asciiTheme="minorHAnsi" w:hAnsiTheme="minorHAnsi"/>
          <w:szCs w:val="22"/>
        </w:rPr>
        <w:t xml:space="preserve">. </w:t>
      </w:r>
      <w:proofErr w:type="gramStart"/>
      <w:r w:rsidRPr="00B3061D">
        <w:rPr>
          <w:rFonts w:asciiTheme="minorHAnsi" w:hAnsiTheme="minorHAnsi"/>
          <w:szCs w:val="22"/>
        </w:rPr>
        <w:t>The Dialogue workshop was organized by The Resilience and Development Programme (</w:t>
      </w:r>
      <w:proofErr w:type="spellStart"/>
      <w:r w:rsidRPr="00B3061D">
        <w:rPr>
          <w:rFonts w:asciiTheme="minorHAnsi" w:hAnsiTheme="minorHAnsi"/>
          <w:szCs w:val="22"/>
        </w:rPr>
        <w:t>Swedbio</w:t>
      </w:r>
      <w:proofErr w:type="spellEnd"/>
      <w:r w:rsidRPr="00B3061D">
        <w:rPr>
          <w:rFonts w:asciiTheme="minorHAnsi" w:hAnsiTheme="minorHAnsi"/>
          <w:szCs w:val="22"/>
        </w:rPr>
        <w:t>) at Stockholm Resilience Centre</w:t>
      </w:r>
      <w:proofErr w:type="gramEnd"/>
      <w:r w:rsidRPr="00B3061D">
        <w:rPr>
          <w:rFonts w:asciiTheme="minorHAnsi" w:hAnsiTheme="minorHAnsi"/>
          <w:szCs w:val="22"/>
        </w:rPr>
        <w:t xml:space="preserve"> in collaboration with </w:t>
      </w:r>
      <w:proofErr w:type="spellStart"/>
      <w:r w:rsidRPr="00B3061D">
        <w:rPr>
          <w:rFonts w:asciiTheme="minorHAnsi" w:hAnsiTheme="minorHAnsi"/>
          <w:szCs w:val="22"/>
        </w:rPr>
        <w:t>Naptek</w:t>
      </w:r>
      <w:proofErr w:type="spellEnd"/>
      <w:r w:rsidRPr="00B3061D">
        <w:rPr>
          <w:rFonts w:asciiTheme="minorHAnsi" w:hAnsiTheme="minorHAnsi"/>
          <w:szCs w:val="22"/>
        </w:rPr>
        <w:t xml:space="preserve"> at the Swedish Biodiversity Centre and the International Indigenous Forum on Biodiversity</w:t>
      </w:r>
      <w:r w:rsidR="001E18AB">
        <w:rPr>
          <w:rFonts w:asciiTheme="minorHAnsi" w:hAnsiTheme="minorHAnsi"/>
          <w:szCs w:val="22"/>
        </w:rPr>
        <w:t>.</w:t>
      </w:r>
      <w:r w:rsidRPr="00B3061D">
        <w:rPr>
          <w:rStyle w:val="FootnoteReference"/>
          <w:rFonts w:asciiTheme="minorHAnsi" w:hAnsiTheme="minorHAnsi"/>
          <w:szCs w:val="22"/>
        </w:rPr>
        <w:footnoteReference w:id="64"/>
      </w:r>
    </w:p>
    <w:p w14:paraId="7949C18C" w14:textId="27CBCA04" w:rsidR="0087712B" w:rsidRPr="00B3061D" w:rsidRDefault="0087712B" w:rsidP="00FC3F9A">
      <w:pPr>
        <w:pStyle w:val="Para1"/>
        <w:numPr>
          <w:ilvl w:val="0"/>
          <w:numId w:val="15"/>
        </w:numPr>
        <w:spacing w:before="0" w:after="0"/>
        <w:rPr>
          <w:rFonts w:asciiTheme="minorHAnsi" w:hAnsiTheme="minorHAnsi"/>
          <w:szCs w:val="22"/>
        </w:rPr>
      </w:pPr>
      <w:r w:rsidRPr="00B3061D">
        <w:rPr>
          <w:rFonts w:asciiTheme="minorHAnsi" w:hAnsiTheme="minorHAnsi"/>
          <w:szCs w:val="22"/>
        </w:rPr>
        <w:t>International Expert Workshop connecting diverse Knowledge Systems in the context of IPBES, organized by the German Federal Agency for Nature Conservation (</w:t>
      </w:r>
      <w:proofErr w:type="spellStart"/>
      <w:r w:rsidRPr="00B3061D">
        <w:rPr>
          <w:rFonts w:asciiTheme="minorHAnsi" w:hAnsiTheme="minorHAnsi"/>
          <w:szCs w:val="22"/>
        </w:rPr>
        <w:t>BfN</w:t>
      </w:r>
      <w:proofErr w:type="spellEnd"/>
      <w:r w:rsidRPr="00B3061D">
        <w:rPr>
          <w:rFonts w:asciiTheme="minorHAnsi" w:hAnsiTheme="minorHAnsi"/>
          <w:szCs w:val="22"/>
        </w:rPr>
        <w:t xml:space="preserve">) in cooperation with the Institute for Biodiversity Network </w:t>
      </w:r>
      <w:proofErr w:type="spellStart"/>
      <w:proofErr w:type="gramStart"/>
      <w:r w:rsidRPr="00B3061D">
        <w:rPr>
          <w:rFonts w:asciiTheme="minorHAnsi" w:hAnsiTheme="minorHAnsi"/>
          <w:szCs w:val="22"/>
        </w:rPr>
        <w:t>e.V</w:t>
      </w:r>
      <w:proofErr w:type="spellEnd"/>
      <w:proofErr w:type="gramEnd"/>
      <w:r w:rsidRPr="00B3061D">
        <w:rPr>
          <w:rFonts w:asciiTheme="minorHAnsi" w:hAnsiTheme="minorHAnsi"/>
          <w:szCs w:val="22"/>
        </w:rPr>
        <w:t>. (</w:t>
      </w:r>
      <w:proofErr w:type="gramStart"/>
      <w:r w:rsidRPr="00B3061D">
        <w:rPr>
          <w:rFonts w:asciiTheme="minorHAnsi" w:hAnsiTheme="minorHAnsi"/>
          <w:szCs w:val="22"/>
        </w:rPr>
        <w:t>ibn</w:t>
      </w:r>
      <w:proofErr w:type="gramEnd"/>
      <w:r w:rsidRPr="00B3061D">
        <w:rPr>
          <w:rFonts w:asciiTheme="minorHAnsi" w:hAnsiTheme="minorHAnsi"/>
          <w:szCs w:val="22"/>
        </w:rPr>
        <w:t>), at the International Academy for Nature Conservation</w:t>
      </w:r>
      <w:r w:rsidR="001E18AB">
        <w:rPr>
          <w:rFonts w:asciiTheme="minorHAnsi" w:hAnsiTheme="minorHAnsi"/>
          <w:szCs w:val="22"/>
        </w:rPr>
        <w:t xml:space="preserve"> (</w:t>
      </w:r>
      <w:r w:rsidRPr="00B3061D">
        <w:rPr>
          <w:rFonts w:asciiTheme="minorHAnsi" w:hAnsiTheme="minorHAnsi"/>
          <w:szCs w:val="22"/>
        </w:rPr>
        <w:t xml:space="preserve">Isle of </w:t>
      </w:r>
      <w:proofErr w:type="spellStart"/>
      <w:r w:rsidRPr="00B3061D">
        <w:rPr>
          <w:rFonts w:asciiTheme="minorHAnsi" w:hAnsiTheme="minorHAnsi"/>
          <w:szCs w:val="22"/>
        </w:rPr>
        <w:t>Vilm</w:t>
      </w:r>
      <w:proofErr w:type="spellEnd"/>
      <w:r w:rsidRPr="00B3061D">
        <w:rPr>
          <w:rFonts w:asciiTheme="minorHAnsi" w:hAnsiTheme="minorHAnsi"/>
          <w:szCs w:val="22"/>
        </w:rPr>
        <w:t>, Germany</w:t>
      </w:r>
      <w:r w:rsidR="001E18AB">
        <w:rPr>
          <w:rFonts w:asciiTheme="minorHAnsi" w:hAnsiTheme="minorHAnsi"/>
          <w:szCs w:val="22"/>
        </w:rPr>
        <w:t xml:space="preserve">, April </w:t>
      </w:r>
      <w:r w:rsidR="00D808D9" w:rsidRPr="00B3061D">
        <w:rPr>
          <w:rFonts w:asciiTheme="minorHAnsi" w:hAnsiTheme="minorHAnsi"/>
          <w:szCs w:val="22"/>
        </w:rPr>
        <w:t xml:space="preserve"> 2013</w:t>
      </w:r>
      <w:r w:rsidR="001E18AB">
        <w:rPr>
          <w:rFonts w:asciiTheme="minorHAnsi" w:hAnsiTheme="minorHAnsi"/>
          <w:szCs w:val="22"/>
        </w:rPr>
        <w:t xml:space="preserve">). </w:t>
      </w:r>
      <w:r w:rsidR="009E175B" w:rsidRPr="00B3061D">
        <w:rPr>
          <w:rStyle w:val="FootnoteReference"/>
          <w:rFonts w:asciiTheme="minorHAnsi" w:hAnsiTheme="minorHAnsi"/>
          <w:szCs w:val="22"/>
        </w:rPr>
        <w:footnoteReference w:id="65"/>
      </w:r>
    </w:p>
    <w:p w14:paraId="3B7C8223" w14:textId="77777777" w:rsidR="0087712B" w:rsidRPr="00B3061D" w:rsidRDefault="0087712B" w:rsidP="00B3061D">
      <w:pPr>
        <w:spacing w:after="0" w:line="240" w:lineRule="auto"/>
        <w:rPr>
          <w:lang w:val="en-GB"/>
        </w:rPr>
      </w:pPr>
    </w:p>
    <w:p w14:paraId="395E1642" w14:textId="09EF08BC" w:rsidR="00037A75" w:rsidRPr="00B3061D" w:rsidRDefault="00037A75" w:rsidP="00244F6A">
      <w:pPr>
        <w:spacing w:after="0" w:line="240" w:lineRule="auto"/>
        <w:rPr>
          <w:color w:val="0070C0"/>
          <w:lang w:val="en-GB"/>
        </w:rPr>
      </w:pPr>
      <w:r w:rsidRPr="00B3061D">
        <w:rPr>
          <w:color w:val="0070C0"/>
          <w:lang w:val="en-GB"/>
        </w:rPr>
        <w:t xml:space="preserve">Case study: </w:t>
      </w:r>
      <w:r w:rsidRPr="00B3061D">
        <w:rPr>
          <w:rFonts w:cs="Arial"/>
          <w:color w:val="0070C0"/>
          <w:lang w:val="en-GB"/>
        </w:rPr>
        <w:t>UNU-TKI and the IPCC collaboration</w:t>
      </w:r>
    </w:p>
    <w:p w14:paraId="4D781486" w14:textId="09681DF1" w:rsidR="00037A75" w:rsidRPr="00B3061D" w:rsidRDefault="00037A75" w:rsidP="0002241D">
      <w:pPr>
        <w:spacing w:after="0" w:line="240" w:lineRule="auto"/>
        <w:ind w:left="708"/>
        <w:rPr>
          <w:rFonts w:eastAsia="Times New Roman" w:cs="Arial"/>
          <w:color w:val="000000"/>
          <w:lang w:val="en-GB" w:eastAsia="nl-NL"/>
        </w:rPr>
      </w:pPr>
      <w:r w:rsidRPr="00B3061D">
        <w:rPr>
          <w:rFonts w:eastAsia="Times New Roman" w:cs="Arial"/>
          <w:color w:val="000000"/>
          <w:lang w:val="en-GB" w:eastAsia="nl-NL"/>
        </w:rPr>
        <w:t>A recent article by the UNU describes how</w:t>
      </w:r>
      <w:r w:rsidR="0002241D">
        <w:rPr>
          <w:rFonts w:eastAsia="Times New Roman" w:cs="Arial"/>
          <w:color w:val="000000"/>
          <w:lang w:val="en-GB" w:eastAsia="nl-NL"/>
        </w:rPr>
        <w:t xml:space="preserve"> -</w:t>
      </w:r>
      <w:r w:rsidRPr="00B3061D">
        <w:rPr>
          <w:rFonts w:eastAsia="Times New Roman" w:cs="Arial"/>
          <w:color w:val="000000"/>
          <w:lang w:val="en-GB" w:eastAsia="nl-NL"/>
        </w:rPr>
        <w:t xml:space="preserve"> through an initiative on IPCC-UNU cooperation</w:t>
      </w:r>
      <w:r w:rsidR="0002241D">
        <w:rPr>
          <w:rFonts w:eastAsia="Times New Roman" w:cs="Arial"/>
          <w:color w:val="000000"/>
          <w:lang w:val="en-GB" w:eastAsia="nl-NL"/>
        </w:rPr>
        <w:t xml:space="preserve"> -</w:t>
      </w:r>
      <w:r w:rsidRPr="00B3061D">
        <w:rPr>
          <w:rFonts w:eastAsia="Times New Roman" w:cs="Arial"/>
          <w:color w:val="000000"/>
          <w:lang w:val="en-GB" w:eastAsia="nl-NL"/>
        </w:rPr>
        <w:t xml:space="preserve"> indigenous knowledge holders and scientists are beginning to establish novel collaborative arrangements that are generating new knowledge that would not be created through the efforts of either group alone.</w:t>
      </w:r>
      <w:r w:rsidR="00E14314" w:rsidRPr="00B3061D">
        <w:rPr>
          <w:rStyle w:val="FootnoteReference"/>
          <w:rFonts w:eastAsia="Times New Roman" w:cs="Arial"/>
          <w:color w:val="000000"/>
          <w:lang w:val="en-GB" w:eastAsia="nl-NL"/>
        </w:rPr>
        <w:footnoteReference w:id="66"/>
      </w:r>
    </w:p>
    <w:p w14:paraId="01CBDCDD" w14:textId="77777777" w:rsidR="00E14314" w:rsidRPr="00B3061D" w:rsidRDefault="00E14314" w:rsidP="0002241D">
      <w:pPr>
        <w:pStyle w:val="NormalWeb"/>
        <w:spacing w:before="0" w:beforeAutospacing="0" w:after="0" w:afterAutospacing="0"/>
        <w:ind w:left="708"/>
        <w:rPr>
          <w:rFonts w:asciiTheme="minorHAnsi" w:hAnsiTheme="minorHAnsi" w:cs="Arial"/>
          <w:sz w:val="22"/>
          <w:szCs w:val="22"/>
          <w:lang w:val="en-GB"/>
        </w:rPr>
      </w:pPr>
    </w:p>
    <w:p w14:paraId="00F6D2AC" w14:textId="54C864FB" w:rsidR="00037A75" w:rsidRPr="00B3061D" w:rsidRDefault="00E14314" w:rsidP="0002241D">
      <w:pPr>
        <w:pStyle w:val="NormalWeb"/>
        <w:spacing w:before="0" w:beforeAutospacing="0" w:after="0" w:afterAutospacing="0"/>
        <w:ind w:left="708"/>
        <w:rPr>
          <w:rFonts w:asciiTheme="minorHAnsi" w:hAnsiTheme="minorHAnsi" w:cs="Arial"/>
          <w:sz w:val="22"/>
          <w:szCs w:val="22"/>
          <w:lang w:val="en-GB"/>
        </w:rPr>
      </w:pPr>
      <w:r w:rsidRPr="00B3061D">
        <w:rPr>
          <w:rFonts w:asciiTheme="minorHAnsi" w:hAnsiTheme="minorHAnsi" w:cs="Arial"/>
          <w:sz w:val="22"/>
          <w:szCs w:val="22"/>
          <w:lang w:val="en-GB"/>
        </w:rPr>
        <w:t>“O</w:t>
      </w:r>
      <w:r w:rsidR="00037A75" w:rsidRPr="00B3061D">
        <w:rPr>
          <w:rFonts w:asciiTheme="minorHAnsi" w:hAnsiTheme="minorHAnsi" w:cs="Arial"/>
          <w:sz w:val="22"/>
          <w:szCs w:val="22"/>
          <w:lang w:val="en-GB"/>
        </w:rPr>
        <w:t xml:space="preserve">ne significant manifestation of the marginalization of indigenous peoples from the climate change policy and decision-making is the paucity of references in the global climate change discourse to the existing traditional knowledge on climate change. Such international discourse has often failed to consider the valuable insights on direct and indirect impacts, as well as mitigation and adaptation approaches, held by indigenous peoples worldwide. This is particularly evident in the </w:t>
      </w:r>
      <w:r w:rsidR="006F5484">
        <w:fldChar w:fldCharType="begin"/>
      </w:r>
      <w:r w:rsidR="006F5484">
        <w:instrText xml:space="preserve"> HYPERLINK "http://www.ipcc.ch/index.htm" \t "_blank" </w:instrText>
      </w:r>
      <w:r w:rsidR="006F5484">
        <w:fldChar w:fldCharType="separate"/>
      </w:r>
      <w:r w:rsidR="00037A75" w:rsidRPr="00B3061D">
        <w:rPr>
          <w:rStyle w:val="Hyperlink"/>
          <w:rFonts w:asciiTheme="minorHAnsi" w:hAnsiTheme="minorHAnsi" w:cs="Arial"/>
          <w:sz w:val="22"/>
          <w:szCs w:val="22"/>
          <w:lang w:val="en-GB"/>
        </w:rPr>
        <w:t>Intergovernmental Panel on Climate Change (IPPC)</w:t>
      </w:r>
      <w:r w:rsidR="006F5484">
        <w:rPr>
          <w:rStyle w:val="Hyperlink"/>
          <w:rFonts w:asciiTheme="minorHAnsi" w:hAnsiTheme="minorHAnsi" w:cs="Arial"/>
          <w:sz w:val="22"/>
          <w:szCs w:val="22"/>
          <w:lang w:val="en-GB"/>
        </w:rPr>
        <w:fldChar w:fldCharType="end"/>
      </w:r>
      <w:r w:rsidR="00037A75" w:rsidRPr="00B3061D">
        <w:rPr>
          <w:rFonts w:asciiTheme="minorHAnsi" w:hAnsiTheme="minorHAnsi" w:cs="Arial"/>
          <w:sz w:val="22"/>
          <w:szCs w:val="22"/>
          <w:lang w:val="en-GB"/>
        </w:rPr>
        <w:t xml:space="preserve"> Assessment Reports released every few years.</w:t>
      </w:r>
    </w:p>
    <w:p w14:paraId="59323800" w14:textId="77777777" w:rsidR="00A95C54" w:rsidRDefault="00A95C54" w:rsidP="0002241D">
      <w:pPr>
        <w:pStyle w:val="NormalWeb"/>
        <w:spacing w:before="0" w:beforeAutospacing="0" w:after="0" w:afterAutospacing="0"/>
        <w:ind w:left="708"/>
        <w:rPr>
          <w:rFonts w:asciiTheme="minorHAnsi" w:hAnsiTheme="minorHAnsi" w:cs="Arial"/>
          <w:sz w:val="22"/>
          <w:szCs w:val="22"/>
          <w:lang w:val="en-GB"/>
        </w:rPr>
      </w:pPr>
    </w:p>
    <w:p w14:paraId="17FCC337" w14:textId="77777777" w:rsidR="00037A75" w:rsidRPr="00B3061D" w:rsidRDefault="00037A75" w:rsidP="0002241D">
      <w:pPr>
        <w:pStyle w:val="NormalWeb"/>
        <w:spacing w:before="0" w:beforeAutospacing="0" w:after="0" w:afterAutospacing="0"/>
        <w:ind w:left="708"/>
        <w:rPr>
          <w:rFonts w:asciiTheme="minorHAnsi" w:hAnsiTheme="minorHAnsi" w:cs="Arial"/>
          <w:sz w:val="22"/>
          <w:szCs w:val="22"/>
          <w:lang w:val="en-GB"/>
        </w:rPr>
      </w:pPr>
      <w:r w:rsidRPr="00B3061D">
        <w:rPr>
          <w:rFonts w:asciiTheme="minorHAnsi" w:hAnsiTheme="minorHAnsi" w:cs="Arial"/>
          <w:sz w:val="22"/>
          <w:szCs w:val="22"/>
          <w:lang w:val="en-GB"/>
        </w:rPr>
        <w:t>The most authoritative and influential reference on climate change in the world, the IPCC Assessment Reports guide governments, policy- and decision-making communities, and non-governmental organizations in planning and implementing their actions. The last IPCC Assessment (</w:t>
      </w:r>
      <w:r w:rsidR="006F5484">
        <w:fldChar w:fldCharType="begin"/>
      </w:r>
      <w:r w:rsidR="006F5484">
        <w:instrText xml:space="preserve"> HYPERLINK "http://www.ipcc.ch/publications_and_data/publications</w:instrText>
      </w:r>
      <w:r w:rsidR="006F5484">
        <w:instrText xml:space="preserve">_and_data_reports.shtml" \t "_blank" </w:instrText>
      </w:r>
      <w:r w:rsidR="006F5484">
        <w:fldChar w:fldCharType="separate"/>
      </w:r>
      <w:r w:rsidRPr="00B3061D">
        <w:rPr>
          <w:rStyle w:val="Hyperlink"/>
          <w:rFonts w:asciiTheme="minorHAnsi" w:hAnsiTheme="minorHAnsi" w:cs="Arial"/>
          <w:sz w:val="22"/>
          <w:szCs w:val="22"/>
          <w:lang w:val="en-GB"/>
        </w:rPr>
        <w:t>AR4, published in 2007</w:t>
      </w:r>
      <w:r w:rsidR="006F5484">
        <w:rPr>
          <w:rStyle w:val="Hyperlink"/>
          <w:rFonts w:asciiTheme="minorHAnsi" w:hAnsiTheme="minorHAnsi" w:cs="Arial"/>
          <w:sz w:val="22"/>
          <w:szCs w:val="22"/>
          <w:lang w:val="en-GB"/>
        </w:rPr>
        <w:fldChar w:fldCharType="end"/>
      </w:r>
      <w:r w:rsidRPr="00B3061D">
        <w:rPr>
          <w:rFonts w:asciiTheme="minorHAnsi" w:hAnsiTheme="minorHAnsi" w:cs="Arial"/>
          <w:sz w:val="22"/>
          <w:szCs w:val="22"/>
          <w:lang w:val="en-GB"/>
        </w:rPr>
        <w:t>) noted that indigenous knowledge is “an invaluable basis for developing adaptation and natural resource management strategies in response to environmental and other forms of change”.</w:t>
      </w:r>
    </w:p>
    <w:p w14:paraId="04E4BDC4" w14:textId="77777777" w:rsidR="00E14314" w:rsidRPr="00B3061D" w:rsidRDefault="00E14314" w:rsidP="0002241D">
      <w:pPr>
        <w:pStyle w:val="NormalWeb"/>
        <w:spacing w:before="0" w:beforeAutospacing="0" w:after="0" w:afterAutospacing="0"/>
        <w:ind w:left="708"/>
        <w:rPr>
          <w:rFonts w:asciiTheme="minorHAnsi" w:hAnsiTheme="minorHAnsi" w:cs="Arial"/>
          <w:sz w:val="22"/>
          <w:szCs w:val="22"/>
          <w:lang w:val="en-GB"/>
        </w:rPr>
      </w:pPr>
    </w:p>
    <w:p w14:paraId="7BC0EF9D" w14:textId="769B4AB6" w:rsidR="00037A75" w:rsidRPr="00B3061D" w:rsidRDefault="00037A75" w:rsidP="0002241D">
      <w:pPr>
        <w:pStyle w:val="NormalWeb"/>
        <w:spacing w:before="0" w:beforeAutospacing="0" w:after="0" w:afterAutospacing="0"/>
        <w:ind w:left="708"/>
        <w:rPr>
          <w:rFonts w:asciiTheme="minorHAnsi" w:hAnsiTheme="minorHAnsi" w:cs="Arial"/>
          <w:sz w:val="22"/>
          <w:szCs w:val="22"/>
          <w:lang w:val="en-GB"/>
        </w:rPr>
      </w:pPr>
      <w:r w:rsidRPr="00B3061D">
        <w:rPr>
          <w:rFonts w:asciiTheme="minorHAnsi" w:hAnsiTheme="minorHAnsi" w:cs="Arial"/>
          <w:sz w:val="22"/>
          <w:szCs w:val="22"/>
          <w:lang w:val="en-GB"/>
        </w:rPr>
        <w:t>This was reaffirmed at the 32nd Session of the IPCC in 2010: “indigenous or traditional knowledge may prove useful for understanding the potential of certain adaptation strategies that are cost-effective, participatory and sustainable”.</w:t>
      </w:r>
      <w:r w:rsidR="00A95C54">
        <w:rPr>
          <w:rFonts w:asciiTheme="minorHAnsi" w:hAnsiTheme="minorHAnsi" w:cs="Arial"/>
          <w:sz w:val="22"/>
          <w:szCs w:val="22"/>
          <w:lang w:val="en-GB"/>
        </w:rPr>
        <w:t xml:space="preserve"> </w:t>
      </w:r>
      <w:r w:rsidRPr="00B3061D">
        <w:rPr>
          <w:rFonts w:asciiTheme="minorHAnsi" w:hAnsiTheme="minorHAnsi" w:cs="Arial"/>
          <w:sz w:val="22"/>
          <w:szCs w:val="22"/>
          <w:lang w:val="en-GB"/>
        </w:rPr>
        <w:t>Previous IPCC Assessments, however, were unable to access this type of information because, for the most part, traditional knowledge either appears in grey literature outside of peer-reviewed academic forums, or remains in oral form, thereby falling outside the scope of IPCC process.</w:t>
      </w:r>
    </w:p>
    <w:p w14:paraId="710398F8" w14:textId="77777777" w:rsidR="00E14314" w:rsidRPr="00B3061D" w:rsidRDefault="00E14314" w:rsidP="0002241D">
      <w:pPr>
        <w:pStyle w:val="NormalWeb"/>
        <w:spacing w:before="0" w:beforeAutospacing="0" w:after="0" w:afterAutospacing="0"/>
        <w:ind w:left="708"/>
        <w:rPr>
          <w:rFonts w:asciiTheme="minorHAnsi" w:hAnsiTheme="minorHAnsi" w:cs="Arial"/>
          <w:sz w:val="22"/>
          <w:szCs w:val="22"/>
          <w:lang w:val="en-GB"/>
        </w:rPr>
      </w:pPr>
    </w:p>
    <w:p w14:paraId="4F39C925" w14:textId="4BF5F2C9" w:rsidR="00037A75" w:rsidRPr="00B3061D" w:rsidRDefault="00037A75" w:rsidP="0002241D">
      <w:pPr>
        <w:pStyle w:val="NormalWeb"/>
        <w:spacing w:before="0" w:beforeAutospacing="0" w:after="0" w:afterAutospacing="0"/>
        <w:ind w:left="708"/>
        <w:rPr>
          <w:rFonts w:asciiTheme="minorHAnsi" w:hAnsiTheme="minorHAnsi" w:cs="Arial"/>
          <w:sz w:val="22"/>
          <w:szCs w:val="22"/>
          <w:lang w:val="en-GB"/>
        </w:rPr>
      </w:pPr>
      <w:r w:rsidRPr="00B3061D">
        <w:rPr>
          <w:rFonts w:asciiTheme="minorHAnsi" w:hAnsiTheme="minorHAnsi" w:cs="Arial"/>
          <w:sz w:val="22"/>
          <w:szCs w:val="22"/>
          <w:lang w:val="en-GB"/>
        </w:rPr>
        <w:t xml:space="preserve">To address gaps in available information on traditional knowledge (TK) and climate change adaptation and mitigation, and to promote respect for TK and the role of indigenous peoples in policy development, the </w:t>
      </w:r>
      <w:r w:rsidR="006F5484">
        <w:fldChar w:fldCharType="begin"/>
      </w:r>
      <w:r w:rsidR="006F5484">
        <w:instrText xml:space="preserve"> HYPERLINK "http://www.unutki.org/" \t "_bl</w:instrText>
      </w:r>
      <w:r w:rsidR="006F5484">
        <w:instrText xml:space="preserve">ank" </w:instrText>
      </w:r>
      <w:r w:rsidR="006F5484">
        <w:fldChar w:fldCharType="separate"/>
      </w:r>
      <w:r w:rsidRPr="00B3061D">
        <w:rPr>
          <w:rStyle w:val="Hyperlink"/>
          <w:rFonts w:asciiTheme="minorHAnsi" w:hAnsiTheme="minorHAnsi" w:cs="Arial"/>
          <w:sz w:val="22"/>
          <w:szCs w:val="22"/>
          <w:lang w:val="en-GB"/>
        </w:rPr>
        <w:t>United Nations University’s Traditional Knowledge Initiative (UNU-TKI)</w:t>
      </w:r>
      <w:r w:rsidR="006F5484">
        <w:rPr>
          <w:rStyle w:val="Hyperlink"/>
          <w:rFonts w:asciiTheme="minorHAnsi" w:hAnsiTheme="minorHAnsi" w:cs="Arial"/>
          <w:sz w:val="22"/>
          <w:szCs w:val="22"/>
          <w:lang w:val="en-GB"/>
        </w:rPr>
        <w:fldChar w:fldCharType="end"/>
      </w:r>
      <w:r w:rsidRPr="00B3061D">
        <w:rPr>
          <w:rFonts w:asciiTheme="minorHAnsi" w:hAnsiTheme="minorHAnsi" w:cs="Arial"/>
          <w:sz w:val="22"/>
          <w:szCs w:val="22"/>
          <w:lang w:val="en-GB"/>
        </w:rPr>
        <w:t xml:space="preserve"> and the IPCC have partnered. Building on UNU-TKI’s previous work, such as the book </w:t>
      </w:r>
      <w:r w:rsidR="006F5484">
        <w:fldChar w:fldCharType="begin"/>
      </w:r>
      <w:r w:rsidR="006F5484">
        <w:instrText xml:space="preserve"> HYPERLINK "http://www.unutki.org/news.php?news_id=92&amp;doc_id=101" \t "_blank" </w:instrText>
      </w:r>
      <w:r w:rsidR="006F5484">
        <w:fldChar w:fldCharType="separate"/>
      </w:r>
      <w:r w:rsidRPr="00B3061D">
        <w:rPr>
          <w:rStyle w:val="Hyperlink"/>
          <w:rFonts w:asciiTheme="minorHAnsi" w:hAnsiTheme="minorHAnsi" w:cs="Arial"/>
          <w:i/>
          <w:iCs/>
          <w:sz w:val="22"/>
          <w:szCs w:val="22"/>
          <w:lang w:val="en-GB"/>
        </w:rPr>
        <w:t>Advance Guard</w:t>
      </w:r>
      <w:r w:rsidR="006F5484">
        <w:rPr>
          <w:rStyle w:val="Hyperlink"/>
          <w:rFonts w:asciiTheme="minorHAnsi" w:hAnsiTheme="minorHAnsi" w:cs="Arial"/>
          <w:i/>
          <w:iCs/>
          <w:sz w:val="22"/>
          <w:szCs w:val="22"/>
          <w:lang w:val="en-GB"/>
        </w:rPr>
        <w:fldChar w:fldCharType="end"/>
      </w:r>
      <w:r w:rsidRPr="00B3061D">
        <w:rPr>
          <w:rFonts w:asciiTheme="minorHAnsi" w:hAnsiTheme="minorHAnsi" w:cs="Arial"/>
          <w:sz w:val="22"/>
          <w:szCs w:val="22"/>
          <w:lang w:val="en-GB"/>
        </w:rPr>
        <w:t>, UNU-TKI and the IPCC have been working to organize a series of workshops to ensure that the experience of indigenous and traditional peoples of climate change impacts and their adaptation and mitigation strategies are fully integrated in the next IPCC Assessment Report (AR5, to be published in 2014) and are widely available to the global community</w:t>
      </w:r>
      <w:r w:rsidR="00E14314" w:rsidRPr="00B3061D">
        <w:rPr>
          <w:rFonts w:asciiTheme="minorHAnsi" w:hAnsiTheme="minorHAnsi" w:cs="Arial"/>
          <w:sz w:val="22"/>
          <w:szCs w:val="22"/>
          <w:lang w:val="en-GB"/>
        </w:rPr>
        <w:t>”</w:t>
      </w:r>
      <w:r w:rsidRPr="00B3061D">
        <w:rPr>
          <w:rFonts w:asciiTheme="minorHAnsi" w:hAnsiTheme="minorHAnsi" w:cs="Arial"/>
          <w:sz w:val="22"/>
          <w:szCs w:val="22"/>
          <w:lang w:val="en-GB"/>
        </w:rPr>
        <w:t>.</w:t>
      </w:r>
    </w:p>
    <w:p w14:paraId="69B1FE08" w14:textId="77777777" w:rsidR="0087712B" w:rsidRPr="00B3061D" w:rsidRDefault="0087712B" w:rsidP="00B3061D">
      <w:pPr>
        <w:spacing w:after="0" w:line="240" w:lineRule="auto"/>
        <w:rPr>
          <w:lang w:val="en-GB"/>
        </w:rPr>
      </w:pPr>
    </w:p>
    <w:p w14:paraId="639BC2E2" w14:textId="77777777" w:rsidR="00CD3ED3" w:rsidRPr="00B3061D" w:rsidRDefault="00CD3ED3" w:rsidP="00B3061D">
      <w:pPr>
        <w:pStyle w:val="ListParagraph"/>
        <w:ind w:left="0"/>
        <w:rPr>
          <w:sz w:val="22"/>
          <w:szCs w:val="22"/>
        </w:rPr>
      </w:pPr>
    </w:p>
    <w:p w14:paraId="3CD7D335" w14:textId="7C84DAE2" w:rsidR="00D74446" w:rsidRPr="00B3061D" w:rsidRDefault="00D74446" w:rsidP="00626832">
      <w:pPr>
        <w:pStyle w:val="ListParagraph"/>
        <w:numPr>
          <w:ilvl w:val="1"/>
          <w:numId w:val="3"/>
        </w:numPr>
        <w:ind w:left="0"/>
        <w:rPr>
          <w:sz w:val="22"/>
          <w:szCs w:val="22"/>
          <w:lang w:val="en-GB"/>
        </w:rPr>
      </w:pPr>
      <w:r w:rsidRPr="00B3061D">
        <w:rPr>
          <w:sz w:val="22"/>
          <w:szCs w:val="22"/>
          <w:lang w:val="en-GB"/>
        </w:rPr>
        <w:t xml:space="preserve">National biodiversity planning and reporting </w:t>
      </w:r>
    </w:p>
    <w:p w14:paraId="15F4B066" w14:textId="77777777" w:rsidR="00CA3239" w:rsidRPr="00B3061D" w:rsidRDefault="00CA3239" w:rsidP="00B3061D">
      <w:pPr>
        <w:widowControl w:val="0"/>
        <w:tabs>
          <w:tab w:val="center" w:pos="4320"/>
          <w:tab w:val="right" w:pos="8640"/>
        </w:tabs>
        <w:autoSpaceDE w:val="0"/>
        <w:autoSpaceDN w:val="0"/>
        <w:adjustRightInd w:val="0"/>
        <w:spacing w:after="0" w:line="240" w:lineRule="auto"/>
        <w:rPr>
          <w:lang w:val="en-GB"/>
        </w:rPr>
      </w:pPr>
    </w:p>
    <w:p w14:paraId="4B25D7CB" w14:textId="0F79555D" w:rsidR="00CA3239" w:rsidRPr="00B3061D" w:rsidRDefault="00CA3239" w:rsidP="00B3061D">
      <w:pPr>
        <w:widowControl w:val="0"/>
        <w:tabs>
          <w:tab w:val="center" w:pos="4320"/>
          <w:tab w:val="right" w:pos="8640"/>
        </w:tabs>
        <w:autoSpaceDE w:val="0"/>
        <w:autoSpaceDN w:val="0"/>
        <w:adjustRightInd w:val="0"/>
        <w:spacing w:after="0" w:line="240" w:lineRule="auto"/>
        <w:rPr>
          <w:lang w:val="en-GB"/>
        </w:rPr>
      </w:pPr>
      <w:r w:rsidRPr="00B3061D">
        <w:rPr>
          <w:lang w:val="en-GB"/>
        </w:rPr>
        <w:t>While target 17 (on NBSAPs) has 6 interlinked components, GBO</w:t>
      </w:r>
      <w:r w:rsidR="00D35725">
        <w:rPr>
          <w:lang w:val="en-GB"/>
        </w:rPr>
        <w:t>4</w:t>
      </w:r>
      <w:r w:rsidRPr="00B3061D">
        <w:rPr>
          <w:lang w:val="en-GB"/>
        </w:rPr>
        <w:t xml:space="preserve"> </w:t>
      </w:r>
      <w:r w:rsidR="00D35725">
        <w:rPr>
          <w:lang w:val="en-GB"/>
        </w:rPr>
        <w:t xml:space="preserve">(advance draft) </w:t>
      </w:r>
      <w:r w:rsidRPr="00B3061D">
        <w:rPr>
          <w:lang w:val="en-GB"/>
        </w:rPr>
        <w:t>report f</w:t>
      </w:r>
      <w:r w:rsidR="00D35725">
        <w:rPr>
          <w:lang w:val="en-GB"/>
        </w:rPr>
        <w:t>ocuses on only three elements: s</w:t>
      </w:r>
      <w:r w:rsidRPr="00B3061D">
        <w:rPr>
          <w:lang w:val="en-GB"/>
        </w:rPr>
        <w:t xml:space="preserve">ubmission of NBSAPs to Secretariat by (end of) 2015; NBSAPs adopted as effective policy instrument; and NBSAPs are being implemented. It is important that more weight is placed on the requirement to consult with a full range of non-governmental stakeholders, including ILCs, in all stages of the NBSAP process. </w:t>
      </w:r>
    </w:p>
    <w:p w14:paraId="7DC1BDCD" w14:textId="77777777" w:rsidR="00D35725" w:rsidRDefault="00D35725" w:rsidP="00B3061D">
      <w:pPr>
        <w:spacing w:after="0" w:line="240" w:lineRule="auto"/>
        <w:rPr>
          <w:lang w:val="en-GB"/>
        </w:rPr>
      </w:pPr>
    </w:p>
    <w:p w14:paraId="3BCAF6E1" w14:textId="35BEF644" w:rsidR="007133A2" w:rsidRPr="00B3061D" w:rsidRDefault="00CA3239" w:rsidP="00B3061D">
      <w:pPr>
        <w:spacing w:after="0" w:line="240" w:lineRule="auto"/>
        <w:rPr>
          <w:lang w:val="en-GB"/>
        </w:rPr>
      </w:pPr>
      <w:r w:rsidRPr="00B3061D">
        <w:rPr>
          <w:lang w:val="en-GB"/>
        </w:rPr>
        <w:t xml:space="preserve">Through enhanced </w:t>
      </w:r>
      <w:r w:rsidR="00D74446" w:rsidRPr="00B3061D">
        <w:rPr>
          <w:lang w:val="en-GB"/>
        </w:rPr>
        <w:t>participatory processes</w:t>
      </w:r>
      <w:r w:rsidRPr="00B3061D">
        <w:rPr>
          <w:lang w:val="en-GB"/>
        </w:rPr>
        <w:t xml:space="preserve">, solutions and advances by indigenous peoples as described above, as well as recommendations and concerns, can be inputted into </w:t>
      </w:r>
      <w:r w:rsidR="005022D9" w:rsidRPr="00B3061D">
        <w:rPr>
          <w:lang w:val="en-GB"/>
        </w:rPr>
        <w:t>NBSAP process and national indicators systems</w:t>
      </w:r>
      <w:r w:rsidR="00894C09" w:rsidRPr="00B3061D">
        <w:rPr>
          <w:lang w:val="en-GB"/>
        </w:rPr>
        <w:t>. N</w:t>
      </w:r>
      <w:r w:rsidR="00BD5AAA" w:rsidRPr="00B3061D">
        <w:rPr>
          <w:lang w:val="en-GB"/>
        </w:rPr>
        <w:t>ational reporting</w:t>
      </w:r>
      <w:r w:rsidR="00894C09" w:rsidRPr="00B3061D">
        <w:rPr>
          <w:lang w:val="en-GB"/>
        </w:rPr>
        <w:t xml:space="preserve"> will also benefit from using diverse sources of knowledge, including </w:t>
      </w:r>
      <w:r w:rsidR="00D74446" w:rsidRPr="00B3061D">
        <w:rPr>
          <w:lang w:val="en-GB"/>
        </w:rPr>
        <w:t>community-generated data</w:t>
      </w:r>
      <w:r w:rsidR="00894C09" w:rsidRPr="00B3061D">
        <w:rPr>
          <w:lang w:val="en-GB"/>
        </w:rPr>
        <w:t xml:space="preserve"> and monitoring</w:t>
      </w:r>
      <w:r w:rsidR="00D74446" w:rsidRPr="00B3061D">
        <w:rPr>
          <w:lang w:val="en-GB"/>
        </w:rPr>
        <w:t xml:space="preserve">. </w:t>
      </w:r>
    </w:p>
    <w:p w14:paraId="746DE875" w14:textId="77777777" w:rsidR="007133A2" w:rsidRPr="00B3061D" w:rsidRDefault="007133A2" w:rsidP="00B3061D">
      <w:pPr>
        <w:spacing w:after="0" w:line="240" w:lineRule="auto"/>
        <w:rPr>
          <w:lang w:val="en-GB"/>
        </w:rPr>
      </w:pPr>
    </w:p>
    <w:p w14:paraId="377BBEB9" w14:textId="69A34EC6" w:rsidR="00CF7A31" w:rsidRPr="00C83A4B" w:rsidRDefault="00C83A4B" w:rsidP="00C83A4B">
      <w:pPr>
        <w:pStyle w:val="ListParagraph"/>
        <w:numPr>
          <w:ilvl w:val="0"/>
          <w:numId w:val="3"/>
        </w:numPr>
        <w:pBdr>
          <w:bottom w:val="single" w:sz="4" w:space="1" w:color="auto"/>
        </w:pBdr>
        <w:ind w:left="0"/>
        <w:rPr>
          <w:b/>
          <w:sz w:val="22"/>
          <w:szCs w:val="22"/>
          <w:lang w:val="en-GB"/>
        </w:rPr>
      </w:pPr>
      <w:r w:rsidRPr="00B3061D">
        <w:rPr>
          <w:sz w:val="22"/>
          <w:szCs w:val="22"/>
          <w:lang w:val="en-GB"/>
        </w:rPr>
        <w:t>Recommendations</w:t>
      </w:r>
      <w:r>
        <w:rPr>
          <w:sz w:val="22"/>
          <w:szCs w:val="22"/>
          <w:lang w:val="en-GB"/>
        </w:rPr>
        <w:t>:</w:t>
      </w:r>
      <w:r>
        <w:rPr>
          <w:b/>
          <w:sz w:val="22"/>
          <w:szCs w:val="22"/>
          <w:lang w:val="en-GB"/>
        </w:rPr>
        <w:t xml:space="preserve"> M</w:t>
      </w:r>
      <w:r w:rsidRPr="00C83A4B">
        <w:rPr>
          <w:sz w:val="22"/>
          <w:szCs w:val="22"/>
          <w:lang w:val="en-GB"/>
        </w:rPr>
        <w:t>ov</w:t>
      </w:r>
      <w:r>
        <w:rPr>
          <w:sz w:val="22"/>
          <w:szCs w:val="22"/>
          <w:lang w:val="en-GB"/>
        </w:rPr>
        <w:t>ing</w:t>
      </w:r>
      <w:r w:rsidRPr="00C83A4B">
        <w:rPr>
          <w:sz w:val="22"/>
          <w:szCs w:val="22"/>
          <w:lang w:val="en-GB"/>
        </w:rPr>
        <w:t xml:space="preserve"> towards achievement of the Aichi Targets through </w:t>
      </w:r>
      <w:r w:rsidR="008C3420">
        <w:rPr>
          <w:sz w:val="22"/>
          <w:szCs w:val="22"/>
          <w:lang w:val="en-GB"/>
        </w:rPr>
        <w:t>their interaction with Target 18</w:t>
      </w:r>
      <w:r w:rsidRPr="00C83A4B">
        <w:rPr>
          <w:sz w:val="22"/>
          <w:szCs w:val="22"/>
          <w:lang w:val="en-GB"/>
        </w:rPr>
        <w:t xml:space="preserve"> </w:t>
      </w:r>
    </w:p>
    <w:p w14:paraId="67A5D19A" w14:textId="77777777" w:rsidR="008A398F" w:rsidRPr="00B3061D" w:rsidRDefault="008A398F" w:rsidP="00B3061D">
      <w:pPr>
        <w:pStyle w:val="ListParagraph"/>
        <w:ind w:left="0"/>
        <w:rPr>
          <w:sz w:val="22"/>
          <w:szCs w:val="22"/>
          <w:lang w:val="en-GB"/>
        </w:rPr>
      </w:pPr>
    </w:p>
    <w:p w14:paraId="03C03260" w14:textId="77777777" w:rsidR="00C83A4B" w:rsidRDefault="00C83A4B" w:rsidP="00C83A4B">
      <w:pPr>
        <w:pStyle w:val="ListParagraph"/>
        <w:ind w:left="0"/>
        <w:rPr>
          <w:sz w:val="22"/>
          <w:szCs w:val="22"/>
          <w:lang w:val="en-GB"/>
        </w:rPr>
      </w:pPr>
    </w:p>
    <w:p w14:paraId="057E75C8" w14:textId="56CAFE2F" w:rsidR="00DC13CE" w:rsidRDefault="008C3420" w:rsidP="00C83A4B">
      <w:pPr>
        <w:pStyle w:val="ListParagraph"/>
        <w:ind w:left="0"/>
        <w:rPr>
          <w:sz w:val="22"/>
          <w:szCs w:val="22"/>
          <w:lang w:val="en-GB"/>
        </w:rPr>
      </w:pPr>
      <w:r>
        <w:rPr>
          <w:sz w:val="22"/>
          <w:szCs w:val="22"/>
          <w:lang w:val="en-GB"/>
        </w:rPr>
        <w:t>The sections above showed how TK and CSU can and should play a central role in advancing on many other Aichi Targets, as well as in biodiversity planning, monitoring, and reporting. It also showed how (lack of) progress on important targ</w:t>
      </w:r>
      <w:r w:rsidR="0061704B">
        <w:rPr>
          <w:sz w:val="22"/>
          <w:szCs w:val="22"/>
          <w:lang w:val="en-GB"/>
        </w:rPr>
        <w:t xml:space="preserve">ets </w:t>
      </w:r>
      <w:proofErr w:type="gramStart"/>
      <w:r w:rsidR="0061704B">
        <w:rPr>
          <w:sz w:val="22"/>
          <w:szCs w:val="22"/>
          <w:lang w:val="en-GB"/>
        </w:rPr>
        <w:t>can</w:t>
      </w:r>
      <w:proofErr w:type="gramEnd"/>
      <w:r w:rsidR="0061704B">
        <w:rPr>
          <w:sz w:val="22"/>
          <w:szCs w:val="22"/>
          <w:lang w:val="en-GB"/>
        </w:rPr>
        <w:t xml:space="preserve"> impact on Target 18 by a</w:t>
      </w:r>
      <w:r>
        <w:rPr>
          <w:sz w:val="22"/>
          <w:szCs w:val="22"/>
          <w:lang w:val="en-GB"/>
        </w:rPr>
        <w:t>ffecting indigenous knowledge and management systems.</w:t>
      </w:r>
    </w:p>
    <w:p w14:paraId="45721249" w14:textId="77777777" w:rsidR="00DC13CE" w:rsidRDefault="00DC13CE" w:rsidP="00C83A4B">
      <w:pPr>
        <w:pStyle w:val="ListParagraph"/>
        <w:ind w:left="0"/>
        <w:rPr>
          <w:sz w:val="22"/>
          <w:szCs w:val="22"/>
          <w:lang w:val="en-GB"/>
        </w:rPr>
      </w:pPr>
    </w:p>
    <w:p w14:paraId="70C5525A" w14:textId="24A6B557" w:rsidR="008C3420" w:rsidRDefault="008C3420" w:rsidP="00C83A4B">
      <w:pPr>
        <w:pStyle w:val="ListParagraph"/>
        <w:ind w:left="0"/>
        <w:rPr>
          <w:sz w:val="22"/>
          <w:szCs w:val="22"/>
          <w:lang w:val="en-GB"/>
        </w:rPr>
      </w:pPr>
      <w:r>
        <w:rPr>
          <w:sz w:val="22"/>
          <w:szCs w:val="22"/>
          <w:lang w:val="en-GB"/>
        </w:rPr>
        <w:t xml:space="preserve">Below are a number of </w:t>
      </w:r>
      <w:r w:rsidR="00DC13CE">
        <w:rPr>
          <w:sz w:val="22"/>
          <w:szCs w:val="22"/>
          <w:lang w:val="en-GB"/>
        </w:rPr>
        <w:t xml:space="preserve">concrete </w:t>
      </w:r>
      <w:r>
        <w:rPr>
          <w:sz w:val="22"/>
          <w:szCs w:val="22"/>
          <w:lang w:val="en-GB"/>
        </w:rPr>
        <w:t xml:space="preserve">recommendations to promote the </w:t>
      </w:r>
      <w:proofErr w:type="gramStart"/>
      <w:r>
        <w:rPr>
          <w:sz w:val="22"/>
          <w:szCs w:val="22"/>
          <w:lang w:val="en-GB"/>
        </w:rPr>
        <w:t>cross-cutting</w:t>
      </w:r>
      <w:proofErr w:type="gramEnd"/>
      <w:r>
        <w:rPr>
          <w:sz w:val="22"/>
          <w:szCs w:val="22"/>
          <w:lang w:val="en-GB"/>
        </w:rPr>
        <w:t xml:space="preserve"> nature of Target 18 in the implementation of the strategic plan for biodiversity towards 2020. </w:t>
      </w:r>
    </w:p>
    <w:p w14:paraId="39E3FCAE" w14:textId="77777777" w:rsidR="00811545" w:rsidRDefault="00811545" w:rsidP="00C83A4B">
      <w:pPr>
        <w:pStyle w:val="ListParagraph"/>
        <w:ind w:left="0"/>
        <w:rPr>
          <w:sz w:val="22"/>
          <w:szCs w:val="22"/>
          <w:lang w:val="en-GB"/>
        </w:rPr>
      </w:pPr>
    </w:p>
    <w:p w14:paraId="7A6167E3" w14:textId="49673F6D" w:rsidR="00811545" w:rsidRDefault="00811545" w:rsidP="00C83A4B">
      <w:pPr>
        <w:pStyle w:val="ListParagraph"/>
        <w:ind w:left="0"/>
        <w:rPr>
          <w:sz w:val="22"/>
          <w:szCs w:val="22"/>
          <w:lang w:val="en-GB"/>
        </w:rPr>
      </w:pPr>
      <w:r>
        <w:rPr>
          <w:sz w:val="22"/>
          <w:szCs w:val="22"/>
          <w:lang w:val="en-GB"/>
        </w:rPr>
        <w:lastRenderedPageBreak/>
        <w:t xml:space="preserve">Target 1: promote awareness about the importance </w:t>
      </w:r>
      <w:r w:rsidR="0061704B">
        <w:rPr>
          <w:sz w:val="22"/>
          <w:szCs w:val="22"/>
          <w:lang w:val="en-GB"/>
        </w:rPr>
        <w:t>of biodiversity t</w:t>
      </w:r>
      <w:r w:rsidR="00B61633">
        <w:rPr>
          <w:sz w:val="22"/>
          <w:szCs w:val="22"/>
          <w:lang w:val="en-GB"/>
        </w:rPr>
        <w:t>o</w:t>
      </w:r>
      <w:r w:rsidR="0061704B">
        <w:rPr>
          <w:sz w:val="22"/>
          <w:szCs w:val="22"/>
          <w:lang w:val="en-GB"/>
        </w:rPr>
        <w:t xml:space="preserve"> </w:t>
      </w:r>
      <w:r>
        <w:rPr>
          <w:sz w:val="22"/>
          <w:szCs w:val="22"/>
          <w:lang w:val="en-GB"/>
        </w:rPr>
        <w:t>indigenous peoples</w:t>
      </w:r>
      <w:r w:rsidR="0061704B">
        <w:rPr>
          <w:sz w:val="22"/>
          <w:szCs w:val="22"/>
          <w:lang w:val="en-GB"/>
        </w:rPr>
        <w:t xml:space="preserve"> and local communities and their role in sustainable management and conservation, </w:t>
      </w:r>
      <w:r w:rsidR="00A60E37">
        <w:rPr>
          <w:sz w:val="22"/>
          <w:szCs w:val="22"/>
          <w:lang w:val="en-GB"/>
        </w:rPr>
        <w:t xml:space="preserve">and visit the indigenous portal and other CEPA platforms and </w:t>
      </w:r>
      <w:proofErr w:type="gramStart"/>
      <w:r w:rsidR="00A60E37">
        <w:rPr>
          <w:sz w:val="22"/>
          <w:szCs w:val="22"/>
          <w:lang w:val="en-GB"/>
        </w:rPr>
        <w:t>information-sharing</w:t>
      </w:r>
      <w:proofErr w:type="gramEnd"/>
      <w:r w:rsidR="00A60E37">
        <w:rPr>
          <w:sz w:val="22"/>
          <w:szCs w:val="22"/>
          <w:lang w:val="en-GB"/>
        </w:rPr>
        <w:t xml:space="preserve"> by indigenous networks to familiarize with worthwhile effective community-based actions. </w:t>
      </w:r>
    </w:p>
    <w:p w14:paraId="05DB7704" w14:textId="77777777" w:rsidR="00811545" w:rsidRDefault="00811545" w:rsidP="00C83A4B">
      <w:pPr>
        <w:pStyle w:val="ListParagraph"/>
        <w:ind w:left="0"/>
        <w:rPr>
          <w:sz w:val="22"/>
          <w:szCs w:val="22"/>
          <w:lang w:val="en-GB"/>
        </w:rPr>
      </w:pPr>
    </w:p>
    <w:p w14:paraId="4F1CE24A" w14:textId="6F3239B0" w:rsidR="00811545" w:rsidRDefault="00811545" w:rsidP="00C83A4B">
      <w:pPr>
        <w:pStyle w:val="ListParagraph"/>
        <w:ind w:left="0"/>
        <w:rPr>
          <w:sz w:val="22"/>
          <w:szCs w:val="22"/>
          <w:lang w:val="en-GB"/>
        </w:rPr>
      </w:pPr>
      <w:r>
        <w:rPr>
          <w:sz w:val="22"/>
          <w:szCs w:val="22"/>
          <w:lang w:val="en-GB"/>
        </w:rPr>
        <w:t>Target 2:</w:t>
      </w:r>
      <w:r w:rsidR="00A60E37">
        <w:rPr>
          <w:sz w:val="22"/>
          <w:szCs w:val="22"/>
          <w:lang w:val="en-GB"/>
        </w:rPr>
        <w:t xml:space="preserve"> Integrate – through their involvement and with heir consent - indigenous peoples and local </w:t>
      </w:r>
      <w:proofErr w:type="spellStart"/>
      <w:r w:rsidR="00A60E37">
        <w:rPr>
          <w:sz w:val="22"/>
          <w:szCs w:val="22"/>
          <w:lang w:val="en-GB"/>
        </w:rPr>
        <w:t>communties</w:t>
      </w:r>
      <w:proofErr w:type="spellEnd"/>
      <w:r w:rsidR="00A60E37">
        <w:rPr>
          <w:sz w:val="22"/>
          <w:szCs w:val="22"/>
          <w:lang w:val="en-GB"/>
        </w:rPr>
        <w:t xml:space="preserve">’ values and views, knowledge, experiences and concerns in development and poverty reduction strategies and in accounting and reporting systems: CBMIS can be a key tool to realise this. </w:t>
      </w:r>
    </w:p>
    <w:p w14:paraId="22221FB4" w14:textId="77777777" w:rsidR="00811545" w:rsidRDefault="00811545" w:rsidP="00C83A4B">
      <w:pPr>
        <w:pStyle w:val="ListParagraph"/>
        <w:ind w:left="0"/>
        <w:rPr>
          <w:sz w:val="22"/>
          <w:szCs w:val="22"/>
          <w:lang w:val="en-GB"/>
        </w:rPr>
      </w:pPr>
    </w:p>
    <w:p w14:paraId="7E845E83" w14:textId="0A35C9AD" w:rsidR="00811545" w:rsidRDefault="00811545" w:rsidP="00C83A4B">
      <w:pPr>
        <w:pStyle w:val="ListParagraph"/>
        <w:ind w:left="0"/>
        <w:rPr>
          <w:sz w:val="22"/>
          <w:szCs w:val="22"/>
          <w:lang w:val="en-GB"/>
        </w:rPr>
      </w:pPr>
      <w:r>
        <w:rPr>
          <w:sz w:val="22"/>
          <w:szCs w:val="22"/>
          <w:lang w:val="en-GB"/>
        </w:rPr>
        <w:t>Target 3:</w:t>
      </w:r>
      <w:r w:rsidR="00A60E37">
        <w:rPr>
          <w:sz w:val="22"/>
          <w:szCs w:val="22"/>
          <w:lang w:val="en-GB"/>
        </w:rPr>
        <w:t xml:space="preserve"> </w:t>
      </w:r>
      <w:r w:rsidR="00B754FC">
        <w:rPr>
          <w:sz w:val="22"/>
          <w:szCs w:val="22"/>
          <w:lang w:val="en-GB"/>
        </w:rPr>
        <w:t xml:space="preserve">Pay due attention to incentives’ impacts on traditional knowledge and sustainable management systems by indigenous peoples and local </w:t>
      </w:r>
      <w:proofErr w:type="spellStart"/>
      <w:r w:rsidR="00B754FC">
        <w:rPr>
          <w:sz w:val="22"/>
          <w:szCs w:val="22"/>
          <w:lang w:val="en-GB"/>
        </w:rPr>
        <w:t>communites</w:t>
      </w:r>
      <w:proofErr w:type="spellEnd"/>
      <w:r w:rsidR="00B754FC">
        <w:rPr>
          <w:sz w:val="22"/>
          <w:szCs w:val="22"/>
          <w:lang w:val="en-GB"/>
        </w:rPr>
        <w:t xml:space="preserve"> (both negative as positive); community monitoring and data gathering on such impacts on communities and territories are serious sources of information. </w:t>
      </w:r>
    </w:p>
    <w:p w14:paraId="372AB1FD" w14:textId="77777777" w:rsidR="00811545" w:rsidRDefault="00811545" w:rsidP="00C83A4B">
      <w:pPr>
        <w:pStyle w:val="ListParagraph"/>
        <w:ind w:left="0"/>
        <w:rPr>
          <w:sz w:val="22"/>
          <w:szCs w:val="22"/>
          <w:lang w:val="en-GB"/>
        </w:rPr>
      </w:pPr>
    </w:p>
    <w:p w14:paraId="6956EC13" w14:textId="4C86A89F" w:rsidR="00811545" w:rsidRDefault="00811545" w:rsidP="00C83A4B">
      <w:pPr>
        <w:pStyle w:val="ListParagraph"/>
        <w:ind w:left="0"/>
        <w:rPr>
          <w:sz w:val="22"/>
          <w:szCs w:val="22"/>
          <w:lang w:val="en-GB"/>
        </w:rPr>
      </w:pPr>
      <w:r>
        <w:rPr>
          <w:sz w:val="22"/>
          <w:szCs w:val="22"/>
          <w:lang w:val="en-GB"/>
        </w:rPr>
        <w:t xml:space="preserve">Target 4: </w:t>
      </w:r>
      <w:r w:rsidR="00B754FC">
        <w:rPr>
          <w:sz w:val="22"/>
          <w:szCs w:val="22"/>
          <w:lang w:val="en-GB"/>
        </w:rPr>
        <w:t xml:space="preserve">Take community-based plans and actions for sustainable production and consumption into consideration and a source of inspiration for integrated livelihoods and food security strategies. </w:t>
      </w:r>
    </w:p>
    <w:p w14:paraId="648C0C41" w14:textId="77777777" w:rsidR="00D463C5" w:rsidRDefault="00D463C5" w:rsidP="00C83A4B">
      <w:pPr>
        <w:pStyle w:val="ListParagraph"/>
        <w:ind w:left="0"/>
        <w:rPr>
          <w:sz w:val="22"/>
          <w:szCs w:val="22"/>
          <w:lang w:val="en-GB"/>
        </w:rPr>
      </w:pPr>
    </w:p>
    <w:p w14:paraId="5A64BCC6" w14:textId="535BAACD" w:rsidR="00D463C5" w:rsidRDefault="00D463C5" w:rsidP="00C83A4B">
      <w:pPr>
        <w:pStyle w:val="ListParagraph"/>
        <w:ind w:left="0"/>
        <w:rPr>
          <w:sz w:val="22"/>
          <w:szCs w:val="22"/>
          <w:lang w:val="en-GB"/>
        </w:rPr>
      </w:pPr>
      <w:r>
        <w:rPr>
          <w:sz w:val="22"/>
          <w:szCs w:val="22"/>
          <w:lang w:val="en-GB"/>
        </w:rPr>
        <w:t xml:space="preserve">Target 5: Protect natural habitants that are within traditional territories of indigenous peoples and support their initiatives to prevent degradation. </w:t>
      </w:r>
    </w:p>
    <w:p w14:paraId="7EB45FEC" w14:textId="1F711DCD" w:rsidR="00D463C5" w:rsidRDefault="00D463C5" w:rsidP="00C83A4B">
      <w:pPr>
        <w:pStyle w:val="ListParagraph"/>
        <w:ind w:left="0"/>
        <w:rPr>
          <w:sz w:val="22"/>
          <w:szCs w:val="22"/>
          <w:lang w:val="en-GB"/>
        </w:rPr>
      </w:pPr>
      <w:r>
        <w:rPr>
          <w:sz w:val="22"/>
          <w:szCs w:val="22"/>
          <w:lang w:val="en-GB"/>
        </w:rPr>
        <w:t xml:space="preserve">Target 6: </w:t>
      </w:r>
      <w:r w:rsidR="00AC6E4C">
        <w:rPr>
          <w:sz w:val="22"/>
          <w:szCs w:val="22"/>
          <w:lang w:val="en-GB"/>
        </w:rPr>
        <w:t>protect fisheries in indigenous territories and learn from, and support, traditional sustainable fishing methods</w:t>
      </w:r>
    </w:p>
    <w:p w14:paraId="51910FC6" w14:textId="77777777" w:rsidR="00AC6E4C" w:rsidRDefault="00AC6E4C" w:rsidP="00C83A4B">
      <w:pPr>
        <w:pStyle w:val="ListParagraph"/>
        <w:ind w:left="0"/>
        <w:rPr>
          <w:sz w:val="22"/>
          <w:szCs w:val="22"/>
          <w:lang w:val="en-GB"/>
        </w:rPr>
      </w:pPr>
    </w:p>
    <w:p w14:paraId="4516F1A7" w14:textId="1C415B87" w:rsidR="00AC6E4C" w:rsidRDefault="00AC6E4C" w:rsidP="00C83A4B">
      <w:pPr>
        <w:pStyle w:val="ListParagraph"/>
        <w:ind w:left="0"/>
        <w:rPr>
          <w:sz w:val="22"/>
          <w:szCs w:val="22"/>
          <w:lang w:val="en-GB"/>
        </w:rPr>
      </w:pPr>
      <w:r>
        <w:rPr>
          <w:sz w:val="22"/>
          <w:szCs w:val="22"/>
          <w:lang w:val="en-GB"/>
        </w:rPr>
        <w:t xml:space="preserve">Target 7: Protect agriculture, aquaculture, and forest areas of importance to indigenous peoples and local communities and respect and promote community-based management techniques such as rotational farming. </w:t>
      </w:r>
    </w:p>
    <w:p w14:paraId="126104F1" w14:textId="77777777" w:rsidR="00AC6E4C" w:rsidRDefault="00AC6E4C" w:rsidP="00C83A4B">
      <w:pPr>
        <w:pStyle w:val="ListParagraph"/>
        <w:ind w:left="0"/>
        <w:rPr>
          <w:sz w:val="22"/>
          <w:szCs w:val="22"/>
          <w:lang w:val="en-GB"/>
        </w:rPr>
      </w:pPr>
    </w:p>
    <w:p w14:paraId="2F073C30" w14:textId="30463506" w:rsidR="00AC6E4C" w:rsidRDefault="00AC6E4C" w:rsidP="00C83A4B">
      <w:pPr>
        <w:pStyle w:val="ListParagraph"/>
        <w:ind w:left="0"/>
        <w:rPr>
          <w:sz w:val="22"/>
          <w:szCs w:val="22"/>
          <w:lang w:val="en-GB"/>
        </w:rPr>
      </w:pPr>
      <w:r>
        <w:rPr>
          <w:sz w:val="22"/>
          <w:szCs w:val="22"/>
          <w:lang w:val="en-GB"/>
        </w:rPr>
        <w:t xml:space="preserve">Target 8: Avoid pollution of indigenous territories and (with consent) learn from TK to prevent or address pollution problems. </w:t>
      </w:r>
    </w:p>
    <w:p w14:paraId="106CE945" w14:textId="77777777" w:rsidR="00AC6E4C" w:rsidRDefault="00AC6E4C" w:rsidP="00C83A4B">
      <w:pPr>
        <w:pStyle w:val="ListParagraph"/>
        <w:ind w:left="0"/>
        <w:rPr>
          <w:sz w:val="22"/>
          <w:szCs w:val="22"/>
          <w:lang w:val="en-GB"/>
        </w:rPr>
      </w:pPr>
    </w:p>
    <w:p w14:paraId="3D3DB77C" w14:textId="21A13A75" w:rsidR="00AC6E4C" w:rsidRDefault="00AC6E4C" w:rsidP="00C83A4B">
      <w:pPr>
        <w:pStyle w:val="ListParagraph"/>
        <w:ind w:left="0"/>
        <w:rPr>
          <w:sz w:val="22"/>
          <w:szCs w:val="22"/>
          <w:lang w:val="en-GB"/>
        </w:rPr>
      </w:pPr>
      <w:r>
        <w:rPr>
          <w:sz w:val="22"/>
          <w:szCs w:val="22"/>
          <w:lang w:val="en-GB"/>
        </w:rPr>
        <w:t xml:space="preserve">Target 9: Avoid invasive species to spread into indigenous territories and support indigenous monitoring and actions to control and eradicate </w:t>
      </w:r>
      <w:proofErr w:type="spellStart"/>
      <w:r>
        <w:rPr>
          <w:sz w:val="22"/>
          <w:szCs w:val="22"/>
          <w:lang w:val="en-GB"/>
        </w:rPr>
        <w:t>invasives</w:t>
      </w:r>
      <w:proofErr w:type="spellEnd"/>
      <w:r>
        <w:rPr>
          <w:sz w:val="22"/>
          <w:szCs w:val="22"/>
          <w:lang w:val="en-GB"/>
        </w:rPr>
        <w:t xml:space="preserve">. </w:t>
      </w:r>
    </w:p>
    <w:p w14:paraId="414C650F" w14:textId="77777777" w:rsidR="00AC6E4C" w:rsidRDefault="00AC6E4C" w:rsidP="00C83A4B">
      <w:pPr>
        <w:pStyle w:val="ListParagraph"/>
        <w:ind w:left="0"/>
        <w:rPr>
          <w:sz w:val="22"/>
          <w:szCs w:val="22"/>
          <w:lang w:val="en-GB"/>
        </w:rPr>
      </w:pPr>
    </w:p>
    <w:p w14:paraId="2ACDC006" w14:textId="41B8C755" w:rsidR="00AC6E4C" w:rsidRDefault="00AC6E4C" w:rsidP="00C83A4B">
      <w:pPr>
        <w:pStyle w:val="ListParagraph"/>
        <w:ind w:left="0"/>
        <w:rPr>
          <w:sz w:val="22"/>
          <w:szCs w:val="22"/>
          <w:lang w:val="en-GB"/>
        </w:rPr>
      </w:pPr>
      <w:r>
        <w:rPr>
          <w:sz w:val="22"/>
          <w:szCs w:val="22"/>
          <w:lang w:val="en-GB"/>
        </w:rPr>
        <w:t xml:space="preserve">Target 10: </w:t>
      </w:r>
      <w:r w:rsidR="0006541C">
        <w:rPr>
          <w:sz w:val="22"/>
          <w:szCs w:val="22"/>
          <w:lang w:val="en-GB"/>
        </w:rPr>
        <w:t xml:space="preserve">Respect the rights and knowledge of indigenous peoples and local communities living in vulnerable areas and areas impacted by climate change, and learn from and support their adaptation and preservation strategies in those areas.  </w:t>
      </w:r>
    </w:p>
    <w:p w14:paraId="3D44D4B7" w14:textId="77777777" w:rsidR="00DA72D6" w:rsidRDefault="00DA72D6" w:rsidP="00C83A4B">
      <w:pPr>
        <w:pStyle w:val="ListParagraph"/>
        <w:ind w:left="0"/>
        <w:rPr>
          <w:sz w:val="22"/>
          <w:szCs w:val="22"/>
          <w:lang w:val="en-GB"/>
        </w:rPr>
      </w:pPr>
    </w:p>
    <w:p w14:paraId="14A139D7" w14:textId="7CBC6C09" w:rsidR="00DA72D6" w:rsidRDefault="00DA72D6" w:rsidP="00C83A4B">
      <w:pPr>
        <w:pStyle w:val="ListParagraph"/>
        <w:ind w:left="0"/>
        <w:rPr>
          <w:sz w:val="22"/>
          <w:szCs w:val="22"/>
          <w:lang w:val="en-GB"/>
        </w:rPr>
      </w:pPr>
      <w:r>
        <w:rPr>
          <w:sz w:val="22"/>
          <w:szCs w:val="22"/>
          <w:lang w:val="en-GB"/>
        </w:rPr>
        <w:t xml:space="preserve">Target 11: </w:t>
      </w:r>
      <w:r w:rsidR="00563EFA">
        <w:rPr>
          <w:sz w:val="22"/>
          <w:szCs w:val="22"/>
          <w:lang w:val="en-GB"/>
        </w:rPr>
        <w:t xml:space="preserve">Prioritize issues on participation, governance, equity and benefit-sharing concerning protected areas (element II of the POWPA) and task iii) of the plan of action on customary sustainable use. Avoid rights violations and other negative impacts on indigenous peoples and local communities through establishment or expansion of PA networks. </w:t>
      </w:r>
      <w:r w:rsidR="005304D5">
        <w:rPr>
          <w:sz w:val="22"/>
          <w:szCs w:val="22"/>
          <w:lang w:val="en-GB"/>
        </w:rPr>
        <w:t>C</w:t>
      </w:r>
      <w:r w:rsidR="005304D5" w:rsidRPr="005304D5">
        <w:rPr>
          <w:sz w:val="22"/>
          <w:szCs w:val="22"/>
          <w:lang w:val="en-GB"/>
        </w:rPr>
        <w:t>ases where protected areas have adversely affected indigenous peoples’ customary sustainable use</w:t>
      </w:r>
      <w:r w:rsidR="005304D5">
        <w:rPr>
          <w:sz w:val="22"/>
          <w:szCs w:val="22"/>
          <w:lang w:val="en-GB"/>
        </w:rPr>
        <w:t xml:space="preserve"> should be addressed/redressed</w:t>
      </w:r>
      <w:r w:rsidR="005304D5" w:rsidRPr="005304D5">
        <w:rPr>
          <w:sz w:val="22"/>
          <w:szCs w:val="22"/>
          <w:lang w:val="en-GB"/>
        </w:rPr>
        <w:t>.</w:t>
      </w:r>
    </w:p>
    <w:p w14:paraId="68C3DA4C" w14:textId="77777777" w:rsidR="0006541C" w:rsidRDefault="0006541C" w:rsidP="00C83A4B">
      <w:pPr>
        <w:pStyle w:val="ListParagraph"/>
        <w:ind w:left="0"/>
        <w:rPr>
          <w:sz w:val="22"/>
          <w:szCs w:val="22"/>
          <w:lang w:val="en-GB"/>
        </w:rPr>
      </w:pPr>
    </w:p>
    <w:p w14:paraId="3C9A8E52" w14:textId="5B8B4A2C" w:rsidR="0006541C" w:rsidRDefault="0006541C" w:rsidP="00C83A4B">
      <w:pPr>
        <w:pStyle w:val="ListParagraph"/>
        <w:ind w:left="0"/>
        <w:rPr>
          <w:sz w:val="22"/>
          <w:szCs w:val="22"/>
          <w:lang w:val="en-GB"/>
        </w:rPr>
      </w:pPr>
      <w:r>
        <w:rPr>
          <w:sz w:val="22"/>
          <w:szCs w:val="22"/>
          <w:lang w:val="en-GB"/>
        </w:rPr>
        <w:t xml:space="preserve">Target 12: Support </w:t>
      </w:r>
      <w:r w:rsidR="002F2137">
        <w:rPr>
          <w:sz w:val="22"/>
          <w:szCs w:val="22"/>
          <w:lang w:val="en-GB"/>
        </w:rPr>
        <w:t>customary conservation</w:t>
      </w:r>
      <w:r>
        <w:rPr>
          <w:sz w:val="22"/>
          <w:szCs w:val="22"/>
          <w:lang w:val="en-GB"/>
        </w:rPr>
        <w:t xml:space="preserve"> and </w:t>
      </w:r>
      <w:r w:rsidR="002F2137">
        <w:rPr>
          <w:sz w:val="22"/>
          <w:szCs w:val="22"/>
          <w:lang w:val="en-GB"/>
        </w:rPr>
        <w:t xml:space="preserve">community-based </w:t>
      </w:r>
      <w:r>
        <w:rPr>
          <w:sz w:val="22"/>
          <w:szCs w:val="22"/>
          <w:lang w:val="en-GB"/>
        </w:rPr>
        <w:t>research (including monito</w:t>
      </w:r>
      <w:r w:rsidR="002F2137">
        <w:rPr>
          <w:sz w:val="22"/>
          <w:szCs w:val="22"/>
          <w:lang w:val="en-GB"/>
        </w:rPr>
        <w:t>ring) of threatened species</w:t>
      </w:r>
    </w:p>
    <w:p w14:paraId="09A956D3" w14:textId="77777777" w:rsidR="002F2137" w:rsidRDefault="002F2137" w:rsidP="00C83A4B">
      <w:pPr>
        <w:pStyle w:val="ListParagraph"/>
        <w:ind w:left="0"/>
        <w:rPr>
          <w:sz w:val="22"/>
          <w:szCs w:val="22"/>
          <w:lang w:val="en-GB"/>
        </w:rPr>
      </w:pPr>
    </w:p>
    <w:p w14:paraId="40749227" w14:textId="1D54AE08" w:rsidR="002F2137" w:rsidRDefault="002F2137" w:rsidP="00C83A4B">
      <w:pPr>
        <w:pStyle w:val="ListParagraph"/>
        <w:ind w:left="0"/>
        <w:rPr>
          <w:sz w:val="22"/>
          <w:szCs w:val="22"/>
          <w:lang w:val="en-GB"/>
        </w:rPr>
      </w:pPr>
      <w:r>
        <w:rPr>
          <w:sz w:val="22"/>
          <w:szCs w:val="22"/>
          <w:lang w:val="en-GB"/>
        </w:rPr>
        <w:t xml:space="preserve">Target 13: Recognize the important role of traditional famers, gatherers and pastoralists to the genetic diversity of plants and animals and facilitate their continued practices. </w:t>
      </w:r>
    </w:p>
    <w:p w14:paraId="7F5934E2" w14:textId="77777777" w:rsidR="00C83A4B" w:rsidRDefault="00C83A4B" w:rsidP="00C83A4B">
      <w:pPr>
        <w:pStyle w:val="ListParagraph"/>
        <w:ind w:left="0"/>
        <w:rPr>
          <w:sz w:val="22"/>
          <w:szCs w:val="22"/>
          <w:lang w:val="en-GB"/>
        </w:rPr>
      </w:pPr>
    </w:p>
    <w:p w14:paraId="68AAF1EE" w14:textId="77777777" w:rsidR="002F2137" w:rsidRDefault="002F2137" w:rsidP="00C83A4B">
      <w:pPr>
        <w:pStyle w:val="ListParagraph"/>
        <w:ind w:left="0"/>
        <w:rPr>
          <w:sz w:val="22"/>
          <w:szCs w:val="22"/>
          <w:lang w:val="en-GB"/>
        </w:rPr>
      </w:pPr>
      <w:r>
        <w:rPr>
          <w:sz w:val="22"/>
          <w:szCs w:val="22"/>
          <w:lang w:val="en-GB"/>
        </w:rPr>
        <w:t xml:space="preserve">Target 14: Pay attention to the ecosystem services for the </w:t>
      </w:r>
      <w:proofErr w:type="gramStart"/>
      <w:r>
        <w:rPr>
          <w:sz w:val="22"/>
          <w:szCs w:val="22"/>
          <w:lang w:val="en-GB"/>
        </w:rPr>
        <w:t>well-being</w:t>
      </w:r>
      <w:proofErr w:type="gramEnd"/>
      <w:r>
        <w:rPr>
          <w:sz w:val="22"/>
          <w:szCs w:val="22"/>
          <w:lang w:val="en-GB"/>
        </w:rPr>
        <w:t xml:space="preserve"> and survival of IPLCs, and support their integrated approaches to safeguard and restore essential ecosystem.</w:t>
      </w:r>
    </w:p>
    <w:p w14:paraId="643D3D0F" w14:textId="77777777" w:rsidR="002F2137" w:rsidRDefault="002F2137" w:rsidP="00C83A4B">
      <w:pPr>
        <w:pStyle w:val="ListParagraph"/>
        <w:ind w:left="0"/>
        <w:rPr>
          <w:sz w:val="22"/>
          <w:szCs w:val="22"/>
          <w:lang w:val="en-GB"/>
        </w:rPr>
      </w:pPr>
    </w:p>
    <w:p w14:paraId="1C4EC228" w14:textId="2C612BD8" w:rsidR="00C83A4B" w:rsidRDefault="002F2137" w:rsidP="00C83A4B">
      <w:pPr>
        <w:pStyle w:val="ListParagraph"/>
        <w:ind w:left="0"/>
        <w:rPr>
          <w:sz w:val="22"/>
          <w:szCs w:val="22"/>
          <w:lang w:val="en-GB"/>
        </w:rPr>
      </w:pPr>
      <w:r>
        <w:rPr>
          <w:sz w:val="22"/>
          <w:szCs w:val="22"/>
          <w:lang w:val="en-GB"/>
        </w:rPr>
        <w:lastRenderedPageBreak/>
        <w:t xml:space="preserve">Target 15: support community-based forest management that enhances carbon </w:t>
      </w:r>
      <w:proofErr w:type="gramStart"/>
      <w:r>
        <w:rPr>
          <w:sz w:val="22"/>
          <w:szCs w:val="22"/>
          <w:lang w:val="en-GB"/>
        </w:rPr>
        <w:t>sequestration  and</w:t>
      </w:r>
      <w:proofErr w:type="gramEnd"/>
      <w:r>
        <w:rPr>
          <w:sz w:val="22"/>
          <w:szCs w:val="22"/>
          <w:lang w:val="en-GB"/>
        </w:rPr>
        <w:t xml:space="preserve"> conserve the forest and other valuable ecosystems that have been maintained and preserved by indigenous peoples for generations. </w:t>
      </w:r>
    </w:p>
    <w:p w14:paraId="26DBB644" w14:textId="77777777" w:rsidR="002F2137" w:rsidRDefault="002F2137" w:rsidP="00C83A4B">
      <w:pPr>
        <w:pStyle w:val="ListParagraph"/>
        <w:ind w:left="0"/>
        <w:rPr>
          <w:sz w:val="22"/>
          <w:szCs w:val="22"/>
          <w:lang w:val="en-GB"/>
        </w:rPr>
      </w:pPr>
    </w:p>
    <w:p w14:paraId="55EC1C67" w14:textId="5BBCDD77" w:rsidR="002F2137" w:rsidRDefault="002F2137" w:rsidP="00C83A4B">
      <w:pPr>
        <w:pStyle w:val="ListParagraph"/>
        <w:ind w:left="0"/>
        <w:rPr>
          <w:sz w:val="22"/>
          <w:szCs w:val="22"/>
          <w:lang w:val="en-GB"/>
        </w:rPr>
      </w:pPr>
      <w:r>
        <w:rPr>
          <w:sz w:val="22"/>
          <w:szCs w:val="22"/>
          <w:lang w:val="en-GB"/>
        </w:rPr>
        <w:t xml:space="preserve">Target 16: implement the Nagoya protocol, with full respect of the rights of indigenous peoples and local communities, consistent with UNDRIP. </w:t>
      </w:r>
    </w:p>
    <w:p w14:paraId="77890B66" w14:textId="77777777" w:rsidR="002F2137" w:rsidRDefault="002F2137" w:rsidP="00C83A4B">
      <w:pPr>
        <w:pStyle w:val="ListParagraph"/>
        <w:ind w:left="0"/>
        <w:rPr>
          <w:sz w:val="22"/>
          <w:szCs w:val="22"/>
          <w:lang w:val="en-GB"/>
        </w:rPr>
      </w:pPr>
    </w:p>
    <w:p w14:paraId="5F873AD8" w14:textId="178C875A" w:rsidR="002F2137" w:rsidRDefault="002F2137" w:rsidP="00C83A4B">
      <w:pPr>
        <w:pStyle w:val="ListParagraph"/>
        <w:ind w:left="0"/>
        <w:rPr>
          <w:sz w:val="22"/>
          <w:szCs w:val="22"/>
          <w:lang w:val="en-GB"/>
        </w:rPr>
      </w:pPr>
      <w:r>
        <w:rPr>
          <w:sz w:val="22"/>
          <w:szCs w:val="22"/>
          <w:lang w:val="en-GB"/>
        </w:rPr>
        <w:t xml:space="preserve">Target 17: Involve – with their consent – indigenous peoples and their proposals, views, knowledge and solutions in the NBSAP process (as well as in the reporting processes). </w:t>
      </w:r>
    </w:p>
    <w:p w14:paraId="05314836" w14:textId="77777777" w:rsidR="002F2137" w:rsidRDefault="002F2137" w:rsidP="00C83A4B">
      <w:pPr>
        <w:pStyle w:val="ListParagraph"/>
        <w:ind w:left="0"/>
        <w:rPr>
          <w:sz w:val="22"/>
          <w:szCs w:val="22"/>
          <w:lang w:val="en-GB"/>
        </w:rPr>
      </w:pPr>
    </w:p>
    <w:p w14:paraId="4EAC0227" w14:textId="6986FE56" w:rsidR="002F2137" w:rsidRDefault="002F2137" w:rsidP="00C83A4B">
      <w:pPr>
        <w:pStyle w:val="ListParagraph"/>
        <w:ind w:left="0"/>
        <w:rPr>
          <w:sz w:val="22"/>
          <w:szCs w:val="22"/>
          <w:lang w:val="en-GB"/>
        </w:rPr>
      </w:pPr>
      <w:r>
        <w:rPr>
          <w:sz w:val="22"/>
          <w:szCs w:val="22"/>
          <w:lang w:val="en-GB"/>
        </w:rPr>
        <w:t xml:space="preserve">Target 18: support community-based initiatives to protect and enhance TK and CSU and prioritize implementation of the plan of action on customary sustainable use. </w:t>
      </w:r>
      <w:proofErr w:type="gramStart"/>
      <w:r w:rsidR="005304D5">
        <w:rPr>
          <w:sz w:val="22"/>
          <w:szCs w:val="22"/>
          <w:lang w:val="en-GB"/>
        </w:rPr>
        <w:t>A key issue to t</w:t>
      </w:r>
      <w:r w:rsidR="005304D5" w:rsidRPr="005304D5">
        <w:rPr>
          <w:sz w:val="22"/>
          <w:szCs w:val="22"/>
          <w:lang w:val="en-GB"/>
        </w:rPr>
        <w:t>ake measures to recognise and respect indigenous peoples’ rights to their lands and reso</w:t>
      </w:r>
      <w:r w:rsidR="005304D5">
        <w:rPr>
          <w:sz w:val="22"/>
          <w:szCs w:val="22"/>
          <w:lang w:val="en-GB"/>
        </w:rPr>
        <w:t>urces, in particular access to territories, as well as respect and r</w:t>
      </w:r>
      <w:r w:rsidR="005304D5" w:rsidRPr="005304D5">
        <w:rPr>
          <w:sz w:val="22"/>
          <w:szCs w:val="22"/>
          <w:lang w:val="en-GB"/>
        </w:rPr>
        <w:t>ecognise the role of customary law and traditional institutions</w:t>
      </w:r>
      <w:r w:rsidR="005304D5">
        <w:rPr>
          <w:sz w:val="22"/>
          <w:szCs w:val="22"/>
          <w:lang w:val="en-GB"/>
        </w:rPr>
        <w:t>.</w:t>
      </w:r>
      <w:proofErr w:type="gramEnd"/>
      <w:r w:rsidR="005304D5">
        <w:rPr>
          <w:sz w:val="22"/>
          <w:szCs w:val="22"/>
          <w:lang w:val="en-GB"/>
        </w:rPr>
        <w:t xml:space="preserve"> </w:t>
      </w:r>
      <w:r w:rsidR="005304D5" w:rsidRPr="005304D5">
        <w:rPr>
          <w:sz w:val="22"/>
          <w:szCs w:val="22"/>
          <w:lang w:val="en-GB"/>
        </w:rPr>
        <w:t xml:space="preserve"> </w:t>
      </w:r>
    </w:p>
    <w:p w14:paraId="23AF0A4A" w14:textId="77777777" w:rsidR="002F2137" w:rsidRDefault="002F2137" w:rsidP="00C83A4B">
      <w:pPr>
        <w:pStyle w:val="ListParagraph"/>
        <w:ind w:left="0"/>
        <w:rPr>
          <w:sz w:val="22"/>
          <w:szCs w:val="22"/>
          <w:lang w:val="en-GB"/>
        </w:rPr>
      </w:pPr>
    </w:p>
    <w:p w14:paraId="0D2A8E87" w14:textId="5FB6BDC0" w:rsidR="002F2137" w:rsidRDefault="002F2137" w:rsidP="00C83A4B">
      <w:pPr>
        <w:pStyle w:val="ListParagraph"/>
        <w:ind w:left="0"/>
        <w:rPr>
          <w:sz w:val="22"/>
          <w:szCs w:val="22"/>
          <w:lang w:val="en-GB"/>
        </w:rPr>
      </w:pPr>
      <w:r>
        <w:rPr>
          <w:sz w:val="22"/>
          <w:szCs w:val="22"/>
          <w:lang w:val="en-GB"/>
        </w:rPr>
        <w:t xml:space="preserve">Target 19: recognize traditional and other types of knowledge on </w:t>
      </w:r>
      <w:proofErr w:type="gramStart"/>
      <w:r>
        <w:rPr>
          <w:sz w:val="22"/>
          <w:szCs w:val="22"/>
          <w:lang w:val="en-GB"/>
        </w:rPr>
        <w:t>biodiversity  as</w:t>
      </w:r>
      <w:proofErr w:type="gramEnd"/>
      <w:r>
        <w:rPr>
          <w:sz w:val="22"/>
          <w:szCs w:val="22"/>
          <w:lang w:val="en-GB"/>
        </w:rPr>
        <w:t xml:space="preserve"> relevant sources of information and consider these knowledge systems in biodiversity </w:t>
      </w:r>
      <w:r w:rsidR="00DE0595">
        <w:rPr>
          <w:sz w:val="22"/>
          <w:szCs w:val="22"/>
          <w:lang w:val="en-GB"/>
        </w:rPr>
        <w:t>planning, monitoring (CBMIS), and reporting.</w:t>
      </w:r>
    </w:p>
    <w:p w14:paraId="668D8F13" w14:textId="77777777" w:rsidR="00DE0595" w:rsidRDefault="00DE0595" w:rsidP="00C83A4B">
      <w:pPr>
        <w:pStyle w:val="ListParagraph"/>
        <w:ind w:left="0"/>
        <w:rPr>
          <w:sz w:val="22"/>
          <w:szCs w:val="22"/>
          <w:lang w:val="en-GB"/>
        </w:rPr>
      </w:pPr>
    </w:p>
    <w:p w14:paraId="009A5448" w14:textId="656B8306" w:rsidR="00DE0595" w:rsidRDefault="00DE0595" w:rsidP="00C83A4B">
      <w:pPr>
        <w:pStyle w:val="ListParagraph"/>
        <w:ind w:left="0"/>
        <w:rPr>
          <w:sz w:val="22"/>
          <w:szCs w:val="22"/>
          <w:lang w:val="en-GB"/>
        </w:rPr>
      </w:pPr>
      <w:r>
        <w:rPr>
          <w:sz w:val="22"/>
          <w:szCs w:val="22"/>
          <w:lang w:val="en-GB"/>
        </w:rPr>
        <w:t xml:space="preserve">Target 20: Provide financial assistance to the important initiatives and </w:t>
      </w:r>
      <w:r w:rsidR="00563EFA">
        <w:rPr>
          <w:sz w:val="22"/>
          <w:szCs w:val="22"/>
          <w:lang w:val="en-GB"/>
        </w:rPr>
        <w:t>contributions</w:t>
      </w:r>
      <w:r>
        <w:rPr>
          <w:sz w:val="22"/>
          <w:szCs w:val="22"/>
          <w:lang w:val="en-GB"/>
        </w:rPr>
        <w:t xml:space="preserve"> of indigenous and local communities to the work of the Convention, including for their effective participation in meetings and national and international levels. </w:t>
      </w:r>
    </w:p>
    <w:p w14:paraId="54A52FA3" w14:textId="77777777" w:rsidR="002F2137" w:rsidRDefault="002F2137" w:rsidP="00C83A4B">
      <w:pPr>
        <w:pStyle w:val="ListParagraph"/>
        <w:ind w:left="0"/>
        <w:rPr>
          <w:sz w:val="22"/>
          <w:szCs w:val="22"/>
          <w:lang w:val="en-GB"/>
        </w:rPr>
      </w:pPr>
    </w:p>
    <w:p w14:paraId="7D3A7DB7" w14:textId="77777777" w:rsidR="002F2137" w:rsidRDefault="002F2137" w:rsidP="00C83A4B">
      <w:pPr>
        <w:pStyle w:val="ListParagraph"/>
        <w:ind w:left="0"/>
        <w:rPr>
          <w:sz w:val="22"/>
          <w:szCs w:val="22"/>
          <w:lang w:val="en-GB"/>
        </w:rPr>
      </w:pPr>
    </w:p>
    <w:p w14:paraId="7E8FF05C" w14:textId="77777777" w:rsidR="00376E7E" w:rsidRPr="00B3061D" w:rsidRDefault="00376E7E" w:rsidP="00B3061D">
      <w:pPr>
        <w:spacing w:after="0" w:line="240" w:lineRule="auto"/>
        <w:rPr>
          <w:lang w:val="en-GB"/>
        </w:rPr>
      </w:pPr>
    </w:p>
    <w:p w14:paraId="5EA148DF" w14:textId="026178A3" w:rsidR="0028589F" w:rsidRPr="00B3061D" w:rsidRDefault="0028589F" w:rsidP="00B3061D">
      <w:pPr>
        <w:spacing w:after="0" w:line="240" w:lineRule="auto"/>
        <w:rPr>
          <w:lang w:val="en-GB"/>
        </w:rPr>
      </w:pPr>
      <w:r w:rsidRPr="00B3061D">
        <w:rPr>
          <w:lang w:val="en-GB"/>
        </w:rPr>
        <w:t xml:space="preserve"> </w:t>
      </w:r>
    </w:p>
    <w:sectPr w:rsidR="0028589F" w:rsidRPr="00B306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6E85C" w14:textId="77777777" w:rsidR="00530C00" w:rsidRDefault="00530C00" w:rsidP="00FB18A4">
      <w:pPr>
        <w:spacing w:after="0" w:line="240" w:lineRule="auto"/>
      </w:pPr>
      <w:r>
        <w:separator/>
      </w:r>
    </w:p>
  </w:endnote>
  <w:endnote w:type="continuationSeparator" w:id="0">
    <w:p w14:paraId="527CE4F8" w14:textId="77777777" w:rsidR="00530C00" w:rsidRDefault="00530C00" w:rsidP="00FB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gothic">
    <w:altName w:val="Century Gothic"/>
    <w:charset w:val="00"/>
    <w:family w:val="auto"/>
    <w:pitch w:val="default"/>
  </w:font>
  <w:font w:name="Angsan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117704"/>
      <w:docPartObj>
        <w:docPartGallery w:val="Page Numbers (Bottom of Page)"/>
        <w:docPartUnique/>
      </w:docPartObj>
    </w:sdtPr>
    <w:sdtEndPr/>
    <w:sdtContent>
      <w:p w14:paraId="1E9E600E" w14:textId="3E0BA80C" w:rsidR="007C4831" w:rsidRDefault="007C4831">
        <w:pPr>
          <w:pStyle w:val="Footer"/>
          <w:jc w:val="right"/>
        </w:pPr>
        <w:r>
          <w:fldChar w:fldCharType="begin"/>
        </w:r>
        <w:r>
          <w:instrText>PAGE   \* MERGEFORMAT</w:instrText>
        </w:r>
        <w:r>
          <w:fldChar w:fldCharType="separate"/>
        </w:r>
        <w:r w:rsidR="006F5484">
          <w:rPr>
            <w:noProof/>
          </w:rPr>
          <w:t>25</w:t>
        </w:r>
        <w:r>
          <w:fldChar w:fldCharType="end"/>
        </w:r>
      </w:p>
    </w:sdtContent>
  </w:sdt>
  <w:p w14:paraId="4C866678" w14:textId="77777777" w:rsidR="007C4831" w:rsidRDefault="007C48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F71D5" w14:textId="77777777" w:rsidR="00530C00" w:rsidRDefault="00530C00" w:rsidP="00FB18A4">
      <w:pPr>
        <w:spacing w:after="0" w:line="240" w:lineRule="auto"/>
      </w:pPr>
      <w:r>
        <w:separator/>
      </w:r>
    </w:p>
  </w:footnote>
  <w:footnote w:type="continuationSeparator" w:id="0">
    <w:p w14:paraId="7A6CC5C3" w14:textId="77777777" w:rsidR="00530C00" w:rsidRDefault="00530C00" w:rsidP="00FB18A4">
      <w:pPr>
        <w:spacing w:after="0" w:line="240" w:lineRule="auto"/>
      </w:pPr>
      <w:r>
        <w:continuationSeparator/>
      </w:r>
    </w:p>
  </w:footnote>
  <w:footnote w:id="1">
    <w:p w14:paraId="385966C1" w14:textId="0C97BE59" w:rsidR="007C4831" w:rsidRPr="00031285" w:rsidRDefault="007C4831" w:rsidP="00031285">
      <w:pPr>
        <w:pStyle w:val="FootnoteText"/>
        <w:rPr>
          <w:rFonts w:asciiTheme="minorHAnsi" w:hAnsiTheme="minorHAnsi"/>
          <w:sz w:val="16"/>
          <w:szCs w:val="16"/>
          <w:lang w:val="en-GB"/>
        </w:rPr>
      </w:pPr>
      <w:r w:rsidRPr="00031285">
        <w:rPr>
          <w:rStyle w:val="FootnoteReference"/>
          <w:rFonts w:asciiTheme="minorHAnsi" w:hAnsiTheme="minorHAnsi"/>
          <w:sz w:val="16"/>
          <w:szCs w:val="16"/>
        </w:rPr>
        <w:footnoteRef/>
      </w:r>
      <w:r w:rsidRPr="00031285">
        <w:rPr>
          <w:rFonts w:asciiTheme="minorHAnsi" w:hAnsiTheme="minorHAnsi"/>
          <w:sz w:val="16"/>
          <w:szCs w:val="16"/>
        </w:rPr>
        <w:t xml:space="preserve"> </w:t>
      </w:r>
      <w:r w:rsidRPr="00031285">
        <w:rPr>
          <w:rFonts w:asciiTheme="minorHAnsi" w:hAnsiTheme="minorHAnsi"/>
          <w:sz w:val="16"/>
          <w:szCs w:val="16"/>
          <w:lang w:val="en-GB"/>
        </w:rPr>
        <w:t xml:space="preserve">GBO4, advance draft, page </w:t>
      </w:r>
      <w:r w:rsidR="00022616">
        <w:rPr>
          <w:rFonts w:asciiTheme="minorHAnsi" w:hAnsiTheme="minorHAnsi"/>
          <w:color w:val="000000"/>
          <w:sz w:val="16"/>
          <w:szCs w:val="16"/>
          <w:lang w:val="en-GB" w:eastAsia="nl-NL"/>
        </w:rPr>
        <w:t>132-133.</w:t>
      </w:r>
    </w:p>
  </w:footnote>
  <w:footnote w:id="2">
    <w:p w14:paraId="1696492C" w14:textId="77777777" w:rsidR="007C4831" w:rsidRPr="00031285" w:rsidRDefault="007C4831" w:rsidP="00031285">
      <w:pPr>
        <w:pStyle w:val="FootnoteText"/>
        <w:rPr>
          <w:rFonts w:asciiTheme="minorHAnsi" w:hAnsiTheme="minorHAnsi" w:cs="Arial"/>
          <w:sz w:val="16"/>
          <w:szCs w:val="16"/>
          <w:lang w:val="en-GB"/>
        </w:rPr>
      </w:pPr>
      <w:r w:rsidRPr="00031285">
        <w:rPr>
          <w:rStyle w:val="FootnoteReference"/>
          <w:rFonts w:asciiTheme="minorHAnsi" w:hAnsiTheme="minorHAnsi" w:cs="Arial"/>
          <w:sz w:val="16"/>
          <w:szCs w:val="16"/>
        </w:rPr>
        <w:footnoteRef/>
      </w:r>
      <w:r w:rsidRPr="00031285">
        <w:rPr>
          <w:rFonts w:asciiTheme="minorHAnsi" w:hAnsiTheme="minorHAnsi" w:cs="Arial"/>
          <w:sz w:val="16"/>
          <w:szCs w:val="16"/>
          <w:lang w:val="en-GB"/>
        </w:rPr>
        <w:t xml:space="preserve"> </w:t>
      </w:r>
      <w:hyperlink r:id="rId1" w:history="1">
        <w:r w:rsidRPr="00031285">
          <w:rPr>
            <w:rStyle w:val="Hyperlink"/>
            <w:rFonts w:asciiTheme="minorHAnsi" w:hAnsiTheme="minorHAnsi" w:cs="Arial"/>
            <w:sz w:val="16"/>
            <w:szCs w:val="16"/>
            <w:lang w:val="en-GB"/>
          </w:rPr>
          <w:t>http://www.cbd.int/ecosystem/</w:t>
        </w:r>
      </w:hyperlink>
      <w:r w:rsidRPr="00031285">
        <w:rPr>
          <w:rFonts w:asciiTheme="minorHAnsi" w:hAnsiTheme="minorHAnsi" w:cs="Arial"/>
          <w:sz w:val="16"/>
          <w:szCs w:val="16"/>
          <w:lang w:val="en-GB"/>
        </w:rPr>
        <w:t xml:space="preserve"> </w:t>
      </w:r>
    </w:p>
  </w:footnote>
  <w:footnote w:id="3">
    <w:p w14:paraId="37526D53" w14:textId="0AA38522" w:rsidR="007C4831" w:rsidRPr="00031285" w:rsidRDefault="007C4831" w:rsidP="00031285">
      <w:pPr>
        <w:spacing w:after="0" w:line="240" w:lineRule="auto"/>
        <w:jc w:val="both"/>
        <w:rPr>
          <w:sz w:val="16"/>
          <w:szCs w:val="16"/>
          <w:lang w:val="en-GB"/>
        </w:rPr>
      </w:pPr>
      <w:r w:rsidRPr="00031285">
        <w:rPr>
          <w:rStyle w:val="FootnoteReference"/>
          <w:sz w:val="16"/>
          <w:szCs w:val="16"/>
        </w:rPr>
        <w:footnoteRef/>
      </w:r>
      <w:r w:rsidRPr="00031285">
        <w:rPr>
          <w:sz w:val="16"/>
          <w:szCs w:val="16"/>
          <w:lang w:val="en-GB"/>
        </w:rPr>
        <w:t xml:space="preserve"> This is also stressed in several general principles in the draft action plan on 10c: </w:t>
      </w:r>
    </w:p>
  </w:footnote>
  <w:footnote w:id="4">
    <w:p w14:paraId="2C95CFA8" w14:textId="77777777" w:rsidR="007C4831" w:rsidRPr="00031285" w:rsidRDefault="007C4831" w:rsidP="00031285">
      <w:pPr>
        <w:pStyle w:val="FootnoteText"/>
        <w:rPr>
          <w:rFonts w:asciiTheme="minorHAnsi" w:hAnsiTheme="minorHAnsi"/>
          <w:sz w:val="16"/>
          <w:szCs w:val="16"/>
        </w:rPr>
      </w:pPr>
      <w:r w:rsidRPr="00031285">
        <w:rPr>
          <w:rStyle w:val="FootnoteReference"/>
          <w:rFonts w:asciiTheme="minorHAnsi" w:hAnsiTheme="minorHAnsi"/>
          <w:sz w:val="16"/>
          <w:szCs w:val="16"/>
        </w:rPr>
        <w:footnoteRef/>
      </w:r>
      <w:r w:rsidRPr="00031285">
        <w:rPr>
          <w:rFonts w:asciiTheme="minorHAnsi" w:hAnsiTheme="minorHAnsi"/>
          <w:sz w:val="16"/>
          <w:szCs w:val="16"/>
          <w:lang w:val="fr-FR"/>
        </w:rPr>
        <w:t xml:space="preserve"> </w:t>
      </w:r>
      <w:hyperlink r:id="rId2" w:history="1">
        <w:r w:rsidRPr="00031285">
          <w:rPr>
            <w:rStyle w:val="Hyperlink"/>
            <w:rFonts w:asciiTheme="minorHAnsi" w:hAnsiTheme="minorHAnsi" w:cs="Arial"/>
            <w:sz w:val="16"/>
            <w:szCs w:val="16"/>
            <w:lang w:val="fr-FR"/>
          </w:rPr>
          <w:t>http://www.cbd.int/ecosystem/description.shtml</w:t>
        </w:r>
      </w:hyperlink>
      <w:r w:rsidRPr="00031285">
        <w:rPr>
          <w:rFonts w:asciiTheme="minorHAnsi" w:hAnsiTheme="minorHAnsi" w:cs="Arial"/>
          <w:sz w:val="16"/>
          <w:szCs w:val="16"/>
          <w:lang w:val="fr-FR"/>
        </w:rPr>
        <w:t>, para 4.</w:t>
      </w:r>
    </w:p>
  </w:footnote>
  <w:footnote w:id="5">
    <w:p w14:paraId="33A8AC67" w14:textId="77777777" w:rsidR="007C4831" w:rsidRPr="00031285" w:rsidRDefault="007C4831" w:rsidP="00031285">
      <w:pPr>
        <w:pStyle w:val="FootnoteText"/>
        <w:rPr>
          <w:rFonts w:asciiTheme="minorHAnsi" w:hAnsiTheme="minorHAnsi"/>
          <w:sz w:val="16"/>
          <w:szCs w:val="16"/>
        </w:rPr>
      </w:pPr>
      <w:r w:rsidRPr="00031285">
        <w:rPr>
          <w:rStyle w:val="FootnoteReference"/>
          <w:rFonts w:asciiTheme="minorHAnsi" w:hAnsiTheme="minorHAnsi"/>
          <w:sz w:val="16"/>
          <w:szCs w:val="16"/>
        </w:rPr>
        <w:footnoteRef/>
      </w:r>
      <w:r w:rsidRPr="00031285">
        <w:rPr>
          <w:rFonts w:asciiTheme="minorHAnsi" w:hAnsiTheme="minorHAnsi"/>
          <w:sz w:val="16"/>
          <w:szCs w:val="16"/>
        </w:rPr>
        <w:t xml:space="preserve"> </w:t>
      </w:r>
      <w:hyperlink r:id="rId3" w:history="1">
        <w:r w:rsidRPr="00031285">
          <w:rPr>
            <w:rStyle w:val="Hyperlink"/>
            <w:rFonts w:asciiTheme="minorHAnsi" w:hAnsiTheme="minorHAnsi" w:cs="Arial"/>
            <w:sz w:val="16"/>
            <w:szCs w:val="16"/>
            <w:lang w:val="en-GB"/>
          </w:rPr>
          <w:t>http://www.cbd.int/ecosystem/sourcebook/</w:t>
        </w:r>
      </w:hyperlink>
    </w:p>
  </w:footnote>
  <w:footnote w:id="6">
    <w:p w14:paraId="68EAB2D3" w14:textId="77777777" w:rsidR="007C4831" w:rsidRPr="00031285" w:rsidRDefault="007C4831" w:rsidP="00031285">
      <w:pPr>
        <w:pStyle w:val="FootnoteText"/>
        <w:rPr>
          <w:rFonts w:asciiTheme="minorHAnsi" w:hAnsiTheme="minorHAnsi"/>
          <w:sz w:val="16"/>
          <w:szCs w:val="16"/>
        </w:rPr>
      </w:pPr>
      <w:r w:rsidRPr="00031285">
        <w:rPr>
          <w:rStyle w:val="FootnoteReference"/>
          <w:rFonts w:asciiTheme="minorHAnsi" w:hAnsiTheme="minorHAnsi"/>
          <w:sz w:val="16"/>
          <w:szCs w:val="16"/>
        </w:rPr>
        <w:footnoteRef/>
      </w:r>
      <w:r w:rsidRPr="00031285">
        <w:rPr>
          <w:rFonts w:asciiTheme="minorHAnsi" w:hAnsiTheme="minorHAnsi"/>
          <w:sz w:val="16"/>
          <w:szCs w:val="16"/>
        </w:rPr>
        <w:t xml:space="preserve"> </w:t>
      </w:r>
      <w:proofErr w:type="gramStart"/>
      <w:r w:rsidRPr="00031285">
        <w:rPr>
          <w:rFonts w:asciiTheme="minorHAnsi" w:hAnsiTheme="minorHAnsi" w:cs="Arial"/>
          <w:sz w:val="16"/>
          <w:szCs w:val="16"/>
        </w:rPr>
        <w:t xml:space="preserve">UNEP/CBD/SBSTTA/12/2, </w:t>
      </w:r>
      <w:r w:rsidRPr="00031285">
        <w:rPr>
          <w:rFonts w:asciiTheme="minorHAnsi" w:hAnsiTheme="minorHAnsi" w:cs="Arial"/>
          <w:sz w:val="16"/>
          <w:szCs w:val="16"/>
          <w:lang w:val="en-GB"/>
        </w:rPr>
        <w:t xml:space="preserve">paragraph 29 of the summary of findings of the in-depth review of the application of the </w:t>
      </w:r>
      <w:r w:rsidRPr="00031285">
        <w:rPr>
          <w:rFonts w:asciiTheme="minorHAnsi" w:hAnsiTheme="minorHAnsi" w:cs="Arial"/>
          <w:sz w:val="16"/>
          <w:szCs w:val="16"/>
        </w:rPr>
        <w:t>ecosystem approach.</w:t>
      </w:r>
      <w:proofErr w:type="gramEnd"/>
      <w:r w:rsidRPr="00031285">
        <w:rPr>
          <w:rFonts w:asciiTheme="minorHAnsi" w:hAnsiTheme="minorHAnsi" w:cs="Arial"/>
          <w:sz w:val="16"/>
          <w:szCs w:val="16"/>
        </w:rPr>
        <w:t xml:space="preserve"> </w:t>
      </w:r>
    </w:p>
  </w:footnote>
  <w:footnote w:id="7">
    <w:p w14:paraId="608AD871" w14:textId="77777777" w:rsidR="007C4831" w:rsidRPr="00031285" w:rsidRDefault="007C4831" w:rsidP="00031285">
      <w:pPr>
        <w:shd w:val="clear" w:color="auto" w:fill="FFFFFF"/>
        <w:spacing w:after="0" w:line="240" w:lineRule="auto"/>
        <w:rPr>
          <w:sz w:val="16"/>
          <w:szCs w:val="16"/>
          <w:lang w:val="en-US"/>
        </w:rPr>
      </w:pPr>
      <w:r w:rsidRPr="00031285">
        <w:rPr>
          <w:rStyle w:val="FootnoteReference"/>
          <w:sz w:val="16"/>
          <w:szCs w:val="16"/>
        </w:rPr>
        <w:footnoteRef/>
      </w:r>
      <w:r w:rsidRPr="00031285">
        <w:rPr>
          <w:sz w:val="16"/>
          <w:szCs w:val="16"/>
          <w:lang w:val="en-GB"/>
        </w:rPr>
        <w:t xml:space="preserve"> </w:t>
      </w:r>
      <w:r w:rsidRPr="00031285">
        <w:rPr>
          <w:rFonts w:cs="Arial"/>
          <w:color w:val="333333"/>
          <w:sz w:val="16"/>
          <w:szCs w:val="16"/>
          <w:lang w:val="en-GB"/>
        </w:rPr>
        <w:t xml:space="preserve">Anita </w:t>
      </w:r>
      <w:proofErr w:type="spellStart"/>
      <w:r w:rsidRPr="00031285">
        <w:rPr>
          <w:rFonts w:cs="Arial"/>
          <w:color w:val="333333"/>
          <w:sz w:val="16"/>
          <w:szCs w:val="16"/>
          <w:lang w:val="en-GB"/>
        </w:rPr>
        <w:t>Kelles-Viitanen</w:t>
      </w:r>
      <w:proofErr w:type="spellEnd"/>
      <w:r w:rsidRPr="00031285">
        <w:rPr>
          <w:rFonts w:cs="Arial"/>
          <w:color w:val="333333"/>
          <w:sz w:val="16"/>
          <w:szCs w:val="16"/>
          <w:lang w:val="en-GB"/>
        </w:rPr>
        <w:t xml:space="preserve">, Custodians of culture and biodiversity. Indigenous peoples take charge of their challenges and opportunities (IFAD report, no date), page 1.     </w:t>
      </w:r>
    </w:p>
  </w:footnote>
  <w:footnote w:id="8">
    <w:p w14:paraId="37C82BCB" w14:textId="130D7EB2" w:rsidR="007C4831" w:rsidRPr="005803F0" w:rsidRDefault="007C4831">
      <w:pPr>
        <w:pStyle w:val="FootnoteText"/>
        <w:rPr>
          <w:rFonts w:asciiTheme="minorHAnsi" w:hAnsiTheme="minorHAnsi"/>
          <w:sz w:val="16"/>
          <w:szCs w:val="16"/>
        </w:rPr>
      </w:pPr>
      <w:r w:rsidRPr="005803F0">
        <w:rPr>
          <w:rStyle w:val="FootnoteReference"/>
          <w:rFonts w:asciiTheme="minorHAnsi" w:hAnsiTheme="minorHAnsi"/>
          <w:sz w:val="16"/>
          <w:szCs w:val="16"/>
        </w:rPr>
        <w:footnoteRef/>
      </w:r>
      <w:r w:rsidRPr="005803F0">
        <w:rPr>
          <w:rFonts w:asciiTheme="minorHAnsi" w:hAnsiTheme="minorHAnsi"/>
          <w:sz w:val="16"/>
          <w:szCs w:val="16"/>
        </w:rPr>
        <w:t xml:space="preserve"> See interview with </w:t>
      </w:r>
      <w:r w:rsidRPr="005803F0">
        <w:rPr>
          <w:rFonts w:asciiTheme="minorHAnsi" w:hAnsiTheme="minorHAnsi" w:cs="Tahoma"/>
          <w:color w:val="000000"/>
          <w:sz w:val="16"/>
          <w:szCs w:val="16"/>
          <w:lang w:val="en-GB" w:eastAsia="nl-NL"/>
        </w:rPr>
        <w:t xml:space="preserve">forest and livelihoods programme director Christine </w:t>
      </w:r>
      <w:proofErr w:type="spellStart"/>
      <w:r w:rsidRPr="005803F0">
        <w:rPr>
          <w:rFonts w:asciiTheme="minorHAnsi" w:hAnsiTheme="minorHAnsi" w:cs="Tahoma"/>
          <w:color w:val="000000"/>
          <w:sz w:val="16"/>
          <w:szCs w:val="16"/>
          <w:lang w:val="en-GB" w:eastAsia="nl-NL"/>
        </w:rPr>
        <w:t>Padoch</w:t>
      </w:r>
      <w:proofErr w:type="spellEnd"/>
      <w:r w:rsidRPr="005803F0">
        <w:rPr>
          <w:rFonts w:asciiTheme="minorHAnsi" w:hAnsiTheme="minorHAnsi" w:cs="Tahoma"/>
          <w:color w:val="000000"/>
          <w:sz w:val="16"/>
          <w:szCs w:val="16"/>
          <w:lang w:val="en-GB" w:eastAsia="nl-NL"/>
        </w:rPr>
        <w:t xml:space="preserve"> in the video The video </w:t>
      </w:r>
      <w:r w:rsidRPr="005803F0">
        <w:rPr>
          <w:rFonts w:asciiTheme="minorHAnsi" w:hAnsiTheme="minorHAnsi" w:cs="Tahoma"/>
          <w:bCs/>
          <w:color w:val="000000"/>
          <w:sz w:val="16"/>
          <w:szCs w:val="16"/>
          <w:lang w:val="en-GB" w:eastAsia="nl-NL"/>
        </w:rPr>
        <w:t xml:space="preserve">“Community Based Forest Management: Local Solutions to Global Challenges”, </w:t>
      </w:r>
      <w:hyperlink r:id="rId4" w:history="1">
        <w:r w:rsidRPr="005803F0">
          <w:rPr>
            <w:rStyle w:val="Hyperlink"/>
            <w:rFonts w:asciiTheme="minorHAnsi" w:hAnsiTheme="minorHAnsi" w:cs="Tahoma"/>
            <w:bCs/>
            <w:sz w:val="16"/>
            <w:szCs w:val="16"/>
            <w:lang w:val="en-GB" w:eastAsia="nl-NL"/>
          </w:rPr>
          <w:t>https://www.youtube.com/watch?v=fAz0_NlxMuM&amp;hd=1</w:t>
        </w:r>
      </w:hyperlink>
      <w:r w:rsidRPr="005803F0">
        <w:rPr>
          <w:rFonts w:asciiTheme="minorHAnsi" w:hAnsiTheme="minorHAnsi" w:cs="Tahoma"/>
          <w:bCs/>
          <w:color w:val="000000"/>
          <w:sz w:val="16"/>
          <w:szCs w:val="16"/>
          <w:lang w:val="en-GB" w:eastAsia="nl-NL"/>
        </w:rPr>
        <w:t xml:space="preserve"> (also check for CIFOR)</w:t>
      </w:r>
    </w:p>
  </w:footnote>
  <w:footnote w:id="9">
    <w:p w14:paraId="01A83599" w14:textId="3FB59CD4" w:rsidR="007C4831" w:rsidRPr="005803F0" w:rsidRDefault="007C4831" w:rsidP="003F203F">
      <w:pPr>
        <w:rPr>
          <w:sz w:val="16"/>
          <w:szCs w:val="16"/>
          <w:lang w:val="en-GB"/>
        </w:rPr>
      </w:pPr>
      <w:r w:rsidRPr="005803F0">
        <w:rPr>
          <w:rStyle w:val="FootnoteReference"/>
          <w:sz w:val="16"/>
          <w:szCs w:val="16"/>
        </w:rPr>
        <w:footnoteRef/>
      </w:r>
      <w:r w:rsidRPr="005803F0">
        <w:rPr>
          <w:sz w:val="16"/>
          <w:szCs w:val="16"/>
          <w:lang w:val="en-GB"/>
        </w:rPr>
        <w:t xml:space="preserve"> Claudia </w:t>
      </w:r>
      <w:proofErr w:type="spellStart"/>
      <w:r w:rsidRPr="005803F0">
        <w:rPr>
          <w:sz w:val="16"/>
          <w:szCs w:val="16"/>
          <w:lang w:val="en-GB"/>
        </w:rPr>
        <w:t>Sobrevila</w:t>
      </w:r>
      <w:proofErr w:type="spellEnd"/>
      <w:proofErr w:type="gramStart"/>
      <w:r w:rsidRPr="005803F0">
        <w:rPr>
          <w:sz w:val="16"/>
          <w:szCs w:val="16"/>
          <w:lang w:val="en-GB"/>
        </w:rPr>
        <w:t>,  The</w:t>
      </w:r>
      <w:proofErr w:type="gramEnd"/>
      <w:r w:rsidRPr="005803F0">
        <w:rPr>
          <w:sz w:val="16"/>
          <w:szCs w:val="16"/>
          <w:lang w:val="en-GB"/>
        </w:rPr>
        <w:t xml:space="preserve"> Role of Indigenous Peoples in Biodiversity Conservation. </w:t>
      </w:r>
      <w:proofErr w:type="gramStart"/>
      <w:r w:rsidRPr="005803F0">
        <w:rPr>
          <w:sz w:val="16"/>
          <w:szCs w:val="16"/>
          <w:lang w:val="en-GB"/>
        </w:rPr>
        <w:t>The Natural but Often Forgotten Partners (the World Bank 2008).</w:t>
      </w:r>
      <w:proofErr w:type="gramEnd"/>
    </w:p>
  </w:footnote>
  <w:footnote w:id="10">
    <w:p w14:paraId="360D15EC" w14:textId="5FAC4EFE" w:rsidR="007C4831" w:rsidRPr="00077A1C" w:rsidRDefault="007C4831" w:rsidP="00077A1C">
      <w:pPr>
        <w:spacing w:after="0" w:line="240" w:lineRule="auto"/>
        <w:rPr>
          <w:sz w:val="16"/>
          <w:szCs w:val="16"/>
          <w:lang w:val="en-US"/>
        </w:rPr>
      </w:pPr>
      <w:r w:rsidRPr="00077A1C">
        <w:rPr>
          <w:rStyle w:val="FootnoteReference"/>
          <w:sz w:val="16"/>
          <w:szCs w:val="16"/>
        </w:rPr>
        <w:footnoteRef/>
      </w:r>
      <w:r w:rsidRPr="00077A1C">
        <w:rPr>
          <w:sz w:val="16"/>
          <w:szCs w:val="16"/>
          <w:lang w:val="en-GB"/>
        </w:rPr>
        <w:t xml:space="preserve"> </w:t>
      </w:r>
      <w:r w:rsidRPr="00077A1C">
        <w:rPr>
          <w:rFonts w:eastAsia="Times New Roman" w:cs="Tahoma"/>
          <w:color w:val="000000"/>
          <w:sz w:val="16"/>
          <w:szCs w:val="16"/>
          <w:lang w:val="en-GB" w:eastAsia="nl-NL"/>
        </w:rPr>
        <w:t xml:space="preserve">Victor M. Toledo, INDIGENOUS PEOPLES AND BIODIVERSITY (2007). </w:t>
      </w:r>
      <w:r w:rsidRPr="00077A1C">
        <w:rPr>
          <w:rFonts w:eastAsia="Times New Roman" w:cs="Tahoma"/>
          <w:color w:val="000000"/>
          <w:sz w:val="16"/>
          <w:szCs w:val="16"/>
          <w:lang w:eastAsia="nl-NL"/>
        </w:rPr>
        <w:t xml:space="preserve">In: </w:t>
      </w:r>
      <w:proofErr w:type="spellStart"/>
      <w:r w:rsidRPr="00077A1C">
        <w:rPr>
          <w:rFonts w:eastAsia="Times New Roman" w:cs="Tahoma"/>
          <w:color w:val="000000"/>
          <w:sz w:val="16"/>
          <w:szCs w:val="16"/>
          <w:lang w:eastAsia="nl-NL"/>
        </w:rPr>
        <w:t>Levin</w:t>
      </w:r>
      <w:proofErr w:type="spellEnd"/>
      <w:r w:rsidRPr="00077A1C">
        <w:rPr>
          <w:rFonts w:eastAsia="Times New Roman" w:cs="Tahoma"/>
          <w:color w:val="000000"/>
          <w:sz w:val="16"/>
          <w:szCs w:val="16"/>
          <w:lang w:eastAsia="nl-NL"/>
        </w:rPr>
        <w:t>, S. el al., (</w:t>
      </w:r>
      <w:proofErr w:type="spellStart"/>
      <w:r w:rsidRPr="00077A1C">
        <w:rPr>
          <w:rFonts w:eastAsia="Times New Roman" w:cs="Tahoma"/>
          <w:color w:val="000000"/>
          <w:sz w:val="16"/>
          <w:szCs w:val="16"/>
          <w:lang w:eastAsia="nl-NL"/>
        </w:rPr>
        <w:t>eds</w:t>
      </w:r>
      <w:proofErr w:type="spellEnd"/>
      <w:r w:rsidRPr="00077A1C">
        <w:rPr>
          <w:rFonts w:eastAsia="Times New Roman" w:cs="Tahoma"/>
          <w:color w:val="000000"/>
          <w:sz w:val="16"/>
          <w:szCs w:val="16"/>
          <w:lang w:eastAsia="nl-NL"/>
        </w:rPr>
        <w:t xml:space="preserve">.) </w:t>
      </w:r>
      <w:proofErr w:type="spellStart"/>
      <w:proofErr w:type="gramStart"/>
      <w:r w:rsidRPr="00077A1C">
        <w:rPr>
          <w:rFonts w:eastAsia="Times New Roman" w:cs="Tahoma"/>
          <w:color w:val="000000"/>
          <w:sz w:val="16"/>
          <w:szCs w:val="16"/>
          <w:lang w:val="en-GB" w:eastAsia="nl-NL"/>
        </w:rPr>
        <w:t>Encyclopedia</w:t>
      </w:r>
      <w:proofErr w:type="spellEnd"/>
      <w:r w:rsidRPr="00077A1C">
        <w:rPr>
          <w:rFonts w:eastAsia="Times New Roman" w:cs="Tahoma"/>
          <w:color w:val="000000"/>
          <w:sz w:val="16"/>
          <w:szCs w:val="16"/>
          <w:lang w:val="en-GB" w:eastAsia="nl-NL"/>
        </w:rPr>
        <w:t xml:space="preserve"> of Biodiversity.</w:t>
      </w:r>
      <w:proofErr w:type="gramEnd"/>
      <w:r w:rsidRPr="00077A1C">
        <w:rPr>
          <w:rFonts w:eastAsia="Times New Roman" w:cs="Tahoma"/>
          <w:color w:val="000000"/>
          <w:sz w:val="16"/>
          <w:szCs w:val="16"/>
          <w:lang w:val="en-GB" w:eastAsia="nl-NL"/>
        </w:rPr>
        <w:t xml:space="preserve"> </w:t>
      </w:r>
      <w:proofErr w:type="gramStart"/>
      <w:r w:rsidRPr="00077A1C">
        <w:rPr>
          <w:rFonts w:eastAsia="Times New Roman" w:cs="Tahoma"/>
          <w:color w:val="000000"/>
          <w:sz w:val="16"/>
          <w:szCs w:val="16"/>
          <w:lang w:val="en-GB" w:eastAsia="nl-NL"/>
        </w:rPr>
        <w:t>Academic Press (in press).</w:t>
      </w:r>
      <w:proofErr w:type="gramEnd"/>
    </w:p>
  </w:footnote>
  <w:footnote w:id="11">
    <w:p w14:paraId="551848D5" w14:textId="4EB2FB4F" w:rsidR="007C4831" w:rsidRPr="00077A1C" w:rsidRDefault="007C4831" w:rsidP="00077A1C">
      <w:pPr>
        <w:pStyle w:val="FootnoteText"/>
      </w:pPr>
      <w:r w:rsidRPr="00077A1C">
        <w:rPr>
          <w:rStyle w:val="FootnoteReference"/>
          <w:rFonts w:asciiTheme="minorHAnsi" w:hAnsiTheme="minorHAnsi"/>
          <w:sz w:val="16"/>
          <w:szCs w:val="16"/>
        </w:rPr>
        <w:footnoteRef/>
      </w:r>
      <w:r w:rsidRPr="00077A1C">
        <w:rPr>
          <w:rFonts w:asciiTheme="minorHAnsi" w:hAnsiTheme="minorHAnsi"/>
          <w:sz w:val="16"/>
          <w:szCs w:val="16"/>
        </w:rPr>
        <w:t xml:space="preserve"> </w:t>
      </w:r>
      <w:r w:rsidRPr="00077A1C">
        <w:rPr>
          <w:rFonts w:asciiTheme="minorHAnsi" w:hAnsiTheme="minorHAnsi" w:cs="Arial"/>
          <w:color w:val="333333"/>
          <w:sz w:val="16"/>
          <w:szCs w:val="16"/>
          <w:lang w:val="en"/>
        </w:rPr>
        <w:t>GBO4, advance draft, p 132</w:t>
      </w:r>
    </w:p>
  </w:footnote>
  <w:footnote w:id="12">
    <w:p w14:paraId="49BFFA7C" w14:textId="5B59DED5" w:rsidR="007C4831" w:rsidRPr="00D61E64" w:rsidRDefault="007C4831" w:rsidP="00D97B7A">
      <w:pPr>
        <w:pStyle w:val="FootnoteText"/>
        <w:rPr>
          <w:rFonts w:asciiTheme="minorHAnsi" w:hAnsiTheme="minorHAnsi" w:cs="Arial"/>
          <w:sz w:val="16"/>
          <w:szCs w:val="16"/>
        </w:rPr>
      </w:pPr>
      <w:r w:rsidRPr="00D61E64">
        <w:rPr>
          <w:rStyle w:val="FootnoteReference"/>
          <w:rFonts w:asciiTheme="minorHAnsi" w:hAnsiTheme="minorHAnsi"/>
          <w:sz w:val="16"/>
          <w:szCs w:val="16"/>
        </w:rPr>
        <w:footnoteRef/>
      </w:r>
      <w:r w:rsidRPr="00D61E64">
        <w:rPr>
          <w:rFonts w:asciiTheme="minorHAnsi" w:hAnsiTheme="minorHAnsi"/>
          <w:sz w:val="16"/>
          <w:szCs w:val="16"/>
        </w:rPr>
        <w:t xml:space="preserve"> </w:t>
      </w:r>
      <w:r w:rsidRPr="00D61E64">
        <w:rPr>
          <w:rFonts w:asciiTheme="minorHAnsi" w:hAnsiTheme="minorHAnsi" w:cs="Arial"/>
          <w:sz w:val="16"/>
          <w:szCs w:val="16"/>
        </w:rPr>
        <w:t xml:space="preserve">UNEP/CBD/SBSTTA/12/2, </w:t>
      </w:r>
      <w:r w:rsidRPr="00D61E64">
        <w:rPr>
          <w:rFonts w:asciiTheme="minorHAnsi" w:hAnsiTheme="minorHAnsi" w:cs="Arial"/>
          <w:sz w:val="16"/>
          <w:szCs w:val="16"/>
          <w:lang w:val="en-GB"/>
        </w:rPr>
        <w:t xml:space="preserve">paragraph 29 of the summary of findings of the in-depth review of the application of the </w:t>
      </w:r>
      <w:r w:rsidRPr="00D61E64">
        <w:rPr>
          <w:rFonts w:asciiTheme="minorHAnsi" w:hAnsiTheme="minorHAnsi" w:cs="Arial"/>
          <w:sz w:val="16"/>
          <w:szCs w:val="16"/>
        </w:rPr>
        <w:t xml:space="preserve">ecosystem approach, available at </w:t>
      </w:r>
      <w:hyperlink r:id="rId5" w:history="1">
        <w:r w:rsidRPr="00D61E64">
          <w:rPr>
            <w:rStyle w:val="Hyperlink"/>
            <w:rFonts w:asciiTheme="minorHAnsi" w:hAnsiTheme="minorHAnsi" w:cs="Arial"/>
            <w:sz w:val="16"/>
            <w:szCs w:val="16"/>
          </w:rPr>
          <w:t>http://www.cbd.int/doc/?meeting=SBSTTA-12</w:t>
        </w:r>
      </w:hyperlink>
      <w:r w:rsidRPr="00D61E64">
        <w:rPr>
          <w:rFonts w:asciiTheme="minorHAnsi" w:hAnsiTheme="minorHAnsi" w:cs="Arial"/>
          <w:sz w:val="16"/>
          <w:szCs w:val="16"/>
        </w:rPr>
        <w:t xml:space="preserve"> </w:t>
      </w:r>
      <w:r w:rsidRPr="00D61E64">
        <w:rPr>
          <w:rFonts w:asciiTheme="minorHAnsi" w:hAnsiTheme="minorHAnsi" w:cs="Arial"/>
          <w:sz w:val="16"/>
          <w:szCs w:val="16"/>
          <w:highlight w:val="yellow"/>
        </w:rPr>
        <w:t>-- check latest decision on ecosystem approach which was COP9 IX/7</w:t>
      </w:r>
      <w:r w:rsidRPr="00D61E64">
        <w:rPr>
          <w:rFonts w:asciiTheme="minorHAnsi" w:hAnsiTheme="minorHAnsi" w:cs="Arial"/>
          <w:sz w:val="16"/>
          <w:szCs w:val="16"/>
        </w:rPr>
        <w:t>.</w:t>
      </w:r>
    </w:p>
  </w:footnote>
  <w:footnote w:id="13">
    <w:p w14:paraId="3E79E727" w14:textId="3E13CFD9" w:rsidR="007C4831" w:rsidRPr="00835419" w:rsidRDefault="007C4831" w:rsidP="00835419">
      <w:pPr>
        <w:spacing w:after="0" w:line="240" w:lineRule="auto"/>
        <w:rPr>
          <w:sz w:val="16"/>
          <w:szCs w:val="18"/>
          <w:lang w:val="en-GB"/>
        </w:rPr>
      </w:pPr>
      <w:r w:rsidRPr="00835419">
        <w:rPr>
          <w:rStyle w:val="FootnoteReference"/>
          <w:sz w:val="16"/>
          <w:szCs w:val="18"/>
        </w:rPr>
        <w:footnoteRef/>
      </w:r>
      <w:r w:rsidRPr="00835419">
        <w:rPr>
          <w:sz w:val="16"/>
          <w:szCs w:val="18"/>
          <w:lang w:val="en-GB"/>
        </w:rPr>
        <w:t xml:space="preserve"> For instance: </w:t>
      </w:r>
      <w:r w:rsidRPr="00835419">
        <w:rPr>
          <w:rFonts w:cs="Arial"/>
          <w:sz w:val="16"/>
          <w:szCs w:val="18"/>
          <w:lang w:val="en-GB"/>
        </w:rPr>
        <w:t>promote recognition of rights and interests of Indigenous Peoples (principle 1), opportunities for community-based management (principle 2)</w:t>
      </w:r>
      <w:proofErr w:type="gramStart"/>
      <w:r w:rsidRPr="00835419">
        <w:rPr>
          <w:rFonts w:cs="Arial"/>
          <w:sz w:val="16"/>
          <w:szCs w:val="18"/>
          <w:lang w:val="en-GB"/>
        </w:rPr>
        <w:t>,  paying</w:t>
      </w:r>
      <w:proofErr w:type="gramEnd"/>
      <w:r w:rsidRPr="00835419">
        <w:rPr>
          <w:rFonts w:cs="Arial"/>
          <w:sz w:val="16"/>
          <w:szCs w:val="18"/>
          <w:lang w:val="en-GB"/>
        </w:rPr>
        <w:t xml:space="preserve"> more attention to human needs and to sustainable use in combination with  conservation (principle 10), working with indigenous and local knowledge, innovations and practices as well as scientific (principle 11) and involving Indigenous Peoples and local communities in any process that affects them (principle 12). </w:t>
      </w:r>
    </w:p>
  </w:footnote>
  <w:footnote w:id="14">
    <w:p w14:paraId="6B22BC7C" w14:textId="2CF5C39E" w:rsidR="007C4831" w:rsidRPr="00835419" w:rsidRDefault="007C4831" w:rsidP="00C95F58">
      <w:pPr>
        <w:spacing w:after="0" w:line="240" w:lineRule="auto"/>
        <w:rPr>
          <w:sz w:val="16"/>
          <w:szCs w:val="18"/>
          <w:lang w:val="en-GB"/>
        </w:rPr>
      </w:pPr>
      <w:r w:rsidRPr="00835419">
        <w:rPr>
          <w:rStyle w:val="FootnoteReference"/>
          <w:sz w:val="16"/>
          <w:szCs w:val="18"/>
        </w:rPr>
        <w:footnoteRef/>
      </w:r>
      <w:r w:rsidRPr="00835419">
        <w:rPr>
          <w:sz w:val="16"/>
          <w:szCs w:val="18"/>
          <w:lang w:val="en-GB"/>
        </w:rPr>
        <w:t xml:space="preserve"> Based on:  </w:t>
      </w:r>
      <w:proofErr w:type="gramStart"/>
      <w:r w:rsidRPr="00835419">
        <w:rPr>
          <w:sz w:val="16"/>
          <w:szCs w:val="18"/>
          <w:lang w:val="en-GB"/>
        </w:rPr>
        <w:t>The  Ecosystem</w:t>
      </w:r>
      <w:proofErr w:type="gramEnd"/>
      <w:r w:rsidRPr="00835419">
        <w:rPr>
          <w:sz w:val="16"/>
          <w:szCs w:val="18"/>
          <w:lang w:val="en-GB"/>
        </w:rPr>
        <w:t xml:space="preserve">  Approach:  How  governments  can  learn  from  Indigenous  Peoples  and  local  communities, CBD Alliance media briefing No.6, CBD  Alliance  -  Media  Advisory  for CBD COP9-  May  2008</w:t>
      </w:r>
    </w:p>
    <w:p w14:paraId="281BAB0A" w14:textId="2EA5E2AD" w:rsidR="007C4831" w:rsidRPr="00835419" w:rsidRDefault="006F5484" w:rsidP="00C95F58">
      <w:pPr>
        <w:pStyle w:val="FootnoteText"/>
        <w:rPr>
          <w:rFonts w:asciiTheme="minorHAnsi" w:hAnsiTheme="minorHAnsi"/>
          <w:sz w:val="16"/>
          <w:szCs w:val="18"/>
          <w:lang w:val="en-GB"/>
        </w:rPr>
      </w:pPr>
      <w:hyperlink r:id="rId6" w:history="1">
        <w:r w:rsidR="007C4831" w:rsidRPr="00835419">
          <w:rPr>
            <w:rStyle w:val="Hyperlink"/>
            <w:rFonts w:asciiTheme="minorHAnsi" w:hAnsiTheme="minorHAnsi" w:cstheme="minorBidi"/>
            <w:sz w:val="16"/>
            <w:szCs w:val="18"/>
            <w:lang w:val="en-GB"/>
          </w:rPr>
          <w:t>http://www.cbdalliance.org/en/index.php/en/our-work/breifing-notes-and-reports/cop-9-briefings</w:t>
        </w:r>
      </w:hyperlink>
    </w:p>
  </w:footnote>
  <w:footnote w:id="15">
    <w:p w14:paraId="0C3D5BCF" w14:textId="55B79FA3" w:rsidR="007C4831" w:rsidRPr="008F5567" w:rsidRDefault="007C4831" w:rsidP="00C95F58">
      <w:pPr>
        <w:pStyle w:val="HEADINGNOTFORTOC"/>
        <w:spacing w:before="0" w:after="0"/>
        <w:jc w:val="left"/>
        <w:outlineLvl w:val="9"/>
      </w:pPr>
      <w:r w:rsidRPr="008F5567">
        <w:rPr>
          <w:rStyle w:val="FootnoteReference"/>
          <w:rFonts w:asciiTheme="minorHAnsi" w:hAnsiTheme="minorHAnsi"/>
          <w:sz w:val="16"/>
          <w:szCs w:val="16"/>
        </w:rPr>
        <w:footnoteRef/>
      </w:r>
      <w:r w:rsidRPr="008F5567">
        <w:rPr>
          <w:rFonts w:asciiTheme="minorHAnsi" w:hAnsiTheme="minorHAnsi"/>
          <w:sz w:val="16"/>
          <w:szCs w:val="16"/>
        </w:rPr>
        <w:t xml:space="preserve"> </w:t>
      </w:r>
      <w:r w:rsidRPr="008F5567">
        <w:rPr>
          <w:rFonts w:asciiTheme="minorHAnsi" w:hAnsiTheme="minorHAnsi"/>
          <w:b w:val="0"/>
          <w:caps w:val="0"/>
          <w:sz w:val="16"/>
          <w:szCs w:val="16"/>
        </w:rPr>
        <w:t xml:space="preserve">Based on: case studies from indigenous peoples and local communities’ organisations research on customary sustainable use, presented at the international workshop on 10(c) in 2011: see </w:t>
      </w:r>
      <w:r>
        <w:rPr>
          <w:rFonts w:asciiTheme="minorHAnsi" w:hAnsiTheme="minorHAnsi"/>
          <w:b w:val="0"/>
          <w:caps w:val="0"/>
          <w:sz w:val="16"/>
          <w:szCs w:val="16"/>
        </w:rPr>
        <w:t>r</w:t>
      </w:r>
      <w:r w:rsidRPr="008F5567">
        <w:rPr>
          <w:rFonts w:asciiTheme="minorHAnsi" w:hAnsiTheme="minorHAnsi"/>
          <w:b w:val="0"/>
          <w:caps w:val="0"/>
          <w:sz w:val="16"/>
          <w:szCs w:val="16"/>
        </w:rPr>
        <w:t>eport of the meeting on Article 10 with a focus on article 10(c) as a major component of the programme of work on article 8(j) and related provisions of the convention, p. 6-7 (</w:t>
      </w:r>
      <w:r w:rsidRPr="008F5567">
        <w:rPr>
          <w:rFonts w:asciiTheme="minorHAnsi" w:hAnsiTheme="minorHAnsi"/>
          <w:b w:val="0"/>
          <w:sz w:val="16"/>
          <w:szCs w:val="16"/>
        </w:rPr>
        <w:t xml:space="preserve">UNEP/CBD/WG8J/7/INF/5). </w:t>
      </w:r>
    </w:p>
  </w:footnote>
  <w:footnote w:id="16">
    <w:p w14:paraId="163615ED" w14:textId="606EB3C7" w:rsidR="007C4831" w:rsidRPr="002A4431" w:rsidRDefault="007C4831" w:rsidP="002A4431">
      <w:pPr>
        <w:pStyle w:val="FootnoteText"/>
        <w:rPr>
          <w:rFonts w:asciiTheme="minorHAnsi" w:hAnsiTheme="minorHAnsi"/>
          <w:sz w:val="16"/>
          <w:szCs w:val="16"/>
          <w:lang w:val="en-GB"/>
        </w:rPr>
      </w:pPr>
      <w:r w:rsidRPr="002A4431">
        <w:rPr>
          <w:rStyle w:val="FootnoteReference"/>
          <w:rFonts w:asciiTheme="minorHAnsi" w:hAnsiTheme="minorHAnsi"/>
          <w:sz w:val="16"/>
          <w:szCs w:val="16"/>
        </w:rPr>
        <w:footnoteRef/>
      </w:r>
      <w:r w:rsidRPr="002A4431">
        <w:rPr>
          <w:rFonts w:asciiTheme="minorHAnsi" w:hAnsiTheme="minorHAnsi"/>
          <w:sz w:val="16"/>
          <w:szCs w:val="16"/>
        </w:rPr>
        <w:t xml:space="preserve"> </w:t>
      </w:r>
      <w:r>
        <w:rPr>
          <w:rFonts w:asciiTheme="minorHAnsi" w:hAnsiTheme="minorHAnsi"/>
          <w:sz w:val="16"/>
          <w:szCs w:val="16"/>
        </w:rPr>
        <w:t>S</w:t>
      </w:r>
      <w:proofErr w:type="spellStart"/>
      <w:r w:rsidRPr="002A4431">
        <w:rPr>
          <w:rFonts w:asciiTheme="minorHAnsi" w:hAnsiTheme="minorHAnsi"/>
          <w:sz w:val="16"/>
          <w:szCs w:val="16"/>
          <w:lang w:val="en-GB"/>
        </w:rPr>
        <w:t>ynthesis</w:t>
      </w:r>
      <w:proofErr w:type="spellEnd"/>
      <w:r>
        <w:rPr>
          <w:rFonts w:asciiTheme="minorHAnsi" w:hAnsiTheme="minorHAnsi"/>
          <w:sz w:val="16"/>
          <w:szCs w:val="16"/>
          <w:lang w:val="en-GB"/>
        </w:rPr>
        <w:t xml:space="preserve"> paper:</w:t>
      </w:r>
      <w:r w:rsidRPr="002A4431">
        <w:rPr>
          <w:rFonts w:asciiTheme="minorHAnsi" w:hAnsiTheme="minorHAnsi"/>
          <w:sz w:val="16"/>
          <w:szCs w:val="16"/>
          <w:lang w:val="en-GB"/>
        </w:rPr>
        <w:t xml:space="preserve"> </w:t>
      </w:r>
      <w:r w:rsidRPr="002A4431">
        <w:rPr>
          <w:rFonts w:asciiTheme="minorHAnsi" w:hAnsiTheme="minorHAnsi"/>
          <w:sz w:val="16"/>
          <w:szCs w:val="16"/>
          <w:lang w:val="en"/>
        </w:rPr>
        <w:t>Customary sustainable use of biodiversity by indigenous peoples and local communities: Examples, challenges, community initiatives and recommendations relating to CBD Article 10(c)</w:t>
      </w:r>
      <w:r>
        <w:rPr>
          <w:rFonts w:asciiTheme="minorHAnsi" w:hAnsiTheme="minorHAnsi"/>
          <w:sz w:val="16"/>
          <w:szCs w:val="16"/>
          <w:lang w:val="en"/>
        </w:rPr>
        <w:t xml:space="preserve"> (Forest Peoples Programme 2011). </w:t>
      </w:r>
      <w:r>
        <w:rPr>
          <w:rFonts w:asciiTheme="minorHAnsi" w:hAnsiTheme="minorHAnsi"/>
          <w:sz w:val="16"/>
          <w:szCs w:val="16"/>
          <w:lang w:val="en"/>
        </w:rPr>
        <w:t xml:space="preserve">For more information about the network see </w:t>
      </w:r>
      <w:r w:rsidR="006F5484">
        <w:fldChar w:fldCharType="begin"/>
      </w:r>
      <w:r w:rsidR="006F5484">
        <w:instrText xml:space="preserve"> HYPERLINK "http://www.forestpeoples.org/customary-sustainable-use-studies" </w:instrText>
      </w:r>
      <w:r w:rsidR="006F5484">
        <w:fldChar w:fldCharType="separate"/>
      </w:r>
      <w:r w:rsidRPr="00AD33D5">
        <w:rPr>
          <w:rStyle w:val="Hyperlink"/>
          <w:rFonts w:asciiTheme="minorHAnsi" w:hAnsiTheme="minorHAnsi"/>
          <w:sz w:val="16"/>
          <w:szCs w:val="16"/>
          <w:lang w:val="en"/>
        </w:rPr>
        <w:t>http://www.forestpeoples.org/customary-sustainable-use-studies</w:t>
      </w:r>
      <w:r w:rsidR="006F5484">
        <w:rPr>
          <w:rStyle w:val="Hyperlink"/>
          <w:rFonts w:asciiTheme="minorHAnsi" w:hAnsiTheme="minorHAnsi"/>
          <w:sz w:val="16"/>
          <w:szCs w:val="16"/>
          <w:lang w:val="en"/>
        </w:rPr>
        <w:fldChar w:fldCharType="end"/>
      </w:r>
      <w:r>
        <w:rPr>
          <w:rFonts w:asciiTheme="minorHAnsi" w:hAnsiTheme="minorHAnsi"/>
          <w:sz w:val="16"/>
          <w:szCs w:val="16"/>
          <w:lang w:val="en"/>
        </w:rPr>
        <w:t xml:space="preserve"> </w:t>
      </w:r>
    </w:p>
  </w:footnote>
  <w:footnote w:id="17">
    <w:p w14:paraId="295E790A" w14:textId="1A891CDE" w:rsidR="007C4831" w:rsidRPr="005122D2" w:rsidRDefault="007C4831">
      <w:pPr>
        <w:pStyle w:val="FootnoteText"/>
        <w:rPr>
          <w:rFonts w:asciiTheme="minorHAnsi" w:hAnsiTheme="minorHAnsi"/>
          <w:sz w:val="16"/>
          <w:szCs w:val="16"/>
        </w:rPr>
      </w:pPr>
      <w:r w:rsidRPr="005122D2">
        <w:rPr>
          <w:rStyle w:val="FootnoteReference"/>
          <w:rFonts w:asciiTheme="minorHAnsi" w:hAnsiTheme="minorHAnsi"/>
          <w:sz w:val="16"/>
          <w:szCs w:val="16"/>
        </w:rPr>
        <w:footnoteRef/>
      </w:r>
      <w:r w:rsidRPr="005122D2">
        <w:rPr>
          <w:rFonts w:asciiTheme="minorHAnsi" w:hAnsiTheme="minorHAnsi"/>
          <w:sz w:val="16"/>
          <w:szCs w:val="16"/>
        </w:rPr>
        <w:t xml:space="preserve"> </w:t>
      </w:r>
      <w:hyperlink r:id="rId7" w:history="1">
        <w:r w:rsidRPr="005122D2">
          <w:rPr>
            <w:rStyle w:val="Hyperlink"/>
            <w:rFonts w:asciiTheme="minorHAnsi" w:hAnsiTheme="minorHAnsi" w:cs="Tahoma"/>
            <w:bCs/>
            <w:sz w:val="16"/>
            <w:szCs w:val="16"/>
            <w:lang w:val="en-GB" w:eastAsia="nl-NL"/>
          </w:rPr>
          <w:t>https://www.youtube.com/watch?v=fAz0_NlxMuM&amp;hd=1</w:t>
        </w:r>
      </w:hyperlink>
      <w:r w:rsidRPr="005122D2">
        <w:rPr>
          <w:rFonts w:asciiTheme="minorHAnsi" w:hAnsiTheme="minorHAnsi" w:cs="Tahoma"/>
          <w:bCs/>
          <w:color w:val="000000"/>
          <w:sz w:val="16"/>
          <w:szCs w:val="16"/>
          <w:lang w:val="en-GB" w:eastAsia="nl-NL"/>
        </w:rPr>
        <w:t xml:space="preserve"> </w:t>
      </w:r>
    </w:p>
  </w:footnote>
  <w:footnote w:id="18">
    <w:p w14:paraId="0CA9C4D3" w14:textId="430A781F" w:rsidR="007C4831" w:rsidRPr="00F302A3" w:rsidRDefault="007C4831" w:rsidP="005122D2">
      <w:pPr>
        <w:pStyle w:val="FootnoteText"/>
        <w:rPr>
          <w:rFonts w:asciiTheme="minorHAnsi" w:hAnsiTheme="minorHAnsi"/>
          <w:sz w:val="16"/>
          <w:szCs w:val="16"/>
        </w:rPr>
      </w:pPr>
      <w:r w:rsidRPr="00F302A3">
        <w:rPr>
          <w:rStyle w:val="FootnoteReference"/>
          <w:rFonts w:asciiTheme="minorHAnsi" w:hAnsiTheme="minorHAnsi"/>
          <w:sz w:val="16"/>
          <w:szCs w:val="16"/>
        </w:rPr>
        <w:footnoteRef/>
      </w:r>
      <w:r w:rsidRPr="00F302A3">
        <w:rPr>
          <w:rFonts w:asciiTheme="minorHAnsi" w:hAnsiTheme="minorHAnsi"/>
          <w:sz w:val="16"/>
          <w:szCs w:val="16"/>
        </w:rPr>
        <w:t xml:space="preserve">  </w:t>
      </w:r>
      <w:hyperlink r:id="rId8" w:history="1">
        <w:r w:rsidRPr="00F302A3">
          <w:rPr>
            <w:rStyle w:val="Hyperlink"/>
            <w:rFonts w:asciiTheme="minorHAnsi" w:hAnsiTheme="minorHAnsi" w:cstheme="minorBidi"/>
            <w:sz w:val="16"/>
            <w:szCs w:val="16"/>
          </w:rPr>
          <w:t>http://unu.edu/publications/articles/why-traditional-knowledge-holds-the-key-to-climate-change.html</w:t>
        </w:r>
      </w:hyperlink>
      <w:r w:rsidRPr="00F302A3">
        <w:rPr>
          <w:rStyle w:val="Hyperlink"/>
          <w:rFonts w:asciiTheme="minorHAnsi" w:hAnsiTheme="minorHAnsi" w:cstheme="minorBidi"/>
          <w:sz w:val="16"/>
          <w:szCs w:val="16"/>
        </w:rPr>
        <w:t xml:space="preserve"> </w:t>
      </w:r>
    </w:p>
  </w:footnote>
  <w:footnote w:id="19">
    <w:p w14:paraId="3C1CB624" w14:textId="00685A64" w:rsidR="007C4831" w:rsidRPr="00F302A3" w:rsidRDefault="007C4831" w:rsidP="005122D2">
      <w:pPr>
        <w:pStyle w:val="FootnoteText"/>
        <w:rPr>
          <w:sz w:val="16"/>
          <w:szCs w:val="16"/>
        </w:rPr>
      </w:pPr>
      <w:r w:rsidRPr="00F302A3">
        <w:rPr>
          <w:rStyle w:val="FootnoteReference"/>
          <w:rFonts w:asciiTheme="minorHAnsi" w:hAnsiTheme="minorHAnsi"/>
          <w:sz w:val="16"/>
          <w:szCs w:val="16"/>
        </w:rPr>
        <w:footnoteRef/>
      </w:r>
      <w:r w:rsidRPr="00F302A3">
        <w:rPr>
          <w:rFonts w:asciiTheme="minorHAnsi" w:hAnsiTheme="minorHAnsi"/>
          <w:sz w:val="16"/>
          <w:szCs w:val="16"/>
        </w:rPr>
        <w:t xml:space="preserve"> In: </w:t>
      </w:r>
      <w:r w:rsidRPr="00F302A3">
        <w:rPr>
          <w:rFonts w:asciiTheme="minorHAnsi" w:hAnsiTheme="minorHAnsi" w:cs="Tahoma"/>
          <w:color w:val="000000"/>
          <w:sz w:val="16"/>
          <w:szCs w:val="16"/>
          <w:lang w:val="en-GB" w:eastAsia="nl-NL"/>
        </w:rPr>
        <w:t>AIPP video </w:t>
      </w:r>
      <w:r w:rsidRPr="00F302A3">
        <w:rPr>
          <w:rFonts w:asciiTheme="minorHAnsi" w:hAnsiTheme="minorHAnsi" w:cs="Tahoma"/>
          <w:bCs/>
          <w:color w:val="000000"/>
          <w:sz w:val="16"/>
          <w:szCs w:val="16"/>
          <w:lang w:val="en-GB" w:eastAsia="nl-NL"/>
        </w:rPr>
        <w:t xml:space="preserve">“Community Based Forest Management: Local Solutions to Global Challenges” (2014): </w:t>
      </w:r>
      <w:hyperlink r:id="rId9" w:history="1">
        <w:r w:rsidRPr="00F302A3">
          <w:rPr>
            <w:rStyle w:val="Hyperlink"/>
            <w:rFonts w:asciiTheme="minorHAnsi" w:hAnsiTheme="minorHAnsi" w:cs="Tahoma"/>
            <w:bCs/>
            <w:sz w:val="16"/>
            <w:szCs w:val="16"/>
            <w:lang w:val="en-GB" w:eastAsia="nl-NL"/>
          </w:rPr>
          <w:t>https://www.youtube.com/watch?v=fAz0_NlxMuM&amp;hd=1</w:t>
        </w:r>
      </w:hyperlink>
      <w:r w:rsidRPr="00F302A3">
        <w:rPr>
          <w:rFonts w:asciiTheme="minorHAnsi" w:hAnsiTheme="minorHAnsi" w:cs="Tahoma"/>
          <w:bCs/>
          <w:color w:val="000000"/>
          <w:sz w:val="16"/>
          <w:szCs w:val="16"/>
          <w:lang w:val="en-GB" w:eastAsia="nl-NL"/>
        </w:rPr>
        <w:t xml:space="preserve">  </w:t>
      </w:r>
      <w:r w:rsidRPr="00F302A3">
        <w:rPr>
          <w:rFonts w:cs="Tahoma"/>
          <w:bCs/>
          <w:color w:val="000000"/>
          <w:sz w:val="16"/>
          <w:szCs w:val="16"/>
          <w:lang w:val="en-GB" w:eastAsia="nl-NL"/>
        </w:rPr>
        <w:t xml:space="preserve"> </w:t>
      </w:r>
    </w:p>
  </w:footnote>
  <w:footnote w:id="20">
    <w:p w14:paraId="60014FE0" w14:textId="77777777" w:rsidR="007C4831" w:rsidRPr="00F302A3" w:rsidRDefault="007C4831" w:rsidP="00F302A3">
      <w:pPr>
        <w:tabs>
          <w:tab w:val="left" w:pos="720"/>
        </w:tabs>
        <w:spacing w:after="0" w:line="240" w:lineRule="auto"/>
        <w:rPr>
          <w:color w:val="000000" w:themeColor="text1"/>
          <w:sz w:val="16"/>
          <w:szCs w:val="16"/>
          <w:lang w:val="en-GB"/>
        </w:rPr>
      </w:pPr>
      <w:r w:rsidRPr="00F302A3">
        <w:rPr>
          <w:rStyle w:val="FootnoteReference"/>
          <w:sz w:val="16"/>
          <w:szCs w:val="16"/>
        </w:rPr>
        <w:footnoteRef/>
      </w:r>
      <w:r w:rsidRPr="00F302A3">
        <w:rPr>
          <w:sz w:val="16"/>
          <w:szCs w:val="16"/>
          <w:lang w:val="en-GB"/>
        </w:rPr>
        <w:t xml:space="preserve"> See </w:t>
      </w:r>
      <w:hyperlink r:id="rId10" w:history="1">
        <w:r w:rsidRPr="00F302A3">
          <w:rPr>
            <w:rStyle w:val="Hyperlink"/>
            <w:sz w:val="16"/>
            <w:szCs w:val="16"/>
            <w:lang w:val="en-GB"/>
          </w:rPr>
          <w:t>http://www.ikap-mmsea.org/index.html</w:t>
        </w:r>
      </w:hyperlink>
      <w:r w:rsidRPr="00F302A3">
        <w:rPr>
          <w:sz w:val="16"/>
          <w:szCs w:val="16"/>
          <w:lang w:val="en-GB"/>
        </w:rPr>
        <w:t xml:space="preserve"> and </w:t>
      </w:r>
      <w:r w:rsidRPr="00F302A3">
        <w:rPr>
          <w:color w:val="000000" w:themeColor="text1"/>
          <w:sz w:val="16"/>
          <w:szCs w:val="16"/>
          <w:lang w:val="en-GB"/>
        </w:rPr>
        <w:t xml:space="preserve">UNEP/CBD/WG8J/8/INF/11 </w:t>
      </w:r>
    </w:p>
    <w:p w14:paraId="10BBAD61" w14:textId="53953998" w:rsidR="007C4831" w:rsidRPr="00F302A3" w:rsidRDefault="007C4831">
      <w:pPr>
        <w:pStyle w:val="FootnoteText"/>
        <w:rPr>
          <w:lang w:val="en-GB"/>
        </w:rPr>
      </w:pPr>
    </w:p>
  </w:footnote>
  <w:footnote w:id="21">
    <w:p w14:paraId="27639A6B" w14:textId="5596326B" w:rsidR="007C4831" w:rsidRPr="00E32663" w:rsidRDefault="007C4831" w:rsidP="00E32663">
      <w:pPr>
        <w:pStyle w:val="FootnoteText"/>
        <w:rPr>
          <w:rFonts w:asciiTheme="minorHAnsi" w:hAnsiTheme="minorHAnsi"/>
          <w:sz w:val="16"/>
          <w:szCs w:val="16"/>
        </w:rPr>
      </w:pPr>
      <w:r w:rsidRPr="00E32663">
        <w:rPr>
          <w:rStyle w:val="FootnoteReference"/>
          <w:rFonts w:asciiTheme="minorHAnsi" w:hAnsiTheme="minorHAnsi"/>
          <w:sz w:val="16"/>
          <w:szCs w:val="16"/>
        </w:rPr>
        <w:footnoteRef/>
      </w:r>
      <w:r w:rsidRPr="00E32663">
        <w:rPr>
          <w:rFonts w:asciiTheme="minorHAnsi" w:hAnsiTheme="minorHAnsi"/>
          <w:sz w:val="16"/>
          <w:szCs w:val="16"/>
        </w:rPr>
        <w:t xml:space="preserve"> S</w:t>
      </w:r>
      <w:proofErr w:type="spellStart"/>
      <w:r w:rsidRPr="00E32663">
        <w:rPr>
          <w:rFonts w:asciiTheme="minorHAnsi" w:hAnsiTheme="minorHAnsi"/>
          <w:sz w:val="16"/>
          <w:szCs w:val="16"/>
          <w:lang w:val="en-GB"/>
        </w:rPr>
        <w:t>ynthesis</w:t>
      </w:r>
      <w:proofErr w:type="spellEnd"/>
      <w:r w:rsidRPr="00E32663">
        <w:rPr>
          <w:rFonts w:asciiTheme="minorHAnsi" w:hAnsiTheme="minorHAnsi"/>
          <w:sz w:val="16"/>
          <w:szCs w:val="16"/>
          <w:lang w:val="en-GB"/>
        </w:rPr>
        <w:t xml:space="preserve"> paper: </w:t>
      </w:r>
      <w:r w:rsidRPr="00E32663">
        <w:rPr>
          <w:rFonts w:asciiTheme="minorHAnsi" w:hAnsiTheme="minorHAnsi"/>
          <w:sz w:val="16"/>
          <w:szCs w:val="16"/>
          <w:lang w:val="en"/>
        </w:rPr>
        <w:t>Customary sustainable use of biodiversity by indigenous peoples and local communities: Examples, challenges, community initiatives and recommendations relating to CBD Article 10(c) (Forest Peoples Programme 2011).</w:t>
      </w:r>
    </w:p>
  </w:footnote>
  <w:footnote w:id="22">
    <w:p w14:paraId="516AAC31" w14:textId="77777777" w:rsidR="007C4831" w:rsidRPr="00E32663" w:rsidRDefault="007C4831" w:rsidP="00E32663">
      <w:pPr>
        <w:spacing w:after="0" w:line="240" w:lineRule="auto"/>
        <w:rPr>
          <w:sz w:val="16"/>
          <w:szCs w:val="16"/>
          <w:lang w:val="en-GB"/>
        </w:rPr>
      </w:pPr>
      <w:r w:rsidRPr="00E32663">
        <w:rPr>
          <w:rStyle w:val="FootnoteReference"/>
          <w:sz w:val="16"/>
          <w:szCs w:val="16"/>
        </w:rPr>
        <w:footnoteRef/>
      </w:r>
      <w:r w:rsidRPr="00E32663">
        <w:rPr>
          <w:sz w:val="16"/>
          <w:szCs w:val="16"/>
          <w:lang w:val="en-GB"/>
        </w:rPr>
        <w:t xml:space="preserve"> </w:t>
      </w:r>
      <w:r w:rsidRPr="00E32663">
        <w:rPr>
          <w:sz w:val="16"/>
          <w:szCs w:val="16"/>
          <w:lang w:val="en"/>
        </w:rPr>
        <w:t xml:space="preserve">A brochure which summarizes key contents of the territorial plan, as well as the full version of the plan are available here: </w:t>
      </w:r>
    </w:p>
    <w:p w14:paraId="4581F289" w14:textId="598F8D07" w:rsidR="007C4831" w:rsidRPr="00E32663" w:rsidRDefault="00530C00" w:rsidP="00E32663">
      <w:pPr>
        <w:spacing w:after="0" w:line="240" w:lineRule="auto"/>
        <w:rPr>
          <w:sz w:val="16"/>
          <w:szCs w:val="16"/>
          <w:lang w:val="en-US"/>
        </w:rPr>
      </w:pPr>
      <w:hyperlink r:id="rId11" w:history="1">
        <w:r w:rsidR="007C4831" w:rsidRPr="00E32663">
          <w:rPr>
            <w:rStyle w:val="Hyperlink"/>
            <w:sz w:val="16"/>
            <w:szCs w:val="16"/>
            <w:lang w:val="en-GB"/>
          </w:rPr>
          <w:t>http://www.forestpeoples.org/topics/customary-sustainable-use/publication/2012/wapichan-people-guyana-make-community-based-agreem</w:t>
        </w:r>
      </w:hyperlink>
    </w:p>
  </w:footnote>
  <w:footnote w:id="23">
    <w:p w14:paraId="4591D209" w14:textId="13A427CF" w:rsidR="007C4831" w:rsidRPr="00FC294B" w:rsidRDefault="007C4831" w:rsidP="00FC294B">
      <w:pPr>
        <w:spacing w:after="0" w:line="240" w:lineRule="auto"/>
        <w:rPr>
          <w:lang w:val="en-GB"/>
        </w:rPr>
      </w:pPr>
      <w:r w:rsidRPr="00FC294B">
        <w:rPr>
          <w:rStyle w:val="FootnoteReference"/>
          <w:sz w:val="16"/>
          <w:szCs w:val="16"/>
        </w:rPr>
        <w:footnoteRef/>
      </w:r>
      <w:r w:rsidRPr="00FC294B">
        <w:rPr>
          <w:sz w:val="16"/>
          <w:szCs w:val="16"/>
          <w:lang w:val="en-GB"/>
        </w:rPr>
        <w:t xml:space="preserve"> Thinking Together for </w:t>
      </w:r>
      <w:proofErr w:type="gramStart"/>
      <w:r w:rsidRPr="00FC294B">
        <w:rPr>
          <w:sz w:val="16"/>
          <w:szCs w:val="16"/>
          <w:lang w:val="en-GB"/>
        </w:rPr>
        <w:t>Those  coming</w:t>
      </w:r>
      <w:proofErr w:type="gramEnd"/>
      <w:r w:rsidRPr="00FC294B">
        <w:rPr>
          <w:sz w:val="16"/>
          <w:szCs w:val="16"/>
          <w:lang w:val="en-GB"/>
        </w:rPr>
        <w:t xml:space="preserve"> behind us An outline plan for the care of </w:t>
      </w:r>
      <w:proofErr w:type="spellStart"/>
      <w:r w:rsidRPr="00FC294B">
        <w:rPr>
          <w:sz w:val="16"/>
          <w:szCs w:val="16"/>
          <w:lang w:val="en-GB"/>
        </w:rPr>
        <w:t>Wapichan</w:t>
      </w:r>
      <w:proofErr w:type="spellEnd"/>
      <w:r w:rsidRPr="00FC294B">
        <w:rPr>
          <w:sz w:val="16"/>
          <w:szCs w:val="16"/>
          <w:lang w:val="en-GB"/>
        </w:rPr>
        <w:t xml:space="preserve"> territory in Guyana (2012), 63-76, </w:t>
      </w:r>
      <w:r>
        <w:rPr>
          <w:sz w:val="16"/>
          <w:szCs w:val="16"/>
          <w:lang w:val="en-GB"/>
        </w:rPr>
        <w:t xml:space="preserve">available at: </w:t>
      </w:r>
      <w:hyperlink r:id="rId12" w:history="1">
        <w:r w:rsidRPr="00FC294B">
          <w:rPr>
            <w:rStyle w:val="Hyperlink"/>
            <w:rFonts w:cstheme="minorBidi"/>
            <w:sz w:val="16"/>
            <w:szCs w:val="16"/>
            <w:lang w:val="en-GB"/>
          </w:rPr>
          <w:t>http://www.forestpeoples.org/sites/fpp/files/publication/2012/05/wapichan-mp-22may12lowresnomarks.pdf</w:t>
        </w:r>
      </w:hyperlink>
      <w:r>
        <w:rPr>
          <w:sz w:val="16"/>
          <w:szCs w:val="16"/>
          <w:lang w:val="en-GB"/>
        </w:rPr>
        <w:t>.</w:t>
      </w:r>
    </w:p>
  </w:footnote>
  <w:footnote w:id="24">
    <w:p w14:paraId="4355A2CA" w14:textId="03691CE8" w:rsidR="007C4831" w:rsidRPr="00FC294B" w:rsidRDefault="007C4831">
      <w:pPr>
        <w:pStyle w:val="FootnoteText"/>
        <w:rPr>
          <w:rFonts w:asciiTheme="minorHAnsi" w:hAnsiTheme="minorHAnsi"/>
          <w:sz w:val="16"/>
          <w:szCs w:val="16"/>
        </w:rPr>
      </w:pPr>
      <w:r w:rsidRPr="00FC294B">
        <w:rPr>
          <w:rStyle w:val="FootnoteReference"/>
          <w:rFonts w:asciiTheme="minorHAnsi" w:hAnsiTheme="minorHAnsi"/>
          <w:sz w:val="16"/>
          <w:szCs w:val="16"/>
        </w:rPr>
        <w:footnoteRef/>
      </w:r>
      <w:r w:rsidRPr="00FC294B">
        <w:rPr>
          <w:rFonts w:asciiTheme="minorHAnsi" w:hAnsiTheme="minorHAnsi"/>
          <w:sz w:val="16"/>
          <w:szCs w:val="16"/>
        </w:rPr>
        <w:t xml:space="preserve"> See </w:t>
      </w:r>
      <w:hyperlink r:id="rId13" w:history="1">
        <w:r w:rsidRPr="00FC294B">
          <w:rPr>
            <w:rStyle w:val="Hyperlink"/>
            <w:rFonts w:asciiTheme="minorHAnsi" w:hAnsiTheme="minorHAnsi"/>
            <w:sz w:val="16"/>
            <w:szCs w:val="16"/>
          </w:rPr>
          <w:t>http://www.iccaconsortium.org/</w:t>
        </w:r>
      </w:hyperlink>
      <w:r w:rsidRPr="00FC294B">
        <w:rPr>
          <w:rFonts w:asciiTheme="minorHAnsi" w:hAnsiTheme="minorHAnsi"/>
          <w:sz w:val="16"/>
          <w:szCs w:val="16"/>
        </w:rPr>
        <w:t xml:space="preserve"> </w:t>
      </w:r>
    </w:p>
  </w:footnote>
  <w:footnote w:id="25">
    <w:p w14:paraId="120553C5" w14:textId="79AED2B0" w:rsidR="007C4831" w:rsidRPr="002D3287" w:rsidRDefault="007C4831" w:rsidP="00E32663">
      <w:pPr>
        <w:pStyle w:val="FootnoteText"/>
        <w:rPr>
          <w:rFonts w:asciiTheme="minorHAnsi" w:hAnsiTheme="minorHAnsi"/>
          <w:sz w:val="16"/>
          <w:szCs w:val="16"/>
        </w:rPr>
      </w:pPr>
      <w:r w:rsidRPr="00E32663">
        <w:rPr>
          <w:rStyle w:val="FootnoteReference"/>
          <w:rFonts w:asciiTheme="minorHAnsi" w:hAnsiTheme="minorHAnsi"/>
          <w:sz w:val="16"/>
          <w:szCs w:val="16"/>
        </w:rPr>
        <w:footnoteRef/>
      </w:r>
      <w:r w:rsidRPr="00E32663">
        <w:rPr>
          <w:rFonts w:asciiTheme="minorHAnsi" w:hAnsiTheme="minorHAnsi"/>
          <w:sz w:val="16"/>
          <w:szCs w:val="16"/>
        </w:rPr>
        <w:t xml:space="preserve"> </w:t>
      </w:r>
      <w:r w:rsidRPr="00E32663">
        <w:rPr>
          <w:rFonts w:asciiTheme="minorHAnsi" w:hAnsiTheme="minorHAnsi"/>
          <w:bCs/>
          <w:iCs/>
          <w:sz w:val="16"/>
          <w:szCs w:val="16"/>
          <w:lang w:val="en-GB" w:bidi="en-US"/>
        </w:rPr>
        <w:t xml:space="preserve">Kothari, A. and Neumann, A. 2014. </w:t>
      </w:r>
      <w:r w:rsidRPr="00E32663">
        <w:rPr>
          <w:rFonts w:asciiTheme="minorHAnsi" w:hAnsiTheme="minorHAnsi"/>
          <w:bCs/>
          <w:i/>
          <w:iCs/>
          <w:sz w:val="16"/>
          <w:szCs w:val="16"/>
          <w:lang w:val="en-GB" w:bidi="en-US"/>
        </w:rPr>
        <w:t>ICCAs and Aichi Targets: The Contribution of Indigenous Peoples’ and Local Community Conserved Territories and Areas to the Strategic Plan for Biodiversity 2011-20</w:t>
      </w:r>
      <w:r w:rsidRPr="00E32663">
        <w:rPr>
          <w:rFonts w:asciiTheme="minorHAnsi" w:hAnsiTheme="minorHAnsi"/>
          <w:bCs/>
          <w:iCs/>
          <w:sz w:val="16"/>
          <w:szCs w:val="16"/>
          <w:lang w:val="en-GB" w:bidi="en-US"/>
        </w:rPr>
        <w:t xml:space="preserve">. </w:t>
      </w:r>
      <w:r w:rsidRPr="00E32663">
        <w:rPr>
          <w:rFonts w:asciiTheme="minorHAnsi" w:hAnsiTheme="minorHAnsi"/>
          <w:bCs/>
          <w:iCs/>
          <w:sz w:val="16"/>
          <w:szCs w:val="16"/>
          <w:lang w:bidi="en-US"/>
        </w:rPr>
        <w:t xml:space="preserve">ICCA Consortium, </w:t>
      </w:r>
      <w:proofErr w:type="spellStart"/>
      <w:r w:rsidRPr="00E32663">
        <w:rPr>
          <w:rFonts w:asciiTheme="minorHAnsi" w:hAnsiTheme="minorHAnsi"/>
          <w:bCs/>
          <w:iCs/>
          <w:sz w:val="16"/>
          <w:szCs w:val="16"/>
          <w:lang w:bidi="en-US"/>
        </w:rPr>
        <w:t>Kalpavriksh</w:t>
      </w:r>
      <w:proofErr w:type="spellEnd"/>
      <w:r w:rsidRPr="00E32663">
        <w:rPr>
          <w:rFonts w:asciiTheme="minorHAnsi" w:hAnsiTheme="minorHAnsi"/>
          <w:bCs/>
          <w:iCs/>
          <w:sz w:val="16"/>
          <w:szCs w:val="16"/>
          <w:lang w:bidi="en-US"/>
        </w:rPr>
        <w:t>, CBD Alliance, and CENESTA.</w:t>
      </w:r>
      <w:r w:rsidR="002D3287">
        <w:rPr>
          <w:rFonts w:asciiTheme="minorHAnsi" w:hAnsiTheme="minorHAnsi"/>
          <w:bCs/>
          <w:iCs/>
          <w:sz w:val="16"/>
          <w:szCs w:val="16"/>
          <w:lang w:bidi="en-US"/>
        </w:rPr>
        <w:t xml:space="preserve"> </w:t>
      </w:r>
      <w:r w:rsidR="002D3287" w:rsidRPr="002D3287">
        <w:rPr>
          <w:rFonts w:asciiTheme="minorHAnsi" w:hAnsiTheme="minorHAnsi"/>
          <w:bCs/>
          <w:iCs/>
          <w:sz w:val="16"/>
          <w:szCs w:val="16"/>
          <w:lang w:bidi="en-US"/>
        </w:rPr>
        <w:t xml:space="preserve">This note is </w:t>
      </w:r>
      <w:r w:rsidR="002D3287" w:rsidRPr="002D3287">
        <w:rPr>
          <w:rFonts w:asciiTheme="minorHAnsi" w:hAnsiTheme="minorHAnsi"/>
          <w:sz w:val="16"/>
          <w:szCs w:val="16"/>
        </w:rPr>
        <w:t xml:space="preserve">included in the official documentation of the CBD COP12, as Document INF/12. </w:t>
      </w:r>
    </w:p>
  </w:footnote>
  <w:footnote w:id="26">
    <w:p w14:paraId="1DA735D8" w14:textId="652863AF" w:rsidR="007C4831" w:rsidRPr="001B51C0" w:rsidRDefault="007C4831">
      <w:pPr>
        <w:pStyle w:val="FootnoteText"/>
        <w:rPr>
          <w:rFonts w:asciiTheme="minorHAnsi" w:hAnsiTheme="minorHAnsi"/>
          <w:sz w:val="16"/>
          <w:szCs w:val="16"/>
        </w:rPr>
      </w:pPr>
      <w:r w:rsidRPr="001B51C0">
        <w:rPr>
          <w:rStyle w:val="FootnoteReference"/>
          <w:rFonts w:asciiTheme="minorHAnsi" w:hAnsiTheme="minorHAnsi"/>
          <w:sz w:val="16"/>
          <w:szCs w:val="16"/>
        </w:rPr>
        <w:footnoteRef/>
      </w:r>
      <w:r w:rsidRPr="001B51C0">
        <w:rPr>
          <w:rFonts w:asciiTheme="minorHAnsi" w:hAnsiTheme="minorHAnsi"/>
          <w:sz w:val="16"/>
          <w:szCs w:val="16"/>
        </w:rPr>
        <w:t xml:space="preserve"> </w:t>
      </w:r>
      <w:hyperlink r:id="rId14" w:history="1">
        <w:r w:rsidRPr="001B51C0">
          <w:rPr>
            <w:rStyle w:val="Hyperlink"/>
            <w:rFonts w:asciiTheme="minorHAnsi" w:hAnsiTheme="minorHAnsi"/>
            <w:sz w:val="16"/>
            <w:szCs w:val="16"/>
          </w:rPr>
          <w:t>http://www.forestpeoples.org/topics/environmental-governance/news/2011/10/peer-reviewed-cifor-and-world-bank-studies-find-communi</w:t>
        </w:r>
      </w:hyperlink>
      <w:r w:rsidRPr="001B51C0">
        <w:rPr>
          <w:rFonts w:asciiTheme="minorHAnsi" w:hAnsiTheme="minorHAnsi"/>
          <w:sz w:val="16"/>
          <w:szCs w:val="16"/>
        </w:rPr>
        <w:t xml:space="preserve"> </w:t>
      </w:r>
    </w:p>
  </w:footnote>
  <w:footnote w:id="27">
    <w:p w14:paraId="50AC9932" w14:textId="23329FC6" w:rsidR="007C4831" w:rsidRPr="00E6008D" w:rsidRDefault="007C4831">
      <w:pPr>
        <w:pStyle w:val="FootnoteText"/>
      </w:pPr>
      <w:r>
        <w:rPr>
          <w:rStyle w:val="FootnoteReference"/>
        </w:rPr>
        <w:footnoteRef/>
      </w:r>
      <w:r>
        <w:t xml:space="preserve"> </w:t>
      </w:r>
      <w:r w:rsidRPr="00E6008D">
        <w:rPr>
          <w:rFonts w:asciiTheme="minorHAnsi" w:eastAsia="MS Mincho" w:hAnsiTheme="minorHAnsi"/>
          <w:color w:val="000000" w:themeColor="text1"/>
          <w:sz w:val="16"/>
          <w:szCs w:val="16"/>
          <w:lang w:val="en-GB" w:eastAsia="ja-JP"/>
        </w:rPr>
        <w:t>Livestock keepers – guardians of biodiversity (FAO paper 2009)</w:t>
      </w:r>
    </w:p>
  </w:footnote>
  <w:footnote w:id="28">
    <w:p w14:paraId="7FFC7D69" w14:textId="5434A6D4" w:rsidR="007C4831" w:rsidRPr="00227119" w:rsidRDefault="007C4831" w:rsidP="00674E6C">
      <w:pPr>
        <w:spacing w:after="0" w:line="240" w:lineRule="auto"/>
        <w:rPr>
          <w:lang w:val="en-GB"/>
        </w:rPr>
      </w:pPr>
      <w:r w:rsidRPr="009C350B">
        <w:rPr>
          <w:rStyle w:val="FootnoteReference"/>
          <w:sz w:val="16"/>
          <w:szCs w:val="16"/>
        </w:rPr>
        <w:footnoteRef/>
      </w:r>
      <w:r w:rsidRPr="009C350B">
        <w:rPr>
          <w:sz w:val="16"/>
          <w:szCs w:val="16"/>
          <w:lang w:val="en-GB"/>
        </w:rPr>
        <w:t xml:space="preserve"> Thinking Together for </w:t>
      </w:r>
      <w:proofErr w:type="gramStart"/>
      <w:r w:rsidRPr="009C350B">
        <w:rPr>
          <w:sz w:val="16"/>
          <w:szCs w:val="16"/>
          <w:lang w:val="en-GB"/>
        </w:rPr>
        <w:t>Those  coming</w:t>
      </w:r>
      <w:proofErr w:type="gramEnd"/>
      <w:r w:rsidRPr="009C350B">
        <w:rPr>
          <w:sz w:val="16"/>
          <w:szCs w:val="16"/>
          <w:lang w:val="en-GB"/>
        </w:rPr>
        <w:t xml:space="preserve"> behind us An outline plan for the care of </w:t>
      </w:r>
      <w:proofErr w:type="spellStart"/>
      <w:r w:rsidRPr="009C350B">
        <w:rPr>
          <w:sz w:val="16"/>
          <w:szCs w:val="16"/>
          <w:lang w:val="en-GB"/>
        </w:rPr>
        <w:t>Wapichan</w:t>
      </w:r>
      <w:proofErr w:type="spellEnd"/>
      <w:r w:rsidRPr="009C350B">
        <w:rPr>
          <w:sz w:val="16"/>
          <w:szCs w:val="16"/>
          <w:lang w:val="en-GB"/>
        </w:rPr>
        <w:t xml:space="preserve"> territory in Guyana (2012), 83-88. </w:t>
      </w:r>
    </w:p>
  </w:footnote>
  <w:footnote w:id="29">
    <w:p w14:paraId="13C7AEB8" w14:textId="2F9C4A6A" w:rsidR="007C4831" w:rsidRPr="0076558B" w:rsidRDefault="007C4831" w:rsidP="0076558B">
      <w:pPr>
        <w:spacing w:after="0" w:line="240" w:lineRule="auto"/>
        <w:rPr>
          <w:sz w:val="16"/>
          <w:szCs w:val="16"/>
          <w:lang w:val="en-US"/>
        </w:rPr>
      </w:pPr>
      <w:r w:rsidRPr="0076558B">
        <w:rPr>
          <w:rStyle w:val="FootnoteReference"/>
          <w:sz w:val="16"/>
          <w:szCs w:val="16"/>
        </w:rPr>
        <w:footnoteRef/>
      </w:r>
      <w:r w:rsidRPr="0076558B">
        <w:rPr>
          <w:sz w:val="16"/>
          <w:szCs w:val="16"/>
          <w:lang w:val="en-GB"/>
        </w:rPr>
        <w:t xml:space="preserve"> </w:t>
      </w:r>
      <w:r w:rsidRPr="0076558B">
        <w:rPr>
          <w:rFonts w:eastAsia="MS Mincho"/>
          <w:sz w:val="16"/>
          <w:szCs w:val="16"/>
          <w:lang w:val="en-GB" w:eastAsia="ja-JP"/>
        </w:rPr>
        <w:t xml:space="preserve">FAO. 2009. Livestock keepers – guardians of biodiversity. Animal Production and Health Paper. </w:t>
      </w:r>
      <w:r w:rsidRPr="00C92F3A">
        <w:rPr>
          <w:rFonts w:eastAsia="MS Mincho"/>
          <w:sz w:val="16"/>
          <w:szCs w:val="16"/>
          <w:lang w:val="en-GB" w:eastAsia="ja-JP"/>
        </w:rPr>
        <w:t xml:space="preserve">No. 167. Rome. </w:t>
      </w:r>
    </w:p>
  </w:footnote>
  <w:footnote w:id="30">
    <w:p w14:paraId="4686D083" w14:textId="77777777" w:rsidR="007C4831" w:rsidRPr="009E2A84" w:rsidRDefault="007C4831" w:rsidP="009F3ADF">
      <w:pPr>
        <w:shd w:val="clear" w:color="auto" w:fill="FFFFFF"/>
        <w:spacing w:after="0" w:line="240" w:lineRule="auto"/>
        <w:rPr>
          <w:rFonts w:eastAsia="Times New Roman" w:cs="Arial"/>
          <w:color w:val="000000"/>
          <w:sz w:val="16"/>
          <w:szCs w:val="16"/>
          <w:lang w:val="en-GB" w:eastAsia="nl-NL"/>
        </w:rPr>
      </w:pPr>
      <w:r w:rsidRPr="00F07AA0">
        <w:rPr>
          <w:rStyle w:val="FootnoteReference"/>
          <w:sz w:val="16"/>
          <w:szCs w:val="16"/>
        </w:rPr>
        <w:footnoteRef/>
      </w:r>
      <w:r w:rsidRPr="00F07AA0">
        <w:rPr>
          <w:sz w:val="16"/>
          <w:szCs w:val="16"/>
          <w:lang w:val="en-GB"/>
        </w:rPr>
        <w:t xml:space="preserve"> </w:t>
      </w:r>
      <w:r w:rsidRPr="009E2A84">
        <w:rPr>
          <w:rFonts w:eastAsia="Times New Roman" w:cs="Arial"/>
          <w:color w:val="000000"/>
          <w:sz w:val="16"/>
          <w:szCs w:val="16"/>
          <w:lang w:val="en-GB" w:eastAsia="nl-NL"/>
        </w:rPr>
        <w:t>Shifting Cultivation,</w:t>
      </w:r>
      <w:r w:rsidRPr="00F07AA0">
        <w:rPr>
          <w:rFonts w:eastAsia="Times New Roman" w:cs="Arial"/>
          <w:color w:val="000000"/>
          <w:sz w:val="16"/>
          <w:szCs w:val="16"/>
          <w:lang w:val="en-GB" w:eastAsia="nl-NL"/>
        </w:rPr>
        <w:t xml:space="preserve"> </w:t>
      </w:r>
      <w:r w:rsidRPr="009E2A84">
        <w:rPr>
          <w:rFonts w:eastAsia="Times New Roman" w:cs="Arial"/>
          <w:color w:val="000000"/>
          <w:sz w:val="16"/>
          <w:szCs w:val="16"/>
          <w:lang w:val="en-GB" w:eastAsia="nl-NL"/>
        </w:rPr>
        <w:t>Livelihood</w:t>
      </w:r>
      <w:r w:rsidRPr="00F07AA0">
        <w:rPr>
          <w:rFonts w:eastAsia="Times New Roman" w:cs="Arial"/>
          <w:color w:val="000000"/>
          <w:sz w:val="16"/>
          <w:szCs w:val="16"/>
          <w:lang w:val="en-GB" w:eastAsia="nl-NL"/>
        </w:rPr>
        <w:t xml:space="preserve"> </w:t>
      </w:r>
      <w:r w:rsidRPr="009E2A84">
        <w:rPr>
          <w:rFonts w:eastAsia="Times New Roman" w:cs="Arial"/>
          <w:color w:val="000000"/>
          <w:sz w:val="16"/>
          <w:szCs w:val="16"/>
          <w:lang w:val="en-GB" w:eastAsia="nl-NL"/>
        </w:rPr>
        <w:t>and</w:t>
      </w:r>
      <w:r w:rsidRPr="00F07AA0">
        <w:rPr>
          <w:rFonts w:eastAsia="Times New Roman" w:cs="Arial"/>
          <w:color w:val="000000"/>
          <w:sz w:val="16"/>
          <w:szCs w:val="16"/>
          <w:lang w:val="en-GB" w:eastAsia="nl-NL"/>
        </w:rPr>
        <w:t xml:space="preserve"> </w:t>
      </w:r>
      <w:r w:rsidRPr="009E2A84">
        <w:rPr>
          <w:rFonts w:eastAsia="Times New Roman" w:cs="Arial"/>
          <w:color w:val="000000"/>
          <w:sz w:val="16"/>
          <w:szCs w:val="16"/>
          <w:lang w:val="en-GB" w:eastAsia="nl-NL"/>
        </w:rPr>
        <w:t>Food Security</w:t>
      </w:r>
      <w:r w:rsidRPr="00F07AA0">
        <w:rPr>
          <w:rFonts w:eastAsia="Times New Roman" w:cs="Arial"/>
          <w:color w:val="000000"/>
          <w:sz w:val="16"/>
          <w:szCs w:val="16"/>
          <w:lang w:val="en-GB" w:eastAsia="nl-NL"/>
        </w:rPr>
        <w:t xml:space="preserve">. </w:t>
      </w:r>
      <w:r w:rsidRPr="009E2A84">
        <w:rPr>
          <w:rFonts w:eastAsia="Times New Roman" w:cs="Arial"/>
          <w:color w:val="000000"/>
          <w:sz w:val="16"/>
          <w:szCs w:val="16"/>
          <w:lang w:val="en-GB" w:eastAsia="nl-NL"/>
        </w:rPr>
        <w:t xml:space="preserve">New and Old Challenges for </w:t>
      </w:r>
    </w:p>
    <w:p w14:paraId="3CFA0EE0" w14:textId="77777777" w:rsidR="007C4831" w:rsidRPr="00C92F3A" w:rsidRDefault="007C4831" w:rsidP="009F3ADF">
      <w:pPr>
        <w:shd w:val="clear" w:color="auto" w:fill="FFFFFF"/>
        <w:spacing w:after="0" w:line="240" w:lineRule="auto"/>
        <w:rPr>
          <w:rFonts w:eastAsia="Times New Roman" w:cs="Arial"/>
          <w:color w:val="000000"/>
          <w:sz w:val="16"/>
          <w:szCs w:val="16"/>
          <w:lang w:eastAsia="nl-NL"/>
        </w:rPr>
      </w:pPr>
      <w:proofErr w:type="gramStart"/>
      <w:r w:rsidRPr="009E2A84">
        <w:rPr>
          <w:rFonts w:eastAsia="Times New Roman" w:cs="Arial"/>
          <w:color w:val="000000"/>
          <w:sz w:val="16"/>
          <w:szCs w:val="16"/>
          <w:lang w:val="en-GB" w:eastAsia="nl-NL"/>
        </w:rPr>
        <w:t>Indigenous Peoples in Asia</w:t>
      </w:r>
      <w:r w:rsidRPr="00F07AA0">
        <w:rPr>
          <w:rFonts w:eastAsia="Times New Roman" w:cs="Arial"/>
          <w:color w:val="000000"/>
          <w:sz w:val="16"/>
          <w:szCs w:val="16"/>
          <w:lang w:val="en-GB" w:eastAsia="nl-NL"/>
        </w:rPr>
        <w:t>.</w:t>
      </w:r>
      <w:proofErr w:type="gramEnd"/>
      <w:r w:rsidRPr="00F07AA0">
        <w:rPr>
          <w:rFonts w:eastAsia="Times New Roman" w:cs="Arial"/>
          <w:color w:val="000000"/>
          <w:sz w:val="16"/>
          <w:szCs w:val="16"/>
          <w:lang w:val="en-GB" w:eastAsia="nl-NL"/>
        </w:rPr>
        <w:t xml:space="preserve"> </w:t>
      </w:r>
      <w:proofErr w:type="gramStart"/>
      <w:r w:rsidRPr="00F07AA0">
        <w:rPr>
          <w:rFonts w:eastAsia="Times New Roman" w:cs="Arial"/>
          <w:color w:val="000000"/>
          <w:sz w:val="16"/>
          <w:szCs w:val="16"/>
          <w:lang w:val="en-GB" w:eastAsia="nl-NL"/>
        </w:rPr>
        <w:t>AIPP and IWGI 2014.</w:t>
      </w:r>
      <w:proofErr w:type="gramEnd"/>
      <w:r w:rsidRPr="00F07AA0">
        <w:rPr>
          <w:rFonts w:eastAsia="Times New Roman" w:cs="Arial"/>
          <w:color w:val="000000"/>
          <w:sz w:val="16"/>
          <w:szCs w:val="16"/>
          <w:lang w:val="en-GB" w:eastAsia="nl-NL"/>
        </w:rPr>
        <w:t xml:space="preserve"> </w:t>
      </w:r>
      <w:hyperlink r:id="rId15" w:history="1">
        <w:r w:rsidRPr="00C92F3A">
          <w:rPr>
            <w:rStyle w:val="Hyperlink"/>
            <w:rFonts w:cs="Arial"/>
            <w:sz w:val="16"/>
            <w:szCs w:val="16"/>
          </w:rPr>
          <w:t>https://www.dropbox.com/s/ue65a3m3wez06a4/Briefing%20papper%20Shifting%20cultivation%20%202014.pdf?dl=0</w:t>
        </w:r>
      </w:hyperlink>
    </w:p>
    <w:p w14:paraId="601986AF" w14:textId="77777777" w:rsidR="007C4831" w:rsidRPr="00C92F3A" w:rsidRDefault="007C4831" w:rsidP="009F3ADF">
      <w:pPr>
        <w:pStyle w:val="FootnoteText"/>
        <w:rPr>
          <w:lang w:val="nl-NL"/>
        </w:rPr>
      </w:pPr>
    </w:p>
  </w:footnote>
  <w:footnote w:id="31">
    <w:p w14:paraId="4F18F6CC" w14:textId="77777777" w:rsidR="007C4831" w:rsidRPr="00A261B6" w:rsidRDefault="007C4831" w:rsidP="00052A72">
      <w:pPr>
        <w:pStyle w:val="FootnoteText"/>
        <w:rPr>
          <w:rFonts w:asciiTheme="minorHAnsi" w:hAnsiTheme="minorHAnsi"/>
          <w:sz w:val="16"/>
          <w:szCs w:val="16"/>
        </w:rPr>
      </w:pPr>
      <w:r w:rsidRPr="00A261B6">
        <w:rPr>
          <w:rStyle w:val="FootnoteReference"/>
          <w:rFonts w:asciiTheme="minorHAnsi" w:eastAsia="SimSun" w:hAnsiTheme="minorHAnsi"/>
          <w:sz w:val="16"/>
          <w:szCs w:val="16"/>
        </w:rPr>
        <w:footnoteRef/>
      </w:r>
      <w:r w:rsidRPr="00A261B6">
        <w:rPr>
          <w:rFonts w:asciiTheme="minorHAnsi" w:hAnsiTheme="minorHAnsi"/>
          <w:sz w:val="16"/>
          <w:szCs w:val="16"/>
        </w:rPr>
        <w:t xml:space="preserve"> See </w:t>
      </w:r>
      <w:hyperlink r:id="rId16" w:history="1">
        <w:r w:rsidRPr="00A261B6">
          <w:rPr>
            <w:rStyle w:val="Hyperlink"/>
            <w:rFonts w:asciiTheme="minorHAnsi" w:hAnsiTheme="minorHAnsi"/>
            <w:sz w:val="16"/>
            <w:szCs w:val="16"/>
          </w:rPr>
          <w:t>http://www.unesco.org/new/en/culture/themes/endangered-languages/biodiversity-and-linguistic-diversity/</w:t>
        </w:r>
      </w:hyperlink>
      <w:r w:rsidRPr="00A261B6">
        <w:rPr>
          <w:rFonts w:asciiTheme="minorHAnsi" w:hAnsiTheme="minorHAnsi"/>
          <w:sz w:val="16"/>
          <w:szCs w:val="16"/>
        </w:rPr>
        <w:t>.</w:t>
      </w:r>
    </w:p>
  </w:footnote>
  <w:footnote w:id="32">
    <w:p w14:paraId="27D14290" w14:textId="38B9ADC4" w:rsidR="007C4831" w:rsidRPr="00A261B6" w:rsidRDefault="007C4831" w:rsidP="00052A72">
      <w:pPr>
        <w:pStyle w:val="Para1"/>
        <w:numPr>
          <w:ilvl w:val="0"/>
          <w:numId w:val="0"/>
        </w:numPr>
        <w:spacing w:before="0" w:after="0"/>
        <w:rPr>
          <w:rFonts w:asciiTheme="minorHAnsi" w:hAnsiTheme="minorHAnsi"/>
          <w:sz w:val="16"/>
          <w:szCs w:val="16"/>
        </w:rPr>
      </w:pPr>
      <w:r w:rsidRPr="00A261B6">
        <w:rPr>
          <w:rStyle w:val="FootnoteReference"/>
          <w:rFonts w:asciiTheme="minorHAnsi" w:hAnsiTheme="minorHAnsi"/>
          <w:sz w:val="16"/>
          <w:szCs w:val="16"/>
        </w:rPr>
        <w:footnoteRef/>
      </w:r>
      <w:r w:rsidRPr="00A261B6">
        <w:rPr>
          <w:rFonts w:asciiTheme="minorHAnsi" w:hAnsiTheme="minorHAnsi"/>
          <w:sz w:val="16"/>
          <w:szCs w:val="16"/>
        </w:rPr>
        <w:t xml:space="preserve"> D</w:t>
      </w:r>
      <w:proofErr w:type="spellStart"/>
      <w:r w:rsidRPr="00A261B6">
        <w:rPr>
          <w:rFonts w:asciiTheme="minorHAnsi" w:hAnsiTheme="minorHAnsi"/>
          <w:color w:val="000000"/>
          <w:sz w:val="16"/>
          <w:szCs w:val="16"/>
          <w:lang w:val="en-US"/>
        </w:rPr>
        <w:t>ecision</w:t>
      </w:r>
      <w:proofErr w:type="spellEnd"/>
      <w:r w:rsidRPr="00A261B6">
        <w:rPr>
          <w:rFonts w:asciiTheme="minorHAnsi" w:hAnsiTheme="minorHAnsi"/>
          <w:color w:val="000000"/>
          <w:sz w:val="16"/>
          <w:szCs w:val="16"/>
          <w:lang w:val="en-US"/>
        </w:rPr>
        <w:t xml:space="preserve"> VII/30, see also </w:t>
      </w:r>
      <w:r w:rsidRPr="00A261B6">
        <w:rPr>
          <w:rFonts w:asciiTheme="minorHAnsi" w:hAnsiTheme="minorHAnsi"/>
          <w:sz w:val="16"/>
          <w:szCs w:val="16"/>
        </w:rPr>
        <w:t>UNEP/CBD/WG8J/8/9</w:t>
      </w:r>
    </w:p>
  </w:footnote>
  <w:footnote w:id="33">
    <w:p w14:paraId="30AC4CA2" w14:textId="2914690B" w:rsidR="007C4831" w:rsidRPr="00B23C8A" w:rsidRDefault="007C4831">
      <w:pPr>
        <w:pStyle w:val="FootnoteText"/>
      </w:pPr>
      <w:r>
        <w:rPr>
          <w:rStyle w:val="FootnoteReference"/>
        </w:rPr>
        <w:footnoteRef/>
      </w:r>
      <w:r>
        <w:t xml:space="preserve"> </w:t>
      </w:r>
      <w:proofErr w:type="gramStart"/>
      <w:r w:rsidRPr="008475E5">
        <w:rPr>
          <w:rFonts w:asciiTheme="minorHAnsi" w:hAnsiTheme="minorHAnsi"/>
          <w:sz w:val="16"/>
          <w:szCs w:val="16"/>
        </w:rPr>
        <w:t>FAO paper, 2009.</w:t>
      </w:r>
      <w:proofErr w:type="gramEnd"/>
      <w:r>
        <w:t xml:space="preserve"> </w:t>
      </w:r>
    </w:p>
  </w:footnote>
  <w:footnote w:id="34">
    <w:p w14:paraId="2A8E6D34" w14:textId="18E696D1" w:rsidR="007C4831" w:rsidRPr="00A261B6" w:rsidRDefault="007C4831" w:rsidP="00052A72">
      <w:pPr>
        <w:pStyle w:val="FootnoteText"/>
        <w:rPr>
          <w:rFonts w:asciiTheme="minorHAnsi" w:hAnsiTheme="minorHAnsi"/>
          <w:sz w:val="16"/>
          <w:szCs w:val="16"/>
          <w:lang w:val="en-GB"/>
        </w:rPr>
      </w:pPr>
      <w:r w:rsidRPr="00A261B6">
        <w:rPr>
          <w:rStyle w:val="FootnoteReference"/>
          <w:rFonts w:asciiTheme="minorHAnsi" w:hAnsiTheme="minorHAnsi"/>
          <w:sz w:val="16"/>
          <w:szCs w:val="16"/>
        </w:rPr>
        <w:footnoteRef/>
      </w:r>
      <w:r w:rsidRPr="00A261B6">
        <w:rPr>
          <w:rFonts w:asciiTheme="minorHAnsi" w:hAnsiTheme="minorHAnsi"/>
          <w:sz w:val="16"/>
          <w:szCs w:val="16"/>
          <w:lang w:val="en-GB"/>
        </w:rPr>
        <w:t xml:space="preserve"> </w:t>
      </w:r>
      <w:r w:rsidRPr="00A261B6">
        <w:rPr>
          <w:rFonts w:asciiTheme="minorHAnsi" w:hAnsiTheme="minorHAnsi"/>
          <w:caps/>
          <w:sz w:val="16"/>
          <w:szCs w:val="16"/>
        </w:rPr>
        <w:t>report of the meeting on Article 10 with a focus on article 10(c) as a major component of the programme of work on article 8(j) and related provisions of the convention, p. 6-7 (</w:t>
      </w:r>
      <w:r w:rsidRPr="00A261B6">
        <w:rPr>
          <w:rFonts w:asciiTheme="minorHAnsi" w:hAnsiTheme="minorHAnsi"/>
          <w:sz w:val="16"/>
          <w:szCs w:val="16"/>
        </w:rPr>
        <w:t>UNEP/CBD/WG8J/7/INF/5).</w:t>
      </w:r>
    </w:p>
  </w:footnote>
  <w:footnote w:id="35">
    <w:p w14:paraId="40231A4F" w14:textId="35FC9279" w:rsidR="007C4831" w:rsidRPr="00A91F1C" w:rsidRDefault="007C4831">
      <w:pPr>
        <w:pStyle w:val="FootnoteText"/>
        <w:rPr>
          <w:rFonts w:asciiTheme="minorHAnsi" w:hAnsiTheme="minorHAnsi"/>
          <w:sz w:val="16"/>
          <w:szCs w:val="16"/>
          <w:lang w:val="en-GB"/>
        </w:rPr>
      </w:pPr>
      <w:r w:rsidRPr="00A261B6">
        <w:rPr>
          <w:rStyle w:val="FootnoteReference"/>
          <w:rFonts w:asciiTheme="minorHAnsi" w:hAnsiTheme="minorHAnsi"/>
          <w:sz w:val="16"/>
          <w:szCs w:val="16"/>
        </w:rPr>
        <w:footnoteRef/>
      </w:r>
      <w:r w:rsidRPr="00A91F1C">
        <w:rPr>
          <w:rFonts w:asciiTheme="minorHAnsi" w:hAnsiTheme="minorHAnsi"/>
          <w:sz w:val="16"/>
          <w:szCs w:val="16"/>
          <w:lang w:val="en-GB"/>
        </w:rPr>
        <w:t xml:space="preserve"> See UNEP/CBD/WG8J/8/9 </w:t>
      </w:r>
    </w:p>
  </w:footnote>
  <w:footnote w:id="36">
    <w:p w14:paraId="49B11B95" w14:textId="6E847A89" w:rsidR="007C4831" w:rsidRPr="00A91F1C" w:rsidRDefault="007C4831">
      <w:pPr>
        <w:pStyle w:val="FootnoteText"/>
        <w:rPr>
          <w:rFonts w:asciiTheme="minorHAnsi" w:hAnsiTheme="minorHAnsi"/>
          <w:sz w:val="16"/>
          <w:szCs w:val="16"/>
          <w:lang w:val="en-GB"/>
        </w:rPr>
      </w:pPr>
      <w:r>
        <w:rPr>
          <w:rStyle w:val="FootnoteReference"/>
        </w:rPr>
        <w:footnoteRef/>
      </w:r>
      <w:r w:rsidRPr="00A91F1C">
        <w:rPr>
          <w:lang w:val="en-GB"/>
        </w:rPr>
        <w:t xml:space="preserve"> </w:t>
      </w:r>
      <w:hyperlink r:id="rId17" w:history="1">
        <w:r w:rsidRPr="00A91F1C">
          <w:rPr>
            <w:rStyle w:val="Hyperlink"/>
            <w:rFonts w:asciiTheme="minorHAnsi" w:hAnsiTheme="minorHAnsi"/>
            <w:sz w:val="16"/>
            <w:szCs w:val="16"/>
            <w:lang w:val="en-GB"/>
          </w:rPr>
          <w:t>http://www.rightsandresources.org/news/new-report-from-rri-tebtebba-recognizing-indigenous-peoples-and-community-land-rights-to-limit-deforestation-is-cost-effective-approach-to-fight-poverty-climate-change/</w:t>
        </w:r>
      </w:hyperlink>
      <w:r w:rsidRPr="00A91F1C">
        <w:rPr>
          <w:rFonts w:asciiTheme="minorHAnsi" w:hAnsiTheme="minorHAnsi"/>
          <w:sz w:val="16"/>
          <w:szCs w:val="16"/>
          <w:lang w:val="en-GB"/>
        </w:rPr>
        <w:t xml:space="preserve"> </w:t>
      </w:r>
    </w:p>
  </w:footnote>
  <w:footnote w:id="37">
    <w:p w14:paraId="01761CF6" w14:textId="4C8B5B83" w:rsidR="007C4831" w:rsidRPr="003137BD" w:rsidRDefault="007C4831">
      <w:pPr>
        <w:pStyle w:val="FootnoteText"/>
      </w:pPr>
      <w:r>
        <w:rPr>
          <w:rStyle w:val="FootnoteReference"/>
        </w:rPr>
        <w:footnoteRef/>
      </w:r>
      <w:r>
        <w:t xml:space="preserve"> </w:t>
      </w:r>
      <w:proofErr w:type="gramStart"/>
      <w:r>
        <w:t>Synthesis paper on customary sustainable use, FPP 2010, 22-24.</w:t>
      </w:r>
      <w:proofErr w:type="gramEnd"/>
      <w:r>
        <w:t xml:space="preserve"> </w:t>
      </w:r>
    </w:p>
  </w:footnote>
  <w:footnote w:id="38">
    <w:p w14:paraId="119156B2" w14:textId="1DC45941" w:rsidR="007C4831" w:rsidRPr="00825434" w:rsidRDefault="007C4831">
      <w:pPr>
        <w:pStyle w:val="FootnoteText"/>
      </w:pPr>
      <w:r>
        <w:rPr>
          <w:rStyle w:val="FootnoteReference"/>
        </w:rPr>
        <w:footnoteRef/>
      </w:r>
      <w:r>
        <w:t xml:space="preserve"> 10c synthesis report, FPP 2010, 25-26</w:t>
      </w:r>
    </w:p>
  </w:footnote>
  <w:footnote w:id="39">
    <w:p w14:paraId="442CF2A4" w14:textId="77777777" w:rsidR="007C4831" w:rsidRPr="007266CF" w:rsidRDefault="007C4831" w:rsidP="001F67ED">
      <w:pPr>
        <w:pStyle w:val="Para1"/>
        <w:numPr>
          <w:ilvl w:val="0"/>
          <w:numId w:val="0"/>
        </w:numPr>
        <w:spacing w:before="0" w:after="0"/>
        <w:rPr>
          <w:rFonts w:asciiTheme="minorHAnsi" w:hAnsiTheme="minorHAnsi"/>
          <w:sz w:val="16"/>
          <w:szCs w:val="16"/>
        </w:rPr>
      </w:pPr>
      <w:r w:rsidRPr="00D7762E">
        <w:rPr>
          <w:rStyle w:val="FootnoteReference"/>
          <w:rFonts w:asciiTheme="minorHAnsi" w:hAnsiTheme="minorHAnsi"/>
          <w:sz w:val="16"/>
          <w:szCs w:val="16"/>
        </w:rPr>
        <w:footnoteRef/>
      </w:r>
      <w:r w:rsidRPr="00D7762E">
        <w:rPr>
          <w:rFonts w:asciiTheme="minorHAnsi" w:hAnsiTheme="minorHAnsi"/>
          <w:sz w:val="16"/>
          <w:szCs w:val="16"/>
        </w:rPr>
        <w:t xml:space="preserve"> Bastian </w:t>
      </w:r>
      <w:proofErr w:type="spellStart"/>
      <w:r w:rsidRPr="00D7762E">
        <w:rPr>
          <w:rFonts w:asciiTheme="minorHAnsi" w:hAnsiTheme="minorHAnsi"/>
          <w:sz w:val="16"/>
          <w:szCs w:val="16"/>
        </w:rPr>
        <w:t>Bertzky</w:t>
      </w:r>
      <w:proofErr w:type="spellEnd"/>
      <w:r w:rsidRPr="00D7762E">
        <w:rPr>
          <w:rFonts w:asciiTheme="minorHAnsi" w:hAnsiTheme="minorHAnsi"/>
          <w:sz w:val="16"/>
          <w:szCs w:val="16"/>
        </w:rPr>
        <w:t xml:space="preserve">, Colleen Corrigan, James </w:t>
      </w:r>
      <w:proofErr w:type="spellStart"/>
      <w:r w:rsidRPr="00D7762E">
        <w:rPr>
          <w:rFonts w:asciiTheme="minorHAnsi" w:hAnsiTheme="minorHAnsi"/>
          <w:sz w:val="16"/>
          <w:szCs w:val="16"/>
        </w:rPr>
        <w:t>Kemsey</w:t>
      </w:r>
      <w:proofErr w:type="spellEnd"/>
      <w:r w:rsidRPr="00D7762E">
        <w:rPr>
          <w:rFonts w:asciiTheme="minorHAnsi" w:hAnsiTheme="minorHAnsi"/>
          <w:sz w:val="16"/>
          <w:szCs w:val="16"/>
        </w:rPr>
        <w:t xml:space="preserve">, Siobhan Kenney, Corinna </w:t>
      </w:r>
      <w:proofErr w:type="spellStart"/>
      <w:r w:rsidRPr="00D7762E">
        <w:rPr>
          <w:rFonts w:asciiTheme="minorHAnsi" w:hAnsiTheme="minorHAnsi"/>
          <w:sz w:val="16"/>
          <w:szCs w:val="16"/>
        </w:rPr>
        <w:t>Ravilious</w:t>
      </w:r>
      <w:proofErr w:type="spellEnd"/>
      <w:r w:rsidRPr="00D7762E">
        <w:rPr>
          <w:rFonts w:asciiTheme="minorHAnsi" w:hAnsiTheme="minorHAnsi"/>
          <w:sz w:val="16"/>
          <w:szCs w:val="16"/>
        </w:rPr>
        <w:t xml:space="preserve">, Charles </w:t>
      </w:r>
      <w:proofErr w:type="spellStart"/>
      <w:r w:rsidRPr="00D7762E">
        <w:rPr>
          <w:rFonts w:asciiTheme="minorHAnsi" w:hAnsiTheme="minorHAnsi"/>
          <w:sz w:val="16"/>
          <w:szCs w:val="16"/>
        </w:rPr>
        <w:t>Besançon</w:t>
      </w:r>
      <w:proofErr w:type="spellEnd"/>
      <w:r w:rsidRPr="00D7762E">
        <w:rPr>
          <w:rFonts w:asciiTheme="minorHAnsi" w:hAnsiTheme="minorHAnsi"/>
          <w:sz w:val="16"/>
          <w:szCs w:val="16"/>
        </w:rPr>
        <w:t xml:space="preserve"> and Neil Burgess (2012) Protected Planet Report 2012: Tracking progress towards global targets for protected areas. </w:t>
      </w:r>
      <w:proofErr w:type="gramStart"/>
      <w:r w:rsidRPr="007266CF">
        <w:rPr>
          <w:rFonts w:asciiTheme="minorHAnsi" w:hAnsiTheme="minorHAnsi"/>
          <w:sz w:val="16"/>
          <w:szCs w:val="16"/>
        </w:rPr>
        <w:t>IUCN, Gland, Switzerland and UNEP-WCMC, Cambridge, UK.</w:t>
      </w:r>
      <w:proofErr w:type="gramEnd"/>
    </w:p>
    <w:p w14:paraId="5436D0E5" w14:textId="46594378" w:rsidR="007C4831" w:rsidRPr="007266CF" w:rsidRDefault="007C4831">
      <w:pPr>
        <w:pStyle w:val="FootnoteText"/>
        <w:rPr>
          <w:lang w:val="en-GB"/>
        </w:rPr>
      </w:pPr>
    </w:p>
  </w:footnote>
  <w:footnote w:id="40">
    <w:p w14:paraId="6A4F42FF" w14:textId="4923AD62" w:rsidR="007C4831" w:rsidRPr="00850361" w:rsidRDefault="007C4831" w:rsidP="00850361">
      <w:pPr>
        <w:pStyle w:val="Header"/>
        <w:rPr>
          <w:sz w:val="16"/>
          <w:szCs w:val="16"/>
          <w:lang w:val="en-GB"/>
        </w:rPr>
      </w:pPr>
      <w:r w:rsidRPr="00850361">
        <w:rPr>
          <w:rStyle w:val="FootnoteReference"/>
          <w:sz w:val="16"/>
          <w:szCs w:val="16"/>
        </w:rPr>
        <w:footnoteRef/>
      </w:r>
      <w:r w:rsidRPr="00850361">
        <w:rPr>
          <w:sz w:val="16"/>
          <w:szCs w:val="16"/>
          <w:lang w:val="en-GB"/>
        </w:rPr>
        <w:t xml:space="preserve"> </w:t>
      </w:r>
      <w:proofErr w:type="gramStart"/>
      <w:r w:rsidRPr="00850361">
        <w:rPr>
          <w:sz w:val="16"/>
          <w:szCs w:val="16"/>
          <w:lang w:val="en-GB"/>
        </w:rPr>
        <w:t>UNEP/CBD/COP/12/5, draft recommendation 8/2.</w:t>
      </w:r>
      <w:proofErr w:type="gramEnd"/>
      <w:r w:rsidRPr="00850361">
        <w:rPr>
          <w:sz w:val="16"/>
          <w:szCs w:val="16"/>
          <w:lang w:val="en-GB"/>
        </w:rPr>
        <w:t xml:space="preserve"> </w:t>
      </w:r>
    </w:p>
  </w:footnote>
  <w:footnote w:id="41">
    <w:p w14:paraId="239427A1" w14:textId="39E4C12C" w:rsidR="007C4831" w:rsidRPr="00850361" w:rsidRDefault="007C4831">
      <w:pPr>
        <w:pStyle w:val="FootnoteText"/>
        <w:rPr>
          <w:rFonts w:asciiTheme="minorHAnsi" w:hAnsiTheme="minorHAnsi"/>
          <w:sz w:val="16"/>
          <w:szCs w:val="16"/>
          <w:lang w:val="en-GB"/>
        </w:rPr>
      </w:pPr>
      <w:r w:rsidRPr="00850361">
        <w:rPr>
          <w:rStyle w:val="FootnoteReference"/>
          <w:rFonts w:asciiTheme="minorHAnsi" w:hAnsiTheme="minorHAnsi"/>
          <w:sz w:val="16"/>
          <w:szCs w:val="16"/>
        </w:rPr>
        <w:footnoteRef/>
      </w:r>
      <w:r w:rsidRPr="00850361">
        <w:rPr>
          <w:rFonts w:asciiTheme="minorHAnsi" w:hAnsiTheme="minorHAnsi"/>
          <w:sz w:val="16"/>
          <w:szCs w:val="16"/>
          <w:lang w:val="en-GB"/>
        </w:rPr>
        <w:t xml:space="preserve"> </w:t>
      </w:r>
      <w:r w:rsidRPr="00850361">
        <w:rPr>
          <w:rFonts w:asciiTheme="minorHAnsi" w:hAnsiTheme="minorHAnsi"/>
          <w:caps/>
          <w:sz w:val="16"/>
          <w:szCs w:val="16"/>
        </w:rPr>
        <w:t>see report of the meeting on Article 10 with a focus on article 10(c) as a major component of the programme of work on article 8(j) and related provisions of the convention, p. 6-7 (</w:t>
      </w:r>
      <w:r w:rsidRPr="00850361">
        <w:rPr>
          <w:rFonts w:asciiTheme="minorHAnsi" w:hAnsiTheme="minorHAnsi"/>
          <w:sz w:val="16"/>
          <w:szCs w:val="16"/>
        </w:rPr>
        <w:t>UNEP/CBD/WG8J/7/INF/5).</w:t>
      </w:r>
    </w:p>
  </w:footnote>
  <w:footnote w:id="42">
    <w:p w14:paraId="3B9FB7EA" w14:textId="6F846FAB" w:rsidR="007C4831" w:rsidRPr="00A83774" w:rsidRDefault="007C4831" w:rsidP="00F93EA6">
      <w:pPr>
        <w:spacing w:after="0" w:line="240" w:lineRule="auto"/>
        <w:rPr>
          <w:sz w:val="16"/>
          <w:szCs w:val="16"/>
          <w:lang w:val="en-GB"/>
        </w:rPr>
      </w:pPr>
      <w:r w:rsidRPr="00A83774">
        <w:rPr>
          <w:rStyle w:val="FootnoteReference"/>
          <w:sz w:val="16"/>
          <w:szCs w:val="16"/>
        </w:rPr>
        <w:footnoteRef/>
      </w:r>
      <w:r w:rsidRPr="00A83774">
        <w:rPr>
          <w:sz w:val="16"/>
          <w:szCs w:val="16"/>
          <w:lang w:val="en-GB"/>
        </w:rPr>
        <w:t xml:space="preserve"> See </w:t>
      </w:r>
      <w:hyperlink r:id="rId18" w:history="1">
        <w:r w:rsidRPr="00A83774">
          <w:rPr>
            <w:rStyle w:val="Hyperlink"/>
            <w:sz w:val="16"/>
            <w:szCs w:val="16"/>
            <w:lang w:val="en-GB"/>
          </w:rPr>
          <w:t>www.tumulkinbelize.org</w:t>
        </w:r>
      </w:hyperlink>
      <w:r w:rsidRPr="00A83774">
        <w:rPr>
          <w:sz w:val="16"/>
          <w:szCs w:val="16"/>
          <w:lang w:val="en-GB"/>
        </w:rPr>
        <w:t xml:space="preserve">. More initiatives and information on multi-lingual and intercultural education can be found on the website of the RUTU foundation for multi-lingual and intercultural education: </w:t>
      </w:r>
      <w:hyperlink r:id="rId19" w:history="1">
        <w:r w:rsidRPr="00A83774">
          <w:rPr>
            <w:rStyle w:val="Hyperlink"/>
            <w:rFonts w:cstheme="minorBidi"/>
            <w:sz w:val="16"/>
            <w:szCs w:val="16"/>
            <w:lang w:val="en-GB"/>
          </w:rPr>
          <w:t>http://www.rutufoundation.org/en/examples/</w:t>
        </w:r>
      </w:hyperlink>
      <w:r w:rsidRPr="00A83774">
        <w:rPr>
          <w:sz w:val="16"/>
          <w:szCs w:val="16"/>
          <w:lang w:val="en-GB"/>
        </w:rPr>
        <w:t xml:space="preserve"> </w:t>
      </w:r>
    </w:p>
  </w:footnote>
  <w:footnote w:id="43">
    <w:p w14:paraId="5BD9A80D" w14:textId="524CC623" w:rsidR="007C4831" w:rsidRPr="00AB2A22" w:rsidRDefault="007C4831">
      <w:pPr>
        <w:pStyle w:val="FootnoteText"/>
      </w:pPr>
      <w:r>
        <w:rPr>
          <w:rStyle w:val="FootnoteReference"/>
        </w:rPr>
        <w:footnoteRef/>
      </w:r>
      <w:r>
        <w:t xml:space="preserve"> </w:t>
      </w:r>
      <w:proofErr w:type="gramStart"/>
      <w:r>
        <w:t xml:space="preserve">10c </w:t>
      </w:r>
      <w:proofErr w:type="spellStart"/>
      <w:r>
        <w:t>sythnesis</w:t>
      </w:r>
      <w:proofErr w:type="spellEnd"/>
      <w:r>
        <w:t>, 32-34.</w:t>
      </w:r>
      <w:proofErr w:type="gramEnd"/>
    </w:p>
  </w:footnote>
  <w:footnote w:id="44">
    <w:p w14:paraId="250340B9" w14:textId="1E25F3C6" w:rsidR="007C4831" w:rsidRPr="007A243E" w:rsidRDefault="007C4831" w:rsidP="007A243E">
      <w:pPr>
        <w:spacing w:after="0" w:line="240" w:lineRule="auto"/>
        <w:rPr>
          <w:sz w:val="16"/>
          <w:szCs w:val="16"/>
          <w:lang w:val="en-GB"/>
        </w:rPr>
      </w:pPr>
      <w:r w:rsidRPr="007A243E">
        <w:rPr>
          <w:rStyle w:val="FootnoteReference"/>
          <w:sz w:val="16"/>
          <w:szCs w:val="16"/>
        </w:rPr>
        <w:footnoteRef/>
      </w:r>
      <w:r w:rsidRPr="007A243E">
        <w:rPr>
          <w:sz w:val="16"/>
          <w:szCs w:val="16"/>
          <w:lang w:val="en-GB"/>
        </w:rPr>
        <w:t xml:space="preserve">  Trends of linguistic diversity and numbers of speakers of indigenous languages; Trends in land-use change and land tenure in the traditional territories of indigenous and local communities</w:t>
      </w:r>
      <w:r>
        <w:rPr>
          <w:sz w:val="16"/>
          <w:szCs w:val="16"/>
          <w:lang w:val="en-GB"/>
        </w:rPr>
        <w:t xml:space="preserve">; </w:t>
      </w:r>
      <w:r w:rsidRPr="007A243E">
        <w:rPr>
          <w:sz w:val="16"/>
          <w:szCs w:val="16"/>
          <w:lang w:val="en-GB"/>
        </w:rPr>
        <w:t xml:space="preserve">Trends in the practice of traditional occupations; </w:t>
      </w:r>
      <w:r>
        <w:rPr>
          <w:sz w:val="16"/>
          <w:szCs w:val="16"/>
          <w:lang w:val="en-GB"/>
        </w:rPr>
        <w:t xml:space="preserve">and </w:t>
      </w:r>
      <w:r w:rsidRPr="007A243E">
        <w:rPr>
          <w:sz w:val="16"/>
          <w:szCs w:val="16"/>
          <w:lang w:val="en-GB"/>
        </w:rPr>
        <w:t xml:space="preserve">Trends in which traditional knowledge and practices are respected through their </w:t>
      </w:r>
      <w:proofErr w:type="gramStart"/>
      <w:r w:rsidRPr="007A243E">
        <w:rPr>
          <w:sz w:val="16"/>
          <w:szCs w:val="16"/>
          <w:lang w:val="en-GB"/>
        </w:rPr>
        <w:t>full  integration</w:t>
      </w:r>
      <w:proofErr w:type="gramEnd"/>
      <w:r w:rsidRPr="007A243E">
        <w:rPr>
          <w:sz w:val="16"/>
          <w:szCs w:val="16"/>
          <w:lang w:val="en-GB"/>
        </w:rPr>
        <w:t xml:space="preserve">, safeguards and the full and effective participation of indigenous and local  communities in the national implementation of the Strategic Plan.  </w:t>
      </w:r>
    </w:p>
  </w:footnote>
  <w:footnote w:id="45">
    <w:p w14:paraId="5C4A8481" w14:textId="6C7C0B48" w:rsidR="007C4831" w:rsidRPr="00A83774" w:rsidRDefault="007C4831" w:rsidP="007A243E">
      <w:pPr>
        <w:spacing w:after="0" w:line="240" w:lineRule="auto"/>
        <w:rPr>
          <w:sz w:val="16"/>
          <w:szCs w:val="16"/>
          <w:lang w:val="en-GB"/>
        </w:rPr>
      </w:pPr>
      <w:r w:rsidRPr="007A243E">
        <w:rPr>
          <w:rStyle w:val="FootnoteReference"/>
          <w:sz w:val="16"/>
          <w:szCs w:val="16"/>
        </w:rPr>
        <w:footnoteRef/>
      </w:r>
      <w:r w:rsidRPr="007A243E">
        <w:rPr>
          <w:sz w:val="16"/>
          <w:szCs w:val="16"/>
          <w:lang w:val="en-GB"/>
        </w:rPr>
        <w:t xml:space="preserve"> See Decision XI/3 and UNEP/CBD/WG8J/8/9</w:t>
      </w:r>
    </w:p>
  </w:footnote>
  <w:footnote w:id="46">
    <w:p w14:paraId="54C9786B" w14:textId="07912827" w:rsidR="007C4831" w:rsidRPr="00B9276A" w:rsidRDefault="007C4831">
      <w:pPr>
        <w:pStyle w:val="FootnoteText"/>
      </w:pPr>
      <w:r w:rsidRPr="00A83774">
        <w:rPr>
          <w:rStyle w:val="FootnoteReference"/>
          <w:rFonts w:asciiTheme="minorHAnsi" w:hAnsiTheme="minorHAnsi"/>
          <w:sz w:val="16"/>
          <w:szCs w:val="16"/>
        </w:rPr>
        <w:footnoteRef/>
      </w:r>
      <w:r w:rsidRPr="00A83774">
        <w:rPr>
          <w:rFonts w:asciiTheme="minorHAnsi" w:hAnsiTheme="minorHAnsi"/>
          <w:sz w:val="16"/>
          <w:szCs w:val="16"/>
        </w:rPr>
        <w:t xml:space="preserve"> </w:t>
      </w:r>
      <w:r w:rsidRPr="00A83774">
        <w:rPr>
          <w:rFonts w:asciiTheme="minorHAnsi" w:hAnsiTheme="minorHAnsi"/>
          <w:sz w:val="16"/>
          <w:szCs w:val="16"/>
          <w:lang w:val="en-GB"/>
        </w:rPr>
        <w:t>Decision XI/3 (</w:t>
      </w:r>
      <w:hyperlink r:id="rId20" w:history="1">
        <w:r w:rsidRPr="00A83774">
          <w:rPr>
            <w:rStyle w:val="Hyperlink"/>
            <w:rFonts w:asciiTheme="minorHAnsi" w:hAnsiTheme="minorHAnsi"/>
            <w:sz w:val="16"/>
            <w:szCs w:val="16"/>
            <w:lang w:val="en-GB"/>
          </w:rPr>
          <w:t>http://www.cbd.int/decision/cop/default.shtml?id=13164</w:t>
        </w:r>
      </w:hyperlink>
    </w:p>
  </w:footnote>
  <w:footnote w:id="47">
    <w:p w14:paraId="7F0638BB" w14:textId="4D649A0A" w:rsidR="007C4831" w:rsidRPr="007266CF" w:rsidRDefault="007C4831" w:rsidP="00892E63">
      <w:pPr>
        <w:spacing w:after="0" w:line="240" w:lineRule="auto"/>
        <w:rPr>
          <w:sz w:val="16"/>
          <w:szCs w:val="16"/>
          <w:lang w:val="en-GB"/>
        </w:rPr>
      </w:pPr>
      <w:r w:rsidRPr="00892E63">
        <w:rPr>
          <w:rStyle w:val="FootnoteReference"/>
          <w:sz w:val="16"/>
          <w:szCs w:val="16"/>
        </w:rPr>
        <w:footnoteRef/>
      </w:r>
      <w:r w:rsidRPr="00892E63">
        <w:rPr>
          <w:sz w:val="16"/>
          <w:szCs w:val="16"/>
          <w:lang w:val="en-GB"/>
        </w:rPr>
        <w:t xml:space="preserve"> UNEP/CBD/WG8J/8/9</w:t>
      </w:r>
    </w:p>
  </w:footnote>
  <w:footnote w:id="48">
    <w:p w14:paraId="0857732C" w14:textId="09D950CD" w:rsidR="007C4831" w:rsidRPr="00892E63" w:rsidRDefault="007C4831" w:rsidP="00892E63">
      <w:pPr>
        <w:pStyle w:val="Para1"/>
        <w:numPr>
          <w:ilvl w:val="0"/>
          <w:numId w:val="0"/>
        </w:numPr>
        <w:spacing w:before="0" w:after="0"/>
        <w:rPr>
          <w:rFonts w:asciiTheme="minorHAnsi" w:hAnsiTheme="minorHAnsi"/>
          <w:sz w:val="16"/>
          <w:szCs w:val="16"/>
          <w:lang w:val="en-US"/>
        </w:rPr>
      </w:pPr>
      <w:r w:rsidRPr="00892E63">
        <w:rPr>
          <w:rStyle w:val="FootnoteReference"/>
          <w:rFonts w:asciiTheme="minorHAnsi" w:hAnsiTheme="minorHAnsi"/>
          <w:sz w:val="16"/>
          <w:szCs w:val="16"/>
        </w:rPr>
        <w:footnoteRef/>
      </w:r>
      <w:r w:rsidRPr="00892E63">
        <w:rPr>
          <w:rFonts w:asciiTheme="minorHAnsi" w:hAnsiTheme="minorHAnsi"/>
          <w:sz w:val="16"/>
          <w:szCs w:val="16"/>
        </w:rPr>
        <w:t xml:space="preserve"> Summary in UNEP/CBD/WG8J/8/9 and the full report of the global technical workshop in Bonn, Germany, (26 to 28 April 2013) is available as UNEP/CBD/WG8J/8/INF/11.</w:t>
      </w:r>
    </w:p>
  </w:footnote>
  <w:footnote w:id="49">
    <w:p w14:paraId="2D295727" w14:textId="766DE64B" w:rsidR="007C4831" w:rsidRPr="00B774FC" w:rsidRDefault="007C4831" w:rsidP="00B774FC">
      <w:pPr>
        <w:spacing w:after="0" w:line="240" w:lineRule="auto"/>
        <w:rPr>
          <w:lang w:val="en-GB"/>
        </w:rPr>
      </w:pPr>
      <w:r w:rsidRPr="00B774FC">
        <w:rPr>
          <w:rStyle w:val="FootnoteReference"/>
          <w:sz w:val="16"/>
          <w:szCs w:val="16"/>
        </w:rPr>
        <w:footnoteRef/>
      </w:r>
      <w:r w:rsidRPr="00B774FC">
        <w:rPr>
          <w:sz w:val="16"/>
          <w:szCs w:val="16"/>
          <w:lang w:val="en-GB"/>
        </w:rPr>
        <w:t xml:space="preserve"> Finn </w:t>
      </w:r>
      <w:proofErr w:type="spellStart"/>
      <w:r w:rsidRPr="00B774FC">
        <w:rPr>
          <w:sz w:val="16"/>
          <w:szCs w:val="16"/>
          <w:lang w:val="en-GB"/>
        </w:rPr>
        <w:t>Danielsen</w:t>
      </w:r>
      <w:proofErr w:type="spellEnd"/>
      <w:r w:rsidRPr="00B774FC">
        <w:rPr>
          <w:sz w:val="16"/>
          <w:szCs w:val="16"/>
          <w:lang w:val="en-GB"/>
        </w:rPr>
        <w:t xml:space="preserve"> et.al, </w:t>
      </w:r>
      <w:r w:rsidRPr="00B774FC">
        <w:rPr>
          <w:i/>
          <w:sz w:val="16"/>
          <w:szCs w:val="16"/>
          <w:lang w:val="en-GB"/>
        </w:rPr>
        <w:t xml:space="preserve">Linking public participation in scientiﬁc research to the indicators and needs of international environmental agreements </w:t>
      </w:r>
      <w:r w:rsidRPr="00B774FC">
        <w:rPr>
          <w:sz w:val="16"/>
          <w:szCs w:val="16"/>
          <w:lang w:val="en-GB"/>
        </w:rPr>
        <w:t>(Conservation Letters 00 (2013), 1–13.</w:t>
      </w:r>
    </w:p>
  </w:footnote>
  <w:footnote w:id="50">
    <w:p w14:paraId="1771CEEA" w14:textId="7310AE7B" w:rsidR="007C4831" w:rsidRPr="00B774FC" w:rsidRDefault="007C4831" w:rsidP="00B774FC">
      <w:pPr>
        <w:spacing w:after="0" w:line="240" w:lineRule="auto"/>
        <w:rPr>
          <w:lang w:val="en-GB"/>
        </w:rPr>
      </w:pPr>
      <w:r w:rsidRPr="00B774FC">
        <w:rPr>
          <w:rStyle w:val="FootnoteReference"/>
          <w:sz w:val="16"/>
          <w:szCs w:val="16"/>
        </w:rPr>
        <w:footnoteRef/>
      </w:r>
      <w:r w:rsidRPr="00B774FC">
        <w:rPr>
          <w:sz w:val="16"/>
          <w:szCs w:val="16"/>
          <w:lang w:val="en-GB"/>
        </w:rPr>
        <w:t xml:space="preserve"> </w:t>
      </w:r>
      <w:r>
        <w:rPr>
          <w:sz w:val="16"/>
          <w:szCs w:val="16"/>
          <w:lang w:val="en-GB"/>
        </w:rPr>
        <w:t>S</w:t>
      </w:r>
      <w:r w:rsidRPr="00B774FC">
        <w:rPr>
          <w:color w:val="333333"/>
          <w:sz w:val="16"/>
          <w:szCs w:val="16"/>
          <w:lang w:val="en-GB"/>
        </w:rPr>
        <w:t xml:space="preserve">ee </w:t>
      </w:r>
      <w:hyperlink r:id="rId21" w:history="1">
        <w:r w:rsidRPr="00B774FC">
          <w:rPr>
            <w:rStyle w:val="Hyperlink"/>
            <w:sz w:val="16"/>
            <w:szCs w:val="16"/>
            <w:lang w:val="en-GB"/>
          </w:rPr>
          <w:t>http://www.bbc.com/news/science-environment-24713215</w:t>
        </w:r>
      </w:hyperlink>
      <w:r w:rsidRPr="00B774FC">
        <w:rPr>
          <w:color w:val="333333"/>
          <w:sz w:val="16"/>
          <w:szCs w:val="16"/>
          <w:lang w:val="en-GB"/>
        </w:rPr>
        <w:t xml:space="preserve">. </w:t>
      </w:r>
    </w:p>
  </w:footnote>
  <w:footnote w:id="51">
    <w:p w14:paraId="15770BD2" w14:textId="38E1C439" w:rsidR="007C4831" w:rsidRPr="00892E63" w:rsidRDefault="007C4831" w:rsidP="00892E63">
      <w:pPr>
        <w:pStyle w:val="FootnoteText"/>
        <w:rPr>
          <w:rFonts w:asciiTheme="minorHAnsi" w:hAnsiTheme="minorHAnsi"/>
          <w:sz w:val="16"/>
          <w:szCs w:val="16"/>
        </w:rPr>
      </w:pPr>
      <w:r w:rsidRPr="00892E63">
        <w:rPr>
          <w:rStyle w:val="FootnoteReference"/>
          <w:rFonts w:asciiTheme="minorHAnsi" w:hAnsiTheme="minorHAnsi"/>
          <w:sz w:val="16"/>
          <w:szCs w:val="16"/>
        </w:rPr>
        <w:footnoteRef/>
      </w:r>
      <w:r w:rsidRPr="00892E63">
        <w:rPr>
          <w:rFonts w:asciiTheme="minorHAnsi" w:hAnsiTheme="minorHAnsi"/>
          <w:sz w:val="16"/>
          <w:szCs w:val="16"/>
        </w:rPr>
        <w:t xml:space="preserve"> </w:t>
      </w:r>
      <w:proofErr w:type="gramStart"/>
      <w:r w:rsidRPr="00892E63">
        <w:rPr>
          <w:rFonts w:asciiTheme="minorHAnsi" w:hAnsiTheme="minorHAnsi"/>
          <w:sz w:val="16"/>
          <w:szCs w:val="16"/>
          <w:lang w:val="en-GB"/>
        </w:rPr>
        <w:t>UNEP/CBD/WG8J/8/9, 23.</w:t>
      </w:r>
      <w:proofErr w:type="gramEnd"/>
      <w:r w:rsidRPr="00892E63">
        <w:rPr>
          <w:rFonts w:asciiTheme="minorHAnsi" w:hAnsiTheme="minorHAnsi"/>
          <w:sz w:val="16"/>
          <w:szCs w:val="16"/>
          <w:lang w:val="en-GB"/>
        </w:rPr>
        <w:t xml:space="preserve"> </w:t>
      </w:r>
    </w:p>
  </w:footnote>
  <w:footnote w:id="52">
    <w:p w14:paraId="76DEF101" w14:textId="77777777" w:rsidR="007C4831" w:rsidRPr="00892E63" w:rsidRDefault="007C4831" w:rsidP="00892E63">
      <w:pPr>
        <w:spacing w:after="0" w:line="240" w:lineRule="auto"/>
        <w:rPr>
          <w:sz w:val="16"/>
          <w:szCs w:val="16"/>
          <w:lang w:val="en-GB"/>
        </w:rPr>
      </w:pPr>
      <w:r w:rsidRPr="00892E63">
        <w:rPr>
          <w:rStyle w:val="FootnoteReference"/>
          <w:sz w:val="16"/>
          <w:szCs w:val="16"/>
        </w:rPr>
        <w:footnoteRef/>
      </w:r>
      <w:r w:rsidRPr="00892E63">
        <w:rPr>
          <w:sz w:val="16"/>
          <w:szCs w:val="16"/>
          <w:lang w:val="en-GB"/>
        </w:rPr>
        <w:t xml:space="preserve"> See Document UNEP/CBD/WG8J/8/L.2 (Progress report on the implementation of the programme of work for Article 8(j) and related provisions and mechanisms to promote the effective participation of indigenous and local communities in the work of the Convention). </w:t>
      </w:r>
    </w:p>
  </w:footnote>
  <w:footnote w:id="53">
    <w:p w14:paraId="1ACE9C30" w14:textId="55F4BA17" w:rsidR="003D4B6E" w:rsidRPr="003D4B6E" w:rsidRDefault="003D4B6E">
      <w:pPr>
        <w:pStyle w:val="FootnoteText"/>
      </w:pPr>
      <w:r>
        <w:rPr>
          <w:rStyle w:val="FootnoteReference"/>
        </w:rPr>
        <w:footnoteRef/>
      </w:r>
      <w:r>
        <w:t xml:space="preserve"> </w:t>
      </w:r>
      <w:proofErr w:type="gramStart"/>
      <w:r w:rsidRPr="00244F6A">
        <w:rPr>
          <w:rFonts w:asciiTheme="minorHAnsi" w:hAnsiTheme="minorHAnsi"/>
          <w:sz w:val="16"/>
          <w:szCs w:val="16"/>
          <w:lang w:val="en-GB"/>
        </w:rPr>
        <w:t xml:space="preserve">UNEP/CBD/COP/12/2 (SBSTTA17 report), </w:t>
      </w:r>
      <w:r>
        <w:rPr>
          <w:rFonts w:asciiTheme="minorHAnsi" w:hAnsiTheme="minorHAnsi"/>
          <w:sz w:val="16"/>
          <w:szCs w:val="16"/>
          <w:lang w:val="en-GB"/>
        </w:rPr>
        <w:t>annex 1.</w:t>
      </w:r>
      <w:proofErr w:type="gramEnd"/>
    </w:p>
  </w:footnote>
  <w:footnote w:id="54">
    <w:p w14:paraId="246F9E2B" w14:textId="4ED05FE7" w:rsidR="007C4831" w:rsidRPr="00494C05" w:rsidRDefault="007C4831">
      <w:pPr>
        <w:pStyle w:val="FootnoteText"/>
        <w:rPr>
          <w:rFonts w:asciiTheme="minorHAnsi" w:hAnsiTheme="minorHAnsi"/>
          <w:sz w:val="16"/>
          <w:szCs w:val="16"/>
        </w:rPr>
      </w:pPr>
      <w:r w:rsidRPr="00494C05">
        <w:rPr>
          <w:rStyle w:val="FootnoteReference"/>
          <w:rFonts w:asciiTheme="minorHAnsi" w:hAnsiTheme="minorHAnsi"/>
          <w:sz w:val="16"/>
          <w:szCs w:val="16"/>
        </w:rPr>
        <w:footnoteRef/>
      </w:r>
      <w:r w:rsidRPr="00494C05">
        <w:rPr>
          <w:rFonts w:asciiTheme="minorHAnsi" w:hAnsiTheme="minorHAnsi"/>
          <w:sz w:val="16"/>
          <w:szCs w:val="16"/>
        </w:rPr>
        <w:t xml:space="preserve"> See </w:t>
      </w:r>
      <w:r w:rsidRPr="00494C05">
        <w:rPr>
          <w:rFonts w:asciiTheme="minorHAnsi" w:hAnsiTheme="minorHAnsi"/>
          <w:i/>
          <w:iCs/>
          <w:sz w:val="16"/>
          <w:szCs w:val="16"/>
        </w:rPr>
        <w:t xml:space="preserve">Developing and Implementing CBMIS: The Global Workshop and the Philippine Workshop </w:t>
      </w:r>
      <w:proofErr w:type="gramStart"/>
      <w:r w:rsidRPr="00494C05">
        <w:rPr>
          <w:rFonts w:asciiTheme="minorHAnsi" w:hAnsiTheme="minorHAnsi"/>
          <w:i/>
          <w:iCs/>
          <w:sz w:val="16"/>
          <w:szCs w:val="16"/>
        </w:rPr>
        <w:t>Reports</w:t>
      </w:r>
      <w:r w:rsidRPr="00494C05">
        <w:rPr>
          <w:rFonts w:asciiTheme="minorHAnsi" w:hAnsiTheme="minorHAnsi"/>
          <w:sz w:val="16"/>
          <w:szCs w:val="16"/>
        </w:rPr>
        <w:t xml:space="preserve">  </w:t>
      </w:r>
      <w:proofErr w:type="gramEnd"/>
      <w:r w:rsidR="006F5484">
        <w:fldChar w:fldCharType="begin"/>
      </w:r>
      <w:r w:rsidR="006F5484">
        <w:instrText xml:space="preserve"> HYPERLINK "http://www.tebtebba.org/index.php/content/271-developing-and-implementing-cbmis-the-global-</w:instrText>
      </w:r>
      <w:r w:rsidR="006F5484">
        <w:instrText xml:space="preserve">workshop-and-the-philippine-workshop-reports" </w:instrText>
      </w:r>
      <w:r w:rsidR="006F5484">
        <w:fldChar w:fldCharType="separate"/>
      </w:r>
      <w:r w:rsidRPr="00494C05">
        <w:rPr>
          <w:rStyle w:val="Hyperlink"/>
          <w:rFonts w:asciiTheme="minorHAnsi" w:hAnsiTheme="minorHAnsi"/>
          <w:sz w:val="16"/>
          <w:szCs w:val="16"/>
        </w:rPr>
        <w:t>http://www.tebtebba.org/index.php/content/271-developing-and-implementing-cbmis-the-global-workshop-and-the-philippine-workshop-reports</w:t>
      </w:r>
      <w:r w:rsidR="006F5484">
        <w:rPr>
          <w:rStyle w:val="Hyperlink"/>
          <w:rFonts w:asciiTheme="minorHAnsi" w:hAnsiTheme="minorHAnsi"/>
          <w:sz w:val="16"/>
          <w:szCs w:val="16"/>
        </w:rPr>
        <w:fldChar w:fldCharType="end"/>
      </w:r>
      <w:r w:rsidRPr="00494C05">
        <w:rPr>
          <w:rFonts w:asciiTheme="minorHAnsi" w:hAnsiTheme="minorHAnsi"/>
          <w:sz w:val="16"/>
          <w:szCs w:val="16"/>
        </w:rPr>
        <w:t xml:space="preserve"> pp. 17-19.</w:t>
      </w:r>
    </w:p>
  </w:footnote>
  <w:footnote w:id="55">
    <w:p w14:paraId="34130FF2" w14:textId="1EC2ABB0" w:rsidR="00C71EFC" w:rsidRPr="00C71EFC" w:rsidRDefault="00C71EFC">
      <w:pPr>
        <w:pStyle w:val="FootnoteText"/>
      </w:pPr>
      <w:r>
        <w:rPr>
          <w:rStyle w:val="FootnoteReference"/>
        </w:rPr>
        <w:footnoteRef/>
      </w:r>
      <w:r>
        <w:t xml:space="preserve"> </w:t>
      </w:r>
      <w:proofErr w:type="gramStart"/>
      <w:r>
        <w:t>10c synthesis, 32-33.</w:t>
      </w:r>
      <w:proofErr w:type="gramEnd"/>
    </w:p>
  </w:footnote>
  <w:footnote w:id="56">
    <w:p w14:paraId="6A44C97D" w14:textId="153B3F69" w:rsidR="007C4831" w:rsidRPr="000D03D1" w:rsidRDefault="007C4831" w:rsidP="000D03D1">
      <w:pPr>
        <w:pStyle w:val="FootnoteText"/>
        <w:rPr>
          <w:rFonts w:asciiTheme="minorHAnsi" w:hAnsiTheme="minorHAnsi"/>
          <w:sz w:val="16"/>
          <w:szCs w:val="16"/>
          <w:lang w:val="en-GB"/>
        </w:rPr>
      </w:pPr>
      <w:r w:rsidRPr="000D03D1">
        <w:rPr>
          <w:rStyle w:val="FootnoteReference"/>
          <w:rFonts w:asciiTheme="minorHAnsi" w:hAnsiTheme="minorHAnsi"/>
          <w:sz w:val="16"/>
          <w:szCs w:val="16"/>
        </w:rPr>
        <w:footnoteRef/>
      </w:r>
      <w:r w:rsidRPr="000D03D1">
        <w:rPr>
          <w:rFonts w:asciiTheme="minorHAnsi" w:hAnsiTheme="minorHAnsi"/>
          <w:sz w:val="16"/>
          <w:szCs w:val="16"/>
        </w:rPr>
        <w:t xml:space="preserve"> Jim </w:t>
      </w:r>
      <w:proofErr w:type="spellStart"/>
      <w:r w:rsidRPr="000D03D1">
        <w:rPr>
          <w:rFonts w:asciiTheme="minorHAnsi" w:hAnsiTheme="minorHAnsi"/>
          <w:sz w:val="16"/>
          <w:szCs w:val="16"/>
        </w:rPr>
        <w:t>Enote</w:t>
      </w:r>
      <w:proofErr w:type="spellEnd"/>
      <w:r w:rsidRPr="000D03D1">
        <w:rPr>
          <w:rFonts w:asciiTheme="minorHAnsi" w:hAnsiTheme="minorHAnsi"/>
          <w:sz w:val="16"/>
          <w:szCs w:val="16"/>
        </w:rPr>
        <w:t xml:space="preserve">, Indigenous mapping of sacred water, Conserving Cultural and Biological Diversity: The Role of Sacred Natural Sites and Cultural Landscapes (UNESCO 2006).  </w:t>
      </w:r>
    </w:p>
  </w:footnote>
  <w:footnote w:id="57">
    <w:p w14:paraId="3EBA8D31" w14:textId="77777777" w:rsidR="00244F6A" w:rsidRPr="00244F6A" w:rsidRDefault="00244F6A" w:rsidP="00244F6A">
      <w:pPr>
        <w:pStyle w:val="Header"/>
        <w:rPr>
          <w:sz w:val="16"/>
          <w:szCs w:val="16"/>
          <w:lang w:val="en-GB"/>
        </w:rPr>
      </w:pPr>
      <w:r w:rsidRPr="00244F6A">
        <w:rPr>
          <w:rStyle w:val="FootnoteReference"/>
          <w:sz w:val="16"/>
          <w:szCs w:val="16"/>
        </w:rPr>
        <w:footnoteRef/>
      </w:r>
      <w:r w:rsidRPr="00244F6A">
        <w:rPr>
          <w:sz w:val="16"/>
          <w:szCs w:val="16"/>
          <w:lang w:val="en-GB"/>
        </w:rPr>
        <w:t xml:space="preserve"> </w:t>
      </w:r>
      <w:proofErr w:type="gramStart"/>
      <w:r w:rsidRPr="00244F6A">
        <w:rPr>
          <w:sz w:val="16"/>
          <w:szCs w:val="16"/>
          <w:lang w:val="en-GB"/>
        </w:rPr>
        <w:t>UNEP/CBD/COP/12/2 (SBSTTA17 report), recommendation XVII/1.</w:t>
      </w:r>
      <w:proofErr w:type="gramEnd"/>
      <w:r w:rsidRPr="00244F6A">
        <w:rPr>
          <w:sz w:val="16"/>
          <w:szCs w:val="16"/>
          <w:lang w:val="en-GB"/>
        </w:rPr>
        <w:t xml:space="preserve"> </w:t>
      </w:r>
    </w:p>
  </w:footnote>
  <w:footnote w:id="58">
    <w:p w14:paraId="15C75417" w14:textId="77777777" w:rsidR="00244F6A" w:rsidRPr="00244F6A" w:rsidRDefault="00244F6A" w:rsidP="00244F6A">
      <w:pPr>
        <w:pStyle w:val="FootnoteText"/>
      </w:pPr>
      <w:r w:rsidRPr="00244F6A">
        <w:rPr>
          <w:rStyle w:val="FootnoteReference"/>
          <w:rFonts w:asciiTheme="minorHAnsi" w:hAnsiTheme="minorHAnsi"/>
          <w:sz w:val="16"/>
          <w:szCs w:val="16"/>
        </w:rPr>
        <w:footnoteRef/>
      </w:r>
      <w:r w:rsidRPr="00244F6A">
        <w:rPr>
          <w:rFonts w:asciiTheme="minorHAnsi" w:hAnsiTheme="minorHAnsi"/>
          <w:sz w:val="16"/>
          <w:szCs w:val="16"/>
        </w:rPr>
        <w:t xml:space="preserve"> Idem, annex 1.</w:t>
      </w:r>
      <w:r>
        <w:t xml:space="preserve"> </w:t>
      </w:r>
    </w:p>
  </w:footnote>
  <w:footnote w:id="59">
    <w:p w14:paraId="1A3EE949" w14:textId="0CB629C1" w:rsidR="007C4831" w:rsidRPr="000D03D1" w:rsidRDefault="007C4831" w:rsidP="000D03D1">
      <w:pPr>
        <w:pStyle w:val="FootnoteText"/>
        <w:rPr>
          <w:rFonts w:asciiTheme="minorHAnsi" w:hAnsiTheme="minorHAnsi"/>
          <w:sz w:val="16"/>
          <w:szCs w:val="16"/>
        </w:rPr>
      </w:pPr>
      <w:r w:rsidRPr="000D03D1">
        <w:rPr>
          <w:rStyle w:val="FootnoteReference"/>
          <w:rFonts w:asciiTheme="minorHAnsi" w:hAnsiTheme="minorHAnsi"/>
          <w:sz w:val="16"/>
          <w:szCs w:val="16"/>
        </w:rPr>
        <w:footnoteRef/>
      </w:r>
      <w:r w:rsidRPr="000D03D1">
        <w:rPr>
          <w:rFonts w:asciiTheme="minorHAnsi" w:hAnsiTheme="minorHAnsi"/>
          <w:sz w:val="16"/>
          <w:szCs w:val="16"/>
        </w:rPr>
        <w:t xml:space="preserve"> E. </w:t>
      </w:r>
      <w:proofErr w:type="spellStart"/>
      <w:r w:rsidRPr="000D03D1">
        <w:rPr>
          <w:rFonts w:asciiTheme="minorHAnsi" w:hAnsiTheme="minorHAnsi"/>
          <w:sz w:val="16"/>
          <w:szCs w:val="16"/>
        </w:rPr>
        <w:t>Turnhout</w:t>
      </w:r>
      <w:proofErr w:type="spellEnd"/>
      <w:r w:rsidRPr="000D03D1">
        <w:rPr>
          <w:rFonts w:asciiTheme="minorHAnsi" w:hAnsiTheme="minorHAnsi"/>
          <w:sz w:val="16"/>
          <w:szCs w:val="16"/>
        </w:rPr>
        <w:t xml:space="preserve"> et.al</w:t>
      </w:r>
      <w:proofErr w:type="gramStart"/>
      <w:r w:rsidRPr="000D03D1">
        <w:rPr>
          <w:rFonts w:asciiTheme="minorHAnsi" w:hAnsiTheme="minorHAnsi"/>
          <w:sz w:val="16"/>
          <w:szCs w:val="16"/>
        </w:rPr>
        <w:t>.,</w:t>
      </w:r>
      <w:proofErr w:type="gramEnd"/>
      <w:r w:rsidRPr="000D03D1">
        <w:rPr>
          <w:rFonts w:asciiTheme="minorHAnsi" w:hAnsiTheme="minorHAnsi"/>
          <w:sz w:val="16"/>
          <w:szCs w:val="16"/>
        </w:rPr>
        <w:t xml:space="preserve"> Listen to the  voices of experience, NATURE | VOL 488 | 23 AUGUST 2012, 454-455.</w:t>
      </w:r>
    </w:p>
  </w:footnote>
  <w:footnote w:id="60">
    <w:p w14:paraId="69BF87E2" w14:textId="77777777" w:rsidR="007C4831" w:rsidRPr="000D03D1" w:rsidRDefault="007C4831" w:rsidP="000D03D1">
      <w:pPr>
        <w:pStyle w:val="FootnoteText"/>
        <w:rPr>
          <w:rFonts w:asciiTheme="minorHAnsi" w:hAnsiTheme="minorHAnsi"/>
          <w:sz w:val="16"/>
          <w:szCs w:val="16"/>
          <w:lang w:val="es-AR"/>
        </w:rPr>
      </w:pPr>
      <w:r w:rsidRPr="000D03D1">
        <w:rPr>
          <w:rStyle w:val="FootnoteReference"/>
          <w:rFonts w:asciiTheme="minorHAnsi" w:hAnsiTheme="minorHAnsi"/>
          <w:sz w:val="16"/>
          <w:szCs w:val="16"/>
        </w:rPr>
        <w:footnoteRef/>
      </w:r>
      <w:r w:rsidRPr="000D03D1">
        <w:rPr>
          <w:rFonts w:asciiTheme="minorHAnsi" w:hAnsiTheme="minorHAnsi"/>
          <w:sz w:val="16"/>
          <w:szCs w:val="16"/>
          <w:lang w:val="es-AR"/>
        </w:rPr>
        <w:t xml:space="preserve"> </w:t>
      </w:r>
      <w:r w:rsidRPr="000D03D1">
        <w:rPr>
          <w:rFonts w:asciiTheme="minorHAnsi" w:hAnsiTheme="minorHAnsi"/>
          <w:sz w:val="16"/>
          <w:szCs w:val="16"/>
          <w:lang w:val="es-AR"/>
        </w:rPr>
        <w:t>UNEP/IPBES.M.I2/9 Appendix 1, para 15 g)</w:t>
      </w:r>
    </w:p>
  </w:footnote>
  <w:footnote w:id="61">
    <w:p w14:paraId="73CCD9A4" w14:textId="77777777" w:rsidR="007C4831" w:rsidRPr="000D03D1" w:rsidRDefault="007C4831" w:rsidP="000D03D1">
      <w:pPr>
        <w:pStyle w:val="FootnoteText"/>
        <w:rPr>
          <w:rFonts w:asciiTheme="minorHAnsi" w:hAnsiTheme="minorHAnsi"/>
          <w:sz w:val="16"/>
          <w:szCs w:val="16"/>
          <w:lang w:val="es-AR"/>
        </w:rPr>
      </w:pPr>
      <w:r w:rsidRPr="000D03D1">
        <w:rPr>
          <w:rStyle w:val="FootnoteReference"/>
          <w:rFonts w:asciiTheme="minorHAnsi" w:hAnsiTheme="minorHAnsi"/>
          <w:sz w:val="16"/>
          <w:szCs w:val="16"/>
        </w:rPr>
        <w:footnoteRef/>
      </w:r>
      <w:r w:rsidRPr="000D03D1">
        <w:rPr>
          <w:rFonts w:asciiTheme="minorHAnsi" w:hAnsiTheme="minorHAnsi"/>
          <w:sz w:val="16"/>
          <w:szCs w:val="16"/>
          <w:lang w:val="es-AR"/>
        </w:rPr>
        <w:t xml:space="preserve"> </w:t>
      </w:r>
      <w:r w:rsidRPr="000D03D1">
        <w:rPr>
          <w:rFonts w:asciiTheme="minorHAnsi" w:hAnsiTheme="minorHAnsi"/>
          <w:sz w:val="16"/>
          <w:szCs w:val="16"/>
          <w:lang w:val="es-AR"/>
        </w:rPr>
        <w:t>UNEP/IPBES.MI2/9 para 20</w:t>
      </w:r>
    </w:p>
  </w:footnote>
  <w:footnote w:id="62">
    <w:p w14:paraId="4466319F" w14:textId="174D2CA3" w:rsidR="007C4831" w:rsidRPr="00892E63" w:rsidRDefault="007C4831" w:rsidP="000D03D1">
      <w:pPr>
        <w:pStyle w:val="FootnoteText"/>
        <w:rPr>
          <w:rFonts w:asciiTheme="minorHAnsi" w:hAnsiTheme="minorHAnsi"/>
          <w:sz w:val="16"/>
          <w:szCs w:val="16"/>
          <w:lang w:val="es-AR"/>
        </w:rPr>
      </w:pPr>
      <w:r w:rsidRPr="000D03D1">
        <w:rPr>
          <w:rStyle w:val="FootnoteReference"/>
          <w:rFonts w:asciiTheme="minorHAnsi" w:hAnsiTheme="minorHAnsi"/>
          <w:sz w:val="16"/>
          <w:szCs w:val="16"/>
        </w:rPr>
        <w:footnoteRef/>
      </w:r>
      <w:r w:rsidRPr="000D03D1">
        <w:rPr>
          <w:rFonts w:asciiTheme="minorHAnsi" w:hAnsiTheme="minorHAnsi"/>
          <w:sz w:val="16"/>
          <w:szCs w:val="16"/>
          <w:lang w:val="es-AR"/>
        </w:rPr>
        <w:t xml:space="preserve">Report available here: </w:t>
      </w:r>
      <w:hyperlink r:id="rId22" w:history="1">
        <w:r w:rsidRPr="000D03D1">
          <w:rPr>
            <w:rStyle w:val="Hyperlink"/>
            <w:rFonts w:asciiTheme="minorHAnsi" w:hAnsiTheme="minorHAnsi"/>
            <w:sz w:val="16"/>
            <w:szCs w:val="16"/>
            <w:lang w:val="es-AR"/>
          </w:rPr>
          <w:t>http://ipbes.net/events-feed/353-expert-workshop-on-indigenous-and-local-knowledge-systems-to-ipbes-2.html</w:t>
        </w:r>
      </w:hyperlink>
      <w:r w:rsidRPr="00892E63">
        <w:rPr>
          <w:rFonts w:asciiTheme="minorHAnsi" w:hAnsiTheme="minorHAnsi"/>
          <w:sz w:val="16"/>
          <w:szCs w:val="16"/>
          <w:lang w:val="es-AR"/>
        </w:rPr>
        <w:t xml:space="preserve"> </w:t>
      </w:r>
    </w:p>
  </w:footnote>
  <w:footnote w:id="63">
    <w:p w14:paraId="19ABDE0C" w14:textId="77777777" w:rsidR="007C4831" w:rsidRPr="00892E63" w:rsidRDefault="007C4831" w:rsidP="00892E63">
      <w:pPr>
        <w:pStyle w:val="FootnoteText"/>
        <w:rPr>
          <w:rFonts w:asciiTheme="minorHAnsi" w:hAnsiTheme="minorHAnsi"/>
          <w:sz w:val="16"/>
          <w:szCs w:val="16"/>
        </w:rPr>
      </w:pPr>
      <w:r w:rsidRPr="00892E63">
        <w:rPr>
          <w:rStyle w:val="FootnoteReference"/>
          <w:rFonts w:asciiTheme="minorHAnsi" w:hAnsiTheme="minorHAnsi"/>
          <w:sz w:val="16"/>
          <w:szCs w:val="16"/>
        </w:rPr>
        <w:footnoteRef/>
      </w:r>
      <w:r w:rsidRPr="00892E63">
        <w:rPr>
          <w:rFonts w:asciiTheme="minorHAnsi" w:hAnsiTheme="minorHAnsi"/>
          <w:sz w:val="16"/>
          <w:szCs w:val="16"/>
        </w:rPr>
        <w:t xml:space="preserve"> Report is available at </w:t>
      </w:r>
      <w:hyperlink r:id="rId23" w:history="1">
        <w:r w:rsidRPr="00892E63">
          <w:rPr>
            <w:rStyle w:val="Hyperlink"/>
            <w:rFonts w:asciiTheme="minorHAnsi" w:hAnsiTheme="minorHAnsi"/>
            <w:sz w:val="16"/>
            <w:szCs w:val="16"/>
          </w:rPr>
          <w:t>http://www.dialogueseminars.net/resources/Panama/Reading/C.-Knowledge-systems/jokkmokk-report-on-knowledge-system-exchange.pdf</w:t>
        </w:r>
      </w:hyperlink>
      <w:r w:rsidRPr="00892E63">
        <w:rPr>
          <w:rFonts w:asciiTheme="minorHAnsi" w:hAnsiTheme="minorHAnsi"/>
          <w:sz w:val="16"/>
          <w:szCs w:val="16"/>
        </w:rPr>
        <w:t xml:space="preserve"> </w:t>
      </w:r>
    </w:p>
  </w:footnote>
  <w:footnote w:id="64">
    <w:p w14:paraId="71721F9D" w14:textId="77777777" w:rsidR="007C4831" w:rsidRPr="00892E63" w:rsidRDefault="007C4831" w:rsidP="00892E63">
      <w:pPr>
        <w:pStyle w:val="FootnoteText"/>
        <w:rPr>
          <w:rFonts w:asciiTheme="minorHAnsi" w:hAnsiTheme="minorHAnsi"/>
          <w:sz w:val="16"/>
          <w:szCs w:val="16"/>
        </w:rPr>
      </w:pPr>
      <w:r w:rsidRPr="00892E63">
        <w:rPr>
          <w:rStyle w:val="FootnoteReference"/>
          <w:rFonts w:asciiTheme="minorHAnsi" w:hAnsiTheme="minorHAnsi"/>
          <w:sz w:val="16"/>
          <w:szCs w:val="16"/>
        </w:rPr>
        <w:footnoteRef/>
      </w:r>
      <w:r w:rsidRPr="00892E63">
        <w:rPr>
          <w:rFonts w:asciiTheme="minorHAnsi" w:hAnsiTheme="minorHAnsi"/>
          <w:sz w:val="16"/>
          <w:szCs w:val="16"/>
        </w:rPr>
        <w:t xml:space="preserve">  See more information at </w:t>
      </w:r>
      <w:hyperlink r:id="rId24" w:history="1">
        <w:r w:rsidRPr="00892E63">
          <w:rPr>
            <w:rStyle w:val="Hyperlink"/>
            <w:rFonts w:asciiTheme="minorHAnsi" w:hAnsiTheme="minorHAnsi"/>
            <w:sz w:val="16"/>
            <w:szCs w:val="16"/>
          </w:rPr>
          <w:t>http://www.dialogueseminars.net/Panama/</w:t>
        </w:r>
      </w:hyperlink>
      <w:r w:rsidRPr="00892E63">
        <w:rPr>
          <w:rFonts w:asciiTheme="minorHAnsi" w:hAnsiTheme="minorHAnsi"/>
          <w:sz w:val="16"/>
          <w:szCs w:val="16"/>
        </w:rPr>
        <w:t xml:space="preserve"> </w:t>
      </w:r>
    </w:p>
  </w:footnote>
  <w:footnote w:id="65">
    <w:p w14:paraId="5FF69282" w14:textId="607EFA9E" w:rsidR="007C4831" w:rsidRPr="00892E63" w:rsidRDefault="007C4831" w:rsidP="00892E63">
      <w:pPr>
        <w:spacing w:after="0" w:line="240" w:lineRule="auto"/>
        <w:rPr>
          <w:sz w:val="16"/>
          <w:szCs w:val="16"/>
          <w:lang w:val="en-GB"/>
        </w:rPr>
      </w:pPr>
      <w:r w:rsidRPr="00892E63">
        <w:rPr>
          <w:rStyle w:val="FootnoteReference"/>
          <w:sz w:val="16"/>
          <w:szCs w:val="16"/>
        </w:rPr>
        <w:footnoteRef/>
      </w:r>
      <w:r w:rsidRPr="00892E63">
        <w:rPr>
          <w:sz w:val="16"/>
          <w:szCs w:val="16"/>
          <w:lang w:val="en-GB"/>
        </w:rPr>
        <w:t xml:space="preserve"> See UNEP/CBD/WG8J/8/3, note on </w:t>
      </w:r>
      <w:bookmarkStart w:id="1" w:name="_Toc359327753"/>
      <w:bookmarkStart w:id="2" w:name="_Toc359417979"/>
      <w:bookmarkStart w:id="3" w:name="_Toc359418199"/>
      <w:r w:rsidRPr="00892E63">
        <w:rPr>
          <w:sz w:val="16"/>
          <w:szCs w:val="16"/>
          <w:lang w:val="en-GB"/>
        </w:rPr>
        <w:t>in-depth dialogue on THEMATIC AREAS AND OTHER CROSS-CUTTING ISSUES</w:t>
      </w:r>
      <w:bookmarkEnd w:id="1"/>
      <w:bookmarkEnd w:id="2"/>
      <w:bookmarkEnd w:id="3"/>
      <w:r w:rsidRPr="00892E63">
        <w:rPr>
          <w:sz w:val="16"/>
          <w:szCs w:val="16"/>
          <w:lang w:val="en-GB"/>
        </w:rPr>
        <w:t xml:space="preserve"> “Connecting traditional knowledge systems and science, such as under the IPBES, including gender dimensions</w:t>
      </w:r>
    </w:p>
  </w:footnote>
  <w:footnote w:id="66">
    <w:p w14:paraId="447E722A" w14:textId="66B051F1" w:rsidR="007C4831" w:rsidRPr="00892E63" w:rsidRDefault="007C4831" w:rsidP="00892E63">
      <w:pPr>
        <w:pStyle w:val="FootnoteText"/>
        <w:rPr>
          <w:rFonts w:asciiTheme="minorHAnsi" w:hAnsiTheme="minorHAnsi"/>
          <w:sz w:val="16"/>
          <w:szCs w:val="16"/>
        </w:rPr>
      </w:pPr>
      <w:r w:rsidRPr="00892E63">
        <w:rPr>
          <w:rStyle w:val="FootnoteReference"/>
          <w:rFonts w:asciiTheme="minorHAnsi" w:hAnsiTheme="minorHAnsi"/>
          <w:sz w:val="16"/>
          <w:szCs w:val="16"/>
        </w:rPr>
        <w:footnoteRef/>
      </w:r>
      <w:r w:rsidRPr="00892E63">
        <w:rPr>
          <w:rFonts w:asciiTheme="minorHAnsi" w:hAnsiTheme="minorHAnsi"/>
          <w:sz w:val="16"/>
          <w:szCs w:val="16"/>
        </w:rPr>
        <w:t xml:space="preserve"> </w:t>
      </w:r>
      <w:hyperlink r:id="rId25" w:history="1">
        <w:r w:rsidRPr="00892E63">
          <w:rPr>
            <w:rStyle w:val="Hyperlink"/>
            <w:rFonts w:asciiTheme="minorHAnsi" w:hAnsiTheme="minorHAnsi"/>
            <w:sz w:val="16"/>
            <w:szCs w:val="16"/>
          </w:rPr>
          <w:t>http://unu.edu/publications/articles/why-traditional-knowledge-holds-the-key-to-climate-change.html</w:t>
        </w:r>
      </w:hyperlink>
      <w:r w:rsidRPr="00892E63">
        <w:rPr>
          <w:rFonts w:asciiTheme="minorHAnsi" w:hAnsiTheme="minorHAnsi"/>
          <w:sz w:val="16"/>
          <w:szCs w:val="16"/>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DC3"/>
    <w:multiLevelType w:val="multilevel"/>
    <w:tmpl w:val="60A2BF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2417867"/>
    <w:multiLevelType w:val="multilevel"/>
    <w:tmpl w:val="BB0664D8"/>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F28421A"/>
    <w:multiLevelType w:val="multilevel"/>
    <w:tmpl w:val="EC261190"/>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0A9728C"/>
    <w:multiLevelType w:val="hybridMultilevel"/>
    <w:tmpl w:val="90C2D28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11D34BD"/>
    <w:multiLevelType w:val="hybridMultilevel"/>
    <w:tmpl w:val="00B2E6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FC3E80"/>
    <w:multiLevelType w:val="hybridMultilevel"/>
    <w:tmpl w:val="FEDA7CD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49017640"/>
    <w:multiLevelType w:val="hybridMultilevel"/>
    <w:tmpl w:val="C882DB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E0442B4"/>
    <w:multiLevelType w:val="multilevel"/>
    <w:tmpl w:val="934096C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55322C56"/>
    <w:multiLevelType w:val="hybridMultilevel"/>
    <w:tmpl w:val="540A542C"/>
    <w:lvl w:ilvl="0" w:tplc="5B16B29C">
      <w:start w:val="1"/>
      <w:numFmt w:val="lowerLetter"/>
      <w:lvlText w:val="(%1)"/>
      <w:lvlJc w:val="left"/>
      <w:pPr>
        <w:ind w:left="720" w:hanging="360"/>
      </w:pPr>
      <w:rPr>
        <w:rFonts w:hint="default"/>
      </w:rPr>
    </w:lvl>
    <w:lvl w:ilvl="1" w:tplc="0C2EBA3A">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F12543"/>
    <w:multiLevelType w:val="hybridMultilevel"/>
    <w:tmpl w:val="D9682A8E"/>
    <w:lvl w:ilvl="0" w:tplc="0413000D">
      <w:start w:val="1"/>
      <w:numFmt w:val="bullet"/>
      <w:lvlText w:val=""/>
      <w:lvlJc w:val="left"/>
      <w:pPr>
        <w:ind w:left="1068" w:hanging="360"/>
      </w:pPr>
      <w:rPr>
        <w:rFonts w:ascii="Wingdings" w:hAnsi="Wingdings" w:hint="default"/>
      </w:rPr>
    </w:lvl>
    <w:lvl w:ilvl="1" w:tplc="0413000D">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nsid w:val="5FF74C41"/>
    <w:multiLevelType w:val="hybridMultilevel"/>
    <w:tmpl w:val="F6EC6C50"/>
    <w:lvl w:ilvl="0" w:tplc="B6EE800E">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10B382F"/>
    <w:multiLevelType w:val="hybridMultilevel"/>
    <w:tmpl w:val="59F81656"/>
    <w:lvl w:ilvl="0" w:tplc="04130001">
      <w:start w:val="1"/>
      <w:numFmt w:val="bullet"/>
      <w:lvlText w:val=""/>
      <w:lvlJc w:val="left"/>
      <w:pPr>
        <w:ind w:left="360" w:hanging="360"/>
      </w:pPr>
      <w:rPr>
        <w:rFonts w:ascii="Symbol" w:hAnsi="Symbol" w:hint="default"/>
      </w:rPr>
    </w:lvl>
    <w:lvl w:ilvl="1" w:tplc="0C2EBA3A">
      <w:numFmt w:val="bullet"/>
      <w:lvlText w:val="-"/>
      <w:lvlJc w:val="left"/>
      <w:pPr>
        <w:ind w:left="1080" w:hanging="360"/>
      </w:pPr>
      <w:rPr>
        <w:rFonts w:ascii="Times New Roman" w:eastAsia="MS Mincho"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E81388"/>
    <w:multiLevelType w:val="hybridMultilevel"/>
    <w:tmpl w:val="FADEA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3696237"/>
    <w:multiLevelType w:val="multilevel"/>
    <w:tmpl w:val="4BBCFD0C"/>
    <w:lvl w:ilvl="0">
      <w:start w:val="3"/>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3734B4A"/>
    <w:multiLevelType w:val="multilevel"/>
    <w:tmpl w:val="05EA5888"/>
    <w:lvl w:ilvl="0">
      <w:start w:val="1"/>
      <w:numFmt w:val="lowerLetter"/>
      <w:lvlText w:val="(%1)"/>
      <w:lvlJc w:val="left"/>
      <w:pPr>
        <w:tabs>
          <w:tab w:val="num" w:pos="1800"/>
        </w:tabs>
        <w:ind w:left="1440" w:firstLine="0"/>
      </w:pPr>
      <w:rPr>
        <w:rFonts w:hint="default"/>
        <w:b w:val="0"/>
        <w:i w:val="0"/>
        <w:sz w:val="22"/>
        <w:lang w:val="en-GB"/>
      </w:rPr>
    </w:lvl>
    <w:lvl w:ilvl="1">
      <w:start w:val="1"/>
      <w:numFmt w:val="lowerLetter"/>
      <w:lvlText w:val="(%2)"/>
      <w:lvlJc w:val="left"/>
      <w:pPr>
        <w:tabs>
          <w:tab w:val="num" w:pos="2880"/>
        </w:tabs>
        <w:ind w:left="1440" w:firstLine="720"/>
      </w:pPr>
      <w:rPr>
        <w:rFonts w:hint="default"/>
        <w:b w:val="0"/>
        <w:i w:val="0"/>
      </w:rPr>
    </w:lvl>
    <w:lvl w:ilvl="2">
      <w:start w:val="1"/>
      <w:numFmt w:val="lowerLetter"/>
      <w:lvlText w:val="(%3)"/>
      <w:lvlJc w:val="left"/>
      <w:pPr>
        <w:tabs>
          <w:tab w:val="num" w:pos="2880"/>
        </w:tabs>
        <w:ind w:left="2880" w:hanging="360"/>
      </w:pPr>
      <w:rPr>
        <w:rFonts w:cs="Wingdings" w:hint="default"/>
      </w:rPr>
    </w:lvl>
    <w:lvl w:ilvl="3">
      <w:start w:val="1"/>
      <w:numFmt w:val="lowerRoman"/>
      <w:lvlText w:val="(%4)"/>
      <w:lvlJc w:val="right"/>
      <w:pPr>
        <w:tabs>
          <w:tab w:val="num" w:pos="3600"/>
        </w:tabs>
        <w:ind w:left="3600" w:hanging="720"/>
      </w:pPr>
      <w:rPr>
        <w:rFonts w:hint="default"/>
        <w:color w:val="auto"/>
        <w:sz w:val="22"/>
        <w:szCs w:val="22"/>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5">
    <w:nsid w:val="7B5A797D"/>
    <w:multiLevelType w:val="multilevel"/>
    <w:tmpl w:val="EC261190"/>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4"/>
  </w:num>
  <w:num w:numId="3">
    <w:abstractNumId w:val="0"/>
  </w:num>
  <w:num w:numId="4">
    <w:abstractNumId w:val="2"/>
  </w:num>
  <w:num w:numId="5">
    <w:abstractNumId w:val="15"/>
  </w:num>
  <w:num w:numId="6">
    <w:abstractNumId w:val="1"/>
  </w:num>
  <w:num w:numId="7">
    <w:abstractNumId w:val="9"/>
  </w:num>
  <w:num w:numId="8">
    <w:abstractNumId w:val="13"/>
  </w:num>
  <w:num w:numId="9">
    <w:abstractNumId w:val="3"/>
  </w:num>
  <w:num w:numId="10">
    <w:abstractNumId w:val="10"/>
  </w:num>
  <w:num w:numId="11">
    <w:abstractNumId w:val="8"/>
  </w:num>
  <w:num w:numId="12">
    <w:abstractNumId w:val="12"/>
  </w:num>
  <w:num w:numId="13">
    <w:abstractNumId w:val="5"/>
  </w:num>
  <w:num w:numId="14">
    <w:abstractNumId w:val="6"/>
  </w:num>
  <w:num w:numId="15">
    <w:abstractNumId w:val="11"/>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9E"/>
    <w:rsid w:val="000127C1"/>
    <w:rsid w:val="00015771"/>
    <w:rsid w:val="0002241D"/>
    <w:rsid w:val="00022616"/>
    <w:rsid w:val="00031285"/>
    <w:rsid w:val="00033186"/>
    <w:rsid w:val="00037298"/>
    <w:rsid w:val="00037A75"/>
    <w:rsid w:val="000411A6"/>
    <w:rsid w:val="000464FE"/>
    <w:rsid w:val="00047E4C"/>
    <w:rsid w:val="00050058"/>
    <w:rsid w:val="0005103B"/>
    <w:rsid w:val="000510E8"/>
    <w:rsid w:val="00052A72"/>
    <w:rsid w:val="000532DA"/>
    <w:rsid w:val="000651E4"/>
    <w:rsid w:val="0006541C"/>
    <w:rsid w:val="00075D8E"/>
    <w:rsid w:val="00076D99"/>
    <w:rsid w:val="00077A1C"/>
    <w:rsid w:val="00083D4A"/>
    <w:rsid w:val="0009066B"/>
    <w:rsid w:val="00094281"/>
    <w:rsid w:val="000968AC"/>
    <w:rsid w:val="000A5FD0"/>
    <w:rsid w:val="000C3E25"/>
    <w:rsid w:val="000C5C07"/>
    <w:rsid w:val="000C75A3"/>
    <w:rsid w:val="000D03D1"/>
    <w:rsid w:val="000E4655"/>
    <w:rsid w:val="000F483D"/>
    <w:rsid w:val="00106E50"/>
    <w:rsid w:val="001154E3"/>
    <w:rsid w:val="00125663"/>
    <w:rsid w:val="001465A5"/>
    <w:rsid w:val="001474FD"/>
    <w:rsid w:val="0015735F"/>
    <w:rsid w:val="00166228"/>
    <w:rsid w:val="001664DF"/>
    <w:rsid w:val="00171558"/>
    <w:rsid w:val="00191E66"/>
    <w:rsid w:val="001939DC"/>
    <w:rsid w:val="00197513"/>
    <w:rsid w:val="001A5906"/>
    <w:rsid w:val="001B2463"/>
    <w:rsid w:val="001B3F3E"/>
    <w:rsid w:val="001B433F"/>
    <w:rsid w:val="001B51C0"/>
    <w:rsid w:val="001C4B04"/>
    <w:rsid w:val="001D23AB"/>
    <w:rsid w:val="001D2AC7"/>
    <w:rsid w:val="001E18AB"/>
    <w:rsid w:val="001F00D8"/>
    <w:rsid w:val="001F2104"/>
    <w:rsid w:val="001F359F"/>
    <w:rsid w:val="001F67ED"/>
    <w:rsid w:val="001F75DF"/>
    <w:rsid w:val="0020023F"/>
    <w:rsid w:val="00202DB5"/>
    <w:rsid w:val="002077FF"/>
    <w:rsid w:val="00221F24"/>
    <w:rsid w:val="00227119"/>
    <w:rsid w:val="0023345A"/>
    <w:rsid w:val="002414FE"/>
    <w:rsid w:val="00244F6A"/>
    <w:rsid w:val="00247A15"/>
    <w:rsid w:val="00250178"/>
    <w:rsid w:val="00256DEF"/>
    <w:rsid w:val="00260C81"/>
    <w:rsid w:val="002643B6"/>
    <w:rsid w:val="00264B0A"/>
    <w:rsid w:val="002823DD"/>
    <w:rsid w:val="0028589F"/>
    <w:rsid w:val="002A0462"/>
    <w:rsid w:val="002A214A"/>
    <w:rsid w:val="002A4431"/>
    <w:rsid w:val="002B10A1"/>
    <w:rsid w:val="002B237A"/>
    <w:rsid w:val="002B7269"/>
    <w:rsid w:val="002C1F96"/>
    <w:rsid w:val="002C365A"/>
    <w:rsid w:val="002C727B"/>
    <w:rsid w:val="002D3287"/>
    <w:rsid w:val="002D42D2"/>
    <w:rsid w:val="002D72A2"/>
    <w:rsid w:val="002E750E"/>
    <w:rsid w:val="002E7751"/>
    <w:rsid w:val="002F2137"/>
    <w:rsid w:val="002F726B"/>
    <w:rsid w:val="00305217"/>
    <w:rsid w:val="003129C7"/>
    <w:rsid w:val="003137BD"/>
    <w:rsid w:val="00333AA4"/>
    <w:rsid w:val="003349DE"/>
    <w:rsid w:val="0033506D"/>
    <w:rsid w:val="00343D30"/>
    <w:rsid w:val="003479D6"/>
    <w:rsid w:val="00360A65"/>
    <w:rsid w:val="00364C62"/>
    <w:rsid w:val="00365EC7"/>
    <w:rsid w:val="00366E4C"/>
    <w:rsid w:val="00372FF4"/>
    <w:rsid w:val="00376E7E"/>
    <w:rsid w:val="00377AC3"/>
    <w:rsid w:val="0038056A"/>
    <w:rsid w:val="003854A3"/>
    <w:rsid w:val="003909D1"/>
    <w:rsid w:val="00391065"/>
    <w:rsid w:val="003A3664"/>
    <w:rsid w:val="003A52E3"/>
    <w:rsid w:val="003B0694"/>
    <w:rsid w:val="003B0894"/>
    <w:rsid w:val="003B3ECA"/>
    <w:rsid w:val="003B5099"/>
    <w:rsid w:val="003C13B6"/>
    <w:rsid w:val="003C1979"/>
    <w:rsid w:val="003C5927"/>
    <w:rsid w:val="003D4B6E"/>
    <w:rsid w:val="003D7B40"/>
    <w:rsid w:val="003E1913"/>
    <w:rsid w:val="003F0DDA"/>
    <w:rsid w:val="003F203F"/>
    <w:rsid w:val="003F5D87"/>
    <w:rsid w:val="00400A1E"/>
    <w:rsid w:val="00411ADF"/>
    <w:rsid w:val="0041366F"/>
    <w:rsid w:val="0042362A"/>
    <w:rsid w:val="00427399"/>
    <w:rsid w:val="00431D9E"/>
    <w:rsid w:val="00433F01"/>
    <w:rsid w:val="004344BA"/>
    <w:rsid w:val="00444C63"/>
    <w:rsid w:val="00445042"/>
    <w:rsid w:val="00446022"/>
    <w:rsid w:val="00451842"/>
    <w:rsid w:val="0045206F"/>
    <w:rsid w:val="00462203"/>
    <w:rsid w:val="00466F6E"/>
    <w:rsid w:val="00467F1C"/>
    <w:rsid w:val="0047159A"/>
    <w:rsid w:val="00471EE5"/>
    <w:rsid w:val="00477F8A"/>
    <w:rsid w:val="004877F0"/>
    <w:rsid w:val="00494C05"/>
    <w:rsid w:val="00495CE9"/>
    <w:rsid w:val="00497656"/>
    <w:rsid w:val="004A1021"/>
    <w:rsid w:val="004A59C2"/>
    <w:rsid w:val="004C3855"/>
    <w:rsid w:val="004C3A64"/>
    <w:rsid w:val="004D6D66"/>
    <w:rsid w:val="004E4142"/>
    <w:rsid w:val="004F47F4"/>
    <w:rsid w:val="005022D9"/>
    <w:rsid w:val="0050635B"/>
    <w:rsid w:val="005122D2"/>
    <w:rsid w:val="005174A5"/>
    <w:rsid w:val="005207F6"/>
    <w:rsid w:val="00522055"/>
    <w:rsid w:val="005245C8"/>
    <w:rsid w:val="00525A1F"/>
    <w:rsid w:val="005304D5"/>
    <w:rsid w:val="00530C00"/>
    <w:rsid w:val="00540E82"/>
    <w:rsid w:val="005444CD"/>
    <w:rsid w:val="005456A2"/>
    <w:rsid w:val="00550F3A"/>
    <w:rsid w:val="00551359"/>
    <w:rsid w:val="005543AB"/>
    <w:rsid w:val="005614AA"/>
    <w:rsid w:val="005617F0"/>
    <w:rsid w:val="00563EFA"/>
    <w:rsid w:val="00564D95"/>
    <w:rsid w:val="005720F6"/>
    <w:rsid w:val="00572CA6"/>
    <w:rsid w:val="00576E53"/>
    <w:rsid w:val="005803F0"/>
    <w:rsid w:val="00582181"/>
    <w:rsid w:val="00596C42"/>
    <w:rsid w:val="005A211E"/>
    <w:rsid w:val="005A4909"/>
    <w:rsid w:val="005B218A"/>
    <w:rsid w:val="005C579F"/>
    <w:rsid w:val="005F08CF"/>
    <w:rsid w:val="005F1130"/>
    <w:rsid w:val="005F13D2"/>
    <w:rsid w:val="0060035A"/>
    <w:rsid w:val="00604B5F"/>
    <w:rsid w:val="00616822"/>
    <w:rsid w:val="0061704B"/>
    <w:rsid w:val="00626832"/>
    <w:rsid w:val="00650BCB"/>
    <w:rsid w:val="00652073"/>
    <w:rsid w:val="0065382B"/>
    <w:rsid w:val="00661825"/>
    <w:rsid w:val="00674E6C"/>
    <w:rsid w:val="0067518E"/>
    <w:rsid w:val="00675604"/>
    <w:rsid w:val="006773FC"/>
    <w:rsid w:val="00680F3E"/>
    <w:rsid w:val="00681136"/>
    <w:rsid w:val="00683740"/>
    <w:rsid w:val="006A05BD"/>
    <w:rsid w:val="006A5E58"/>
    <w:rsid w:val="006B004C"/>
    <w:rsid w:val="006B0A1C"/>
    <w:rsid w:val="006B11C6"/>
    <w:rsid w:val="006B2FD7"/>
    <w:rsid w:val="006D1970"/>
    <w:rsid w:val="006D19BA"/>
    <w:rsid w:val="006D2A77"/>
    <w:rsid w:val="006D2A7C"/>
    <w:rsid w:val="006D3476"/>
    <w:rsid w:val="006D7EAD"/>
    <w:rsid w:val="006F3E2D"/>
    <w:rsid w:val="006F5484"/>
    <w:rsid w:val="00703BA9"/>
    <w:rsid w:val="0070584B"/>
    <w:rsid w:val="00710AF6"/>
    <w:rsid w:val="007133A2"/>
    <w:rsid w:val="00715BD7"/>
    <w:rsid w:val="007254DA"/>
    <w:rsid w:val="00726154"/>
    <w:rsid w:val="007266CF"/>
    <w:rsid w:val="00736355"/>
    <w:rsid w:val="007432FB"/>
    <w:rsid w:val="007548E6"/>
    <w:rsid w:val="00763C95"/>
    <w:rsid w:val="0076439B"/>
    <w:rsid w:val="0076445A"/>
    <w:rsid w:val="00765103"/>
    <w:rsid w:val="0076558B"/>
    <w:rsid w:val="00765758"/>
    <w:rsid w:val="007820E3"/>
    <w:rsid w:val="00792537"/>
    <w:rsid w:val="00797988"/>
    <w:rsid w:val="007A2317"/>
    <w:rsid w:val="007A243E"/>
    <w:rsid w:val="007A3FC3"/>
    <w:rsid w:val="007A3FCE"/>
    <w:rsid w:val="007A7883"/>
    <w:rsid w:val="007B64C0"/>
    <w:rsid w:val="007C43FE"/>
    <w:rsid w:val="007C4831"/>
    <w:rsid w:val="007D131E"/>
    <w:rsid w:val="007D21E8"/>
    <w:rsid w:val="007D3A0A"/>
    <w:rsid w:val="007E5883"/>
    <w:rsid w:val="007E7A25"/>
    <w:rsid w:val="007F25A9"/>
    <w:rsid w:val="00811545"/>
    <w:rsid w:val="008157E8"/>
    <w:rsid w:val="008164BE"/>
    <w:rsid w:val="00825434"/>
    <w:rsid w:val="00832D05"/>
    <w:rsid w:val="00835419"/>
    <w:rsid w:val="008410D6"/>
    <w:rsid w:val="00843A0F"/>
    <w:rsid w:val="008475E5"/>
    <w:rsid w:val="00850361"/>
    <w:rsid w:val="008503CC"/>
    <w:rsid w:val="008714C2"/>
    <w:rsid w:val="008721C0"/>
    <w:rsid w:val="0087263E"/>
    <w:rsid w:val="00875110"/>
    <w:rsid w:val="0087712B"/>
    <w:rsid w:val="00890CAC"/>
    <w:rsid w:val="00892E63"/>
    <w:rsid w:val="00894C09"/>
    <w:rsid w:val="008A2183"/>
    <w:rsid w:val="008A2D17"/>
    <w:rsid w:val="008A398F"/>
    <w:rsid w:val="008A6187"/>
    <w:rsid w:val="008B3BE9"/>
    <w:rsid w:val="008B4D77"/>
    <w:rsid w:val="008C3420"/>
    <w:rsid w:val="008C64C0"/>
    <w:rsid w:val="008D22A8"/>
    <w:rsid w:val="008E2E88"/>
    <w:rsid w:val="008E2F90"/>
    <w:rsid w:val="008E5597"/>
    <w:rsid w:val="008E76A9"/>
    <w:rsid w:val="008F5567"/>
    <w:rsid w:val="008F60E0"/>
    <w:rsid w:val="00910B47"/>
    <w:rsid w:val="00911454"/>
    <w:rsid w:val="00912B10"/>
    <w:rsid w:val="0091351B"/>
    <w:rsid w:val="0091482B"/>
    <w:rsid w:val="00925E8A"/>
    <w:rsid w:val="0092725E"/>
    <w:rsid w:val="00927A83"/>
    <w:rsid w:val="00931727"/>
    <w:rsid w:val="00952EE4"/>
    <w:rsid w:val="009612C0"/>
    <w:rsid w:val="00965B12"/>
    <w:rsid w:val="009666E0"/>
    <w:rsid w:val="009754E6"/>
    <w:rsid w:val="00982C15"/>
    <w:rsid w:val="00982EAF"/>
    <w:rsid w:val="0099713E"/>
    <w:rsid w:val="009A3532"/>
    <w:rsid w:val="009A3BF2"/>
    <w:rsid w:val="009A6086"/>
    <w:rsid w:val="009B5CBA"/>
    <w:rsid w:val="009C20E9"/>
    <w:rsid w:val="009C29AB"/>
    <w:rsid w:val="009C350B"/>
    <w:rsid w:val="009D341A"/>
    <w:rsid w:val="009D4F75"/>
    <w:rsid w:val="009D588B"/>
    <w:rsid w:val="009E11B3"/>
    <w:rsid w:val="009E1542"/>
    <w:rsid w:val="009E175B"/>
    <w:rsid w:val="009E3E40"/>
    <w:rsid w:val="009F3ADF"/>
    <w:rsid w:val="00A01495"/>
    <w:rsid w:val="00A02ED7"/>
    <w:rsid w:val="00A030FE"/>
    <w:rsid w:val="00A06D07"/>
    <w:rsid w:val="00A06ECE"/>
    <w:rsid w:val="00A154FB"/>
    <w:rsid w:val="00A15A6E"/>
    <w:rsid w:val="00A17D74"/>
    <w:rsid w:val="00A261B6"/>
    <w:rsid w:val="00A31702"/>
    <w:rsid w:val="00A31B17"/>
    <w:rsid w:val="00A33231"/>
    <w:rsid w:val="00A50577"/>
    <w:rsid w:val="00A5172D"/>
    <w:rsid w:val="00A51C35"/>
    <w:rsid w:val="00A52495"/>
    <w:rsid w:val="00A57B03"/>
    <w:rsid w:val="00A60E37"/>
    <w:rsid w:val="00A6232E"/>
    <w:rsid w:val="00A63067"/>
    <w:rsid w:val="00A6665B"/>
    <w:rsid w:val="00A66FF9"/>
    <w:rsid w:val="00A7220A"/>
    <w:rsid w:val="00A72A86"/>
    <w:rsid w:val="00A83774"/>
    <w:rsid w:val="00A91F1C"/>
    <w:rsid w:val="00A92B7E"/>
    <w:rsid w:val="00A956A8"/>
    <w:rsid w:val="00A95C54"/>
    <w:rsid w:val="00A96CBB"/>
    <w:rsid w:val="00AA0F6A"/>
    <w:rsid w:val="00AA6F8C"/>
    <w:rsid w:val="00AB03A0"/>
    <w:rsid w:val="00AB2A22"/>
    <w:rsid w:val="00AB52B8"/>
    <w:rsid w:val="00AC109D"/>
    <w:rsid w:val="00AC6E4C"/>
    <w:rsid w:val="00AC7E1B"/>
    <w:rsid w:val="00AE25F7"/>
    <w:rsid w:val="00AE340D"/>
    <w:rsid w:val="00AF2436"/>
    <w:rsid w:val="00AF3377"/>
    <w:rsid w:val="00AF4844"/>
    <w:rsid w:val="00AF50EB"/>
    <w:rsid w:val="00AF5744"/>
    <w:rsid w:val="00AF6A37"/>
    <w:rsid w:val="00B14BE8"/>
    <w:rsid w:val="00B14FAB"/>
    <w:rsid w:val="00B153E6"/>
    <w:rsid w:val="00B17585"/>
    <w:rsid w:val="00B23C8A"/>
    <w:rsid w:val="00B3061D"/>
    <w:rsid w:val="00B35BD2"/>
    <w:rsid w:val="00B36112"/>
    <w:rsid w:val="00B36C52"/>
    <w:rsid w:val="00B52208"/>
    <w:rsid w:val="00B54FCF"/>
    <w:rsid w:val="00B55AD8"/>
    <w:rsid w:val="00B609B8"/>
    <w:rsid w:val="00B61633"/>
    <w:rsid w:val="00B62C96"/>
    <w:rsid w:val="00B64576"/>
    <w:rsid w:val="00B7366A"/>
    <w:rsid w:val="00B748B6"/>
    <w:rsid w:val="00B74B9D"/>
    <w:rsid w:val="00B754D7"/>
    <w:rsid w:val="00B754FC"/>
    <w:rsid w:val="00B769F9"/>
    <w:rsid w:val="00B774FC"/>
    <w:rsid w:val="00B81CA3"/>
    <w:rsid w:val="00B85057"/>
    <w:rsid w:val="00B914F8"/>
    <w:rsid w:val="00B9276A"/>
    <w:rsid w:val="00B94BC3"/>
    <w:rsid w:val="00B96F28"/>
    <w:rsid w:val="00BA2C83"/>
    <w:rsid w:val="00BA3AAA"/>
    <w:rsid w:val="00BA3F65"/>
    <w:rsid w:val="00BB2FFD"/>
    <w:rsid w:val="00BC767D"/>
    <w:rsid w:val="00BD5AAA"/>
    <w:rsid w:val="00BE2D32"/>
    <w:rsid w:val="00BE504E"/>
    <w:rsid w:val="00BF1108"/>
    <w:rsid w:val="00BF2159"/>
    <w:rsid w:val="00BF5552"/>
    <w:rsid w:val="00C07AC1"/>
    <w:rsid w:val="00C119D7"/>
    <w:rsid w:val="00C13B86"/>
    <w:rsid w:val="00C16B9E"/>
    <w:rsid w:val="00C203D1"/>
    <w:rsid w:val="00C214D8"/>
    <w:rsid w:val="00C26C3C"/>
    <w:rsid w:val="00C353ED"/>
    <w:rsid w:val="00C4721B"/>
    <w:rsid w:val="00C53C6D"/>
    <w:rsid w:val="00C63A6C"/>
    <w:rsid w:val="00C6537F"/>
    <w:rsid w:val="00C67274"/>
    <w:rsid w:val="00C71C57"/>
    <w:rsid w:val="00C71EFC"/>
    <w:rsid w:val="00C775A5"/>
    <w:rsid w:val="00C8274C"/>
    <w:rsid w:val="00C83A4B"/>
    <w:rsid w:val="00C85128"/>
    <w:rsid w:val="00C9080B"/>
    <w:rsid w:val="00C92F3A"/>
    <w:rsid w:val="00C95F58"/>
    <w:rsid w:val="00CA19F7"/>
    <w:rsid w:val="00CA3239"/>
    <w:rsid w:val="00CB23EC"/>
    <w:rsid w:val="00CB4BAB"/>
    <w:rsid w:val="00CB55C9"/>
    <w:rsid w:val="00CB73FC"/>
    <w:rsid w:val="00CD3ED3"/>
    <w:rsid w:val="00CD53EA"/>
    <w:rsid w:val="00CD7C94"/>
    <w:rsid w:val="00CE2245"/>
    <w:rsid w:val="00CE56FA"/>
    <w:rsid w:val="00CF09C6"/>
    <w:rsid w:val="00CF6E04"/>
    <w:rsid w:val="00CF7A31"/>
    <w:rsid w:val="00D011FD"/>
    <w:rsid w:val="00D14B3B"/>
    <w:rsid w:val="00D21FDF"/>
    <w:rsid w:val="00D223FB"/>
    <w:rsid w:val="00D250A6"/>
    <w:rsid w:val="00D251E4"/>
    <w:rsid w:val="00D26E20"/>
    <w:rsid w:val="00D35725"/>
    <w:rsid w:val="00D463C5"/>
    <w:rsid w:val="00D52CB2"/>
    <w:rsid w:val="00D56035"/>
    <w:rsid w:val="00D57D83"/>
    <w:rsid w:val="00D61E64"/>
    <w:rsid w:val="00D62FAC"/>
    <w:rsid w:val="00D66534"/>
    <w:rsid w:val="00D67DB3"/>
    <w:rsid w:val="00D74446"/>
    <w:rsid w:val="00D7762E"/>
    <w:rsid w:val="00D808D9"/>
    <w:rsid w:val="00D82E29"/>
    <w:rsid w:val="00D82F99"/>
    <w:rsid w:val="00D8347C"/>
    <w:rsid w:val="00D87F91"/>
    <w:rsid w:val="00D90AC0"/>
    <w:rsid w:val="00D9569E"/>
    <w:rsid w:val="00D97B7A"/>
    <w:rsid w:val="00DA0681"/>
    <w:rsid w:val="00DA351B"/>
    <w:rsid w:val="00DA621B"/>
    <w:rsid w:val="00DA72D6"/>
    <w:rsid w:val="00DB4E33"/>
    <w:rsid w:val="00DB55F7"/>
    <w:rsid w:val="00DB648F"/>
    <w:rsid w:val="00DC11FA"/>
    <w:rsid w:val="00DC13CE"/>
    <w:rsid w:val="00DC1B73"/>
    <w:rsid w:val="00DD0A17"/>
    <w:rsid w:val="00DE0595"/>
    <w:rsid w:val="00DE282D"/>
    <w:rsid w:val="00DE4395"/>
    <w:rsid w:val="00DF30B3"/>
    <w:rsid w:val="00DF3F19"/>
    <w:rsid w:val="00E02A61"/>
    <w:rsid w:val="00E102BD"/>
    <w:rsid w:val="00E13D15"/>
    <w:rsid w:val="00E14314"/>
    <w:rsid w:val="00E145BC"/>
    <w:rsid w:val="00E20C4B"/>
    <w:rsid w:val="00E243DC"/>
    <w:rsid w:val="00E272F2"/>
    <w:rsid w:val="00E278F6"/>
    <w:rsid w:val="00E32663"/>
    <w:rsid w:val="00E34A28"/>
    <w:rsid w:val="00E47AAB"/>
    <w:rsid w:val="00E47D9E"/>
    <w:rsid w:val="00E51407"/>
    <w:rsid w:val="00E5411A"/>
    <w:rsid w:val="00E6008D"/>
    <w:rsid w:val="00E6184C"/>
    <w:rsid w:val="00E649AD"/>
    <w:rsid w:val="00E73EC1"/>
    <w:rsid w:val="00E80AA7"/>
    <w:rsid w:val="00E916D2"/>
    <w:rsid w:val="00E94314"/>
    <w:rsid w:val="00EA7F87"/>
    <w:rsid w:val="00EB1A32"/>
    <w:rsid w:val="00EB2390"/>
    <w:rsid w:val="00EC262E"/>
    <w:rsid w:val="00EC2732"/>
    <w:rsid w:val="00EC5DCA"/>
    <w:rsid w:val="00ED4CBB"/>
    <w:rsid w:val="00ED4FF0"/>
    <w:rsid w:val="00EE0849"/>
    <w:rsid w:val="00EF236B"/>
    <w:rsid w:val="00EF3EC6"/>
    <w:rsid w:val="00F023F6"/>
    <w:rsid w:val="00F02F1E"/>
    <w:rsid w:val="00F069CA"/>
    <w:rsid w:val="00F07AA0"/>
    <w:rsid w:val="00F112A4"/>
    <w:rsid w:val="00F15357"/>
    <w:rsid w:val="00F155BB"/>
    <w:rsid w:val="00F160D8"/>
    <w:rsid w:val="00F17640"/>
    <w:rsid w:val="00F178EA"/>
    <w:rsid w:val="00F20A84"/>
    <w:rsid w:val="00F26FAB"/>
    <w:rsid w:val="00F302A3"/>
    <w:rsid w:val="00F4133D"/>
    <w:rsid w:val="00F453FD"/>
    <w:rsid w:val="00F45D8A"/>
    <w:rsid w:val="00F537A2"/>
    <w:rsid w:val="00F53A91"/>
    <w:rsid w:val="00F66FCA"/>
    <w:rsid w:val="00F7008B"/>
    <w:rsid w:val="00F7095B"/>
    <w:rsid w:val="00F8105A"/>
    <w:rsid w:val="00F83020"/>
    <w:rsid w:val="00F83E8F"/>
    <w:rsid w:val="00F86FAE"/>
    <w:rsid w:val="00F871BA"/>
    <w:rsid w:val="00F93EA6"/>
    <w:rsid w:val="00FA78DF"/>
    <w:rsid w:val="00FB18A4"/>
    <w:rsid w:val="00FB3D30"/>
    <w:rsid w:val="00FB6800"/>
    <w:rsid w:val="00FC294B"/>
    <w:rsid w:val="00FC364A"/>
    <w:rsid w:val="00FC3F9A"/>
    <w:rsid w:val="00FC47BD"/>
    <w:rsid w:val="00FD355D"/>
    <w:rsid w:val="00FD4F63"/>
    <w:rsid w:val="00FE00ED"/>
    <w:rsid w:val="00FE43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6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2203"/>
    <w:pPr>
      <w:keepNext/>
      <w:spacing w:after="0" w:line="240" w:lineRule="auto"/>
      <w:outlineLvl w:val="0"/>
    </w:pPr>
    <w:rPr>
      <w:rFonts w:ascii="Arial" w:eastAsia="SimSun" w:hAnsi="Arial" w:cs="Arial"/>
      <w:color w:val="333333"/>
      <w:sz w:val="20"/>
      <w:szCs w:val="20"/>
      <w:lang w:val="en-GB" w:eastAsia="zh-CN"/>
    </w:rPr>
  </w:style>
  <w:style w:type="paragraph" w:styleId="Heading2">
    <w:name w:val="heading 2"/>
    <w:basedOn w:val="Normal"/>
    <w:next w:val="Normal"/>
    <w:link w:val="Heading2Char"/>
    <w:uiPriority w:val="9"/>
    <w:semiHidden/>
    <w:unhideWhenUsed/>
    <w:qFormat/>
    <w:rsid w:val="005C5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7A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640"/>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rsid w:val="00F17640"/>
    <w:rPr>
      <w:rFonts w:cs="Times New Roman"/>
      <w:color w:val="0000FF"/>
      <w:u w:val="single"/>
    </w:rPr>
  </w:style>
  <w:style w:type="paragraph" w:styleId="CommentText">
    <w:name w:val="annotation text"/>
    <w:basedOn w:val="Normal"/>
    <w:link w:val="CommentTextChar"/>
    <w:uiPriority w:val="99"/>
    <w:unhideWhenUsed/>
    <w:rsid w:val="00F17640"/>
    <w:pPr>
      <w:spacing w:after="0"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uiPriority w:val="99"/>
    <w:rsid w:val="00F17640"/>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FB18A4"/>
    <w:pPr>
      <w:spacing w:before="120" w:after="120" w:line="240" w:lineRule="auto"/>
      <w:ind w:firstLine="72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99"/>
    <w:rsid w:val="00FB18A4"/>
    <w:rPr>
      <w:rFonts w:ascii="Times New Roman" w:eastAsia="Times New Roman" w:hAnsi="Times New Roman" w:cs="Times New Roman"/>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semiHidden/>
    <w:rsid w:val="00FB18A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FB18A4"/>
    <w:rPr>
      <w:rFonts w:ascii="Times New Roman" w:eastAsia="Times New Roman" w:hAnsi="Times New Roman" w:cs="Times New Roman"/>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rsid w:val="00FB18A4"/>
    <w:rPr>
      <w:vertAlign w:val="superscript"/>
    </w:rPr>
  </w:style>
  <w:style w:type="character" w:customStyle="1" w:styleId="heading51">
    <w:name w:val="heading51"/>
    <w:basedOn w:val="DefaultParagraphFont"/>
    <w:uiPriority w:val="99"/>
    <w:rsid w:val="00FB18A4"/>
    <w:rPr>
      <w:rFonts w:ascii="Arial" w:hAnsi="Arial" w:cs="Arial"/>
      <w:b/>
      <w:bCs/>
      <w:color w:val="000000"/>
      <w:sz w:val="18"/>
      <w:szCs w:val="18"/>
    </w:rPr>
  </w:style>
  <w:style w:type="character" w:customStyle="1" w:styleId="Heading1Char">
    <w:name w:val="Heading 1 Char"/>
    <w:basedOn w:val="DefaultParagraphFont"/>
    <w:link w:val="Heading1"/>
    <w:rsid w:val="00462203"/>
    <w:rPr>
      <w:rFonts w:ascii="Arial" w:eastAsia="SimSun" w:hAnsi="Arial" w:cs="Arial"/>
      <w:color w:val="333333"/>
      <w:sz w:val="20"/>
      <w:szCs w:val="20"/>
      <w:lang w:val="en-GB" w:eastAsia="zh-CN"/>
    </w:rPr>
  </w:style>
  <w:style w:type="paragraph" w:customStyle="1" w:styleId="Para1">
    <w:name w:val="Para1"/>
    <w:basedOn w:val="Normal"/>
    <w:link w:val="Para1Char"/>
    <w:rsid w:val="00462203"/>
    <w:pPr>
      <w:numPr>
        <w:numId w:val="1"/>
      </w:numPr>
      <w:spacing w:before="120" w:after="120" w:line="240" w:lineRule="auto"/>
      <w:jc w:val="both"/>
    </w:pPr>
    <w:rPr>
      <w:rFonts w:ascii="Times New Roman" w:eastAsia="Times New Roman" w:hAnsi="Times New Roman" w:cs="Times New Roman"/>
      <w:snapToGrid w:val="0"/>
      <w:szCs w:val="18"/>
      <w:lang w:val="en-GB"/>
    </w:rPr>
  </w:style>
  <w:style w:type="paragraph" w:customStyle="1" w:styleId="Para3">
    <w:name w:val="Para3"/>
    <w:basedOn w:val="Normal"/>
    <w:rsid w:val="00462203"/>
    <w:pPr>
      <w:numPr>
        <w:ilvl w:val="2"/>
        <w:numId w:val="1"/>
      </w:numPr>
      <w:tabs>
        <w:tab w:val="left" w:pos="1980"/>
      </w:tabs>
      <w:spacing w:before="80" w:after="80" w:line="240" w:lineRule="auto"/>
      <w:jc w:val="both"/>
    </w:pPr>
    <w:rPr>
      <w:rFonts w:ascii="Times New Roman" w:eastAsia="Times New Roman" w:hAnsi="Times New Roman" w:cs="Times New Roman"/>
      <w:szCs w:val="20"/>
      <w:lang w:val="en-GB"/>
    </w:rPr>
  </w:style>
  <w:style w:type="character" w:customStyle="1" w:styleId="hps">
    <w:name w:val="hps"/>
    <w:basedOn w:val="DefaultParagraphFont"/>
    <w:rsid w:val="009A6086"/>
  </w:style>
  <w:style w:type="character" w:styleId="CommentReference">
    <w:name w:val="annotation reference"/>
    <w:basedOn w:val="DefaultParagraphFont"/>
    <w:uiPriority w:val="99"/>
    <w:semiHidden/>
    <w:unhideWhenUsed/>
    <w:rsid w:val="00DF3F19"/>
    <w:rPr>
      <w:sz w:val="18"/>
      <w:szCs w:val="18"/>
    </w:rPr>
  </w:style>
  <w:style w:type="paragraph" w:styleId="CommentSubject">
    <w:name w:val="annotation subject"/>
    <w:basedOn w:val="CommentText"/>
    <w:next w:val="CommentText"/>
    <w:link w:val="CommentSubjectChar"/>
    <w:uiPriority w:val="99"/>
    <w:semiHidden/>
    <w:unhideWhenUsed/>
    <w:rsid w:val="00DF3F19"/>
    <w:pPr>
      <w:spacing w:after="200"/>
    </w:pPr>
    <w:rPr>
      <w:rFonts w:asciiTheme="minorHAnsi" w:eastAsiaTheme="minorHAnsi" w:hAnsiTheme="minorHAnsi" w:cstheme="minorBidi"/>
      <w:b/>
      <w:bCs/>
      <w:sz w:val="20"/>
      <w:szCs w:val="20"/>
      <w:lang w:val="nl-NL"/>
    </w:rPr>
  </w:style>
  <w:style w:type="character" w:customStyle="1" w:styleId="CommentSubjectChar">
    <w:name w:val="Comment Subject Char"/>
    <w:basedOn w:val="CommentTextChar"/>
    <w:link w:val="CommentSubject"/>
    <w:uiPriority w:val="99"/>
    <w:semiHidden/>
    <w:rsid w:val="00DF3F1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F3F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F19"/>
    <w:rPr>
      <w:rFonts w:ascii="Lucida Grande" w:hAnsi="Lucida Grande" w:cs="Lucida Grande"/>
      <w:sz w:val="18"/>
      <w:szCs w:val="18"/>
    </w:rPr>
  </w:style>
  <w:style w:type="paragraph" w:styleId="Header">
    <w:name w:val="header"/>
    <w:basedOn w:val="Normal"/>
    <w:link w:val="HeaderChar"/>
    <w:unhideWhenUsed/>
    <w:rsid w:val="002E7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50E"/>
  </w:style>
  <w:style w:type="paragraph" w:styleId="Footer">
    <w:name w:val="footer"/>
    <w:basedOn w:val="Normal"/>
    <w:link w:val="FooterChar"/>
    <w:uiPriority w:val="99"/>
    <w:unhideWhenUsed/>
    <w:rsid w:val="002E7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50E"/>
  </w:style>
  <w:style w:type="character" w:styleId="FollowedHyperlink">
    <w:name w:val="FollowedHyperlink"/>
    <w:basedOn w:val="DefaultParagraphFont"/>
    <w:uiPriority w:val="99"/>
    <w:semiHidden/>
    <w:unhideWhenUsed/>
    <w:rsid w:val="00A02ED7"/>
    <w:rPr>
      <w:color w:val="800080" w:themeColor="followedHyperlink"/>
      <w:u w:val="single"/>
    </w:rPr>
  </w:style>
  <w:style w:type="paragraph" w:customStyle="1" w:styleId="HEADINGNOTFORTOC">
    <w:name w:val="HEADING (NOT FOR TOC)"/>
    <w:basedOn w:val="Heading1"/>
    <w:next w:val="Heading2"/>
    <w:rsid w:val="005C579F"/>
    <w:pPr>
      <w:tabs>
        <w:tab w:val="left" w:pos="720"/>
      </w:tabs>
      <w:spacing w:before="240" w:after="120"/>
      <w:jc w:val="center"/>
    </w:pPr>
    <w:rPr>
      <w:rFonts w:ascii="Times New Roman" w:eastAsia="Times New Roman" w:hAnsi="Times New Roman" w:cs="Times New Roman"/>
      <w:b/>
      <w:caps/>
      <w:color w:val="auto"/>
      <w:sz w:val="22"/>
      <w:szCs w:val="24"/>
      <w:lang w:eastAsia="en-US"/>
    </w:rPr>
  </w:style>
  <w:style w:type="character" w:customStyle="1" w:styleId="Heading2Char">
    <w:name w:val="Heading 2 Char"/>
    <w:basedOn w:val="DefaultParagraphFont"/>
    <w:link w:val="Heading2"/>
    <w:uiPriority w:val="9"/>
    <w:semiHidden/>
    <w:rsid w:val="005C579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33AA4"/>
    <w:pPr>
      <w:spacing w:before="100" w:beforeAutospacing="1" w:after="100" w:afterAutospacing="1" w:line="240" w:lineRule="auto"/>
    </w:pPr>
    <w:rPr>
      <w:rFonts w:ascii="Times New Roman" w:eastAsia="Times New Roman" w:hAnsi="Times New Roman" w:cs="Times New Roman"/>
      <w:color w:val="000000"/>
      <w:sz w:val="24"/>
      <w:szCs w:val="24"/>
      <w:lang w:eastAsia="nl-NL"/>
    </w:rPr>
  </w:style>
  <w:style w:type="character" w:styleId="Strong">
    <w:name w:val="Strong"/>
    <w:basedOn w:val="DefaultParagraphFont"/>
    <w:uiPriority w:val="22"/>
    <w:qFormat/>
    <w:rsid w:val="00DC1B73"/>
    <w:rPr>
      <w:b/>
      <w:bCs/>
    </w:rPr>
  </w:style>
  <w:style w:type="character" w:customStyle="1" w:styleId="Para1Char">
    <w:name w:val="Para1 Char"/>
    <w:link w:val="Para1"/>
    <w:rsid w:val="0028589F"/>
    <w:rPr>
      <w:rFonts w:ascii="Times New Roman" w:eastAsia="Times New Roman" w:hAnsi="Times New Roman" w:cs="Times New Roman"/>
      <w:snapToGrid w:val="0"/>
      <w:szCs w:val="18"/>
      <w:lang w:val="en-GB"/>
    </w:rPr>
  </w:style>
  <w:style w:type="character" w:styleId="Emphasis">
    <w:name w:val="Emphasis"/>
    <w:uiPriority w:val="20"/>
    <w:qFormat/>
    <w:rsid w:val="00FD355D"/>
    <w:rPr>
      <w:b/>
      <w:bCs/>
      <w:i w:val="0"/>
      <w:iCs w:val="0"/>
    </w:rPr>
  </w:style>
  <w:style w:type="character" w:customStyle="1" w:styleId="st">
    <w:name w:val="st"/>
    <w:rsid w:val="00FD355D"/>
  </w:style>
  <w:style w:type="character" w:customStyle="1" w:styleId="Heading3Char">
    <w:name w:val="Heading 3 Char"/>
    <w:basedOn w:val="DefaultParagraphFont"/>
    <w:link w:val="Heading3"/>
    <w:uiPriority w:val="9"/>
    <w:semiHidden/>
    <w:rsid w:val="00037A75"/>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2077FF"/>
    <w:pPr>
      <w:spacing w:after="120"/>
      <w:ind w:left="283"/>
    </w:pPr>
  </w:style>
  <w:style w:type="character" w:customStyle="1" w:styleId="BodyTextIndentChar">
    <w:name w:val="Body Text Indent Char"/>
    <w:basedOn w:val="DefaultParagraphFont"/>
    <w:link w:val="BodyTextIndent"/>
    <w:uiPriority w:val="99"/>
    <w:semiHidden/>
    <w:rsid w:val="002077FF"/>
  </w:style>
  <w:style w:type="paragraph" w:styleId="TOC9">
    <w:name w:val="toc 9"/>
    <w:basedOn w:val="Normal"/>
    <w:next w:val="Normal"/>
    <w:autoRedefine/>
    <w:semiHidden/>
    <w:rsid w:val="002077FF"/>
    <w:pPr>
      <w:tabs>
        <w:tab w:val="num" w:pos="1440"/>
      </w:tabs>
      <w:spacing w:before="120" w:after="120" w:line="240" w:lineRule="auto"/>
      <w:ind w:left="1440" w:hanging="360"/>
    </w:pPr>
    <w:rPr>
      <w:rFonts w:ascii="Times New Roman" w:eastAsia="Times New Roman" w:hAnsi="Times New Roman" w:cs="Times New Roman"/>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2203"/>
    <w:pPr>
      <w:keepNext/>
      <w:spacing w:after="0" w:line="240" w:lineRule="auto"/>
      <w:outlineLvl w:val="0"/>
    </w:pPr>
    <w:rPr>
      <w:rFonts w:ascii="Arial" w:eastAsia="SimSun" w:hAnsi="Arial" w:cs="Arial"/>
      <w:color w:val="333333"/>
      <w:sz w:val="20"/>
      <w:szCs w:val="20"/>
      <w:lang w:val="en-GB" w:eastAsia="zh-CN"/>
    </w:rPr>
  </w:style>
  <w:style w:type="paragraph" w:styleId="Heading2">
    <w:name w:val="heading 2"/>
    <w:basedOn w:val="Normal"/>
    <w:next w:val="Normal"/>
    <w:link w:val="Heading2Char"/>
    <w:uiPriority w:val="9"/>
    <w:semiHidden/>
    <w:unhideWhenUsed/>
    <w:qFormat/>
    <w:rsid w:val="005C5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7A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640"/>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rsid w:val="00F17640"/>
    <w:rPr>
      <w:rFonts w:cs="Times New Roman"/>
      <w:color w:val="0000FF"/>
      <w:u w:val="single"/>
    </w:rPr>
  </w:style>
  <w:style w:type="paragraph" w:styleId="CommentText">
    <w:name w:val="annotation text"/>
    <w:basedOn w:val="Normal"/>
    <w:link w:val="CommentTextChar"/>
    <w:uiPriority w:val="99"/>
    <w:unhideWhenUsed/>
    <w:rsid w:val="00F17640"/>
    <w:pPr>
      <w:spacing w:after="0"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uiPriority w:val="99"/>
    <w:rsid w:val="00F17640"/>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FB18A4"/>
    <w:pPr>
      <w:spacing w:before="120" w:after="120" w:line="240" w:lineRule="auto"/>
      <w:ind w:firstLine="72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99"/>
    <w:rsid w:val="00FB18A4"/>
    <w:rPr>
      <w:rFonts w:ascii="Times New Roman" w:eastAsia="Times New Roman" w:hAnsi="Times New Roman" w:cs="Times New Roman"/>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semiHidden/>
    <w:rsid w:val="00FB18A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FB18A4"/>
    <w:rPr>
      <w:rFonts w:ascii="Times New Roman" w:eastAsia="Times New Roman" w:hAnsi="Times New Roman" w:cs="Times New Roman"/>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rsid w:val="00FB18A4"/>
    <w:rPr>
      <w:vertAlign w:val="superscript"/>
    </w:rPr>
  </w:style>
  <w:style w:type="character" w:customStyle="1" w:styleId="heading51">
    <w:name w:val="heading51"/>
    <w:basedOn w:val="DefaultParagraphFont"/>
    <w:uiPriority w:val="99"/>
    <w:rsid w:val="00FB18A4"/>
    <w:rPr>
      <w:rFonts w:ascii="Arial" w:hAnsi="Arial" w:cs="Arial"/>
      <w:b/>
      <w:bCs/>
      <w:color w:val="000000"/>
      <w:sz w:val="18"/>
      <w:szCs w:val="18"/>
    </w:rPr>
  </w:style>
  <w:style w:type="character" w:customStyle="1" w:styleId="Heading1Char">
    <w:name w:val="Heading 1 Char"/>
    <w:basedOn w:val="DefaultParagraphFont"/>
    <w:link w:val="Heading1"/>
    <w:rsid w:val="00462203"/>
    <w:rPr>
      <w:rFonts w:ascii="Arial" w:eastAsia="SimSun" w:hAnsi="Arial" w:cs="Arial"/>
      <w:color w:val="333333"/>
      <w:sz w:val="20"/>
      <w:szCs w:val="20"/>
      <w:lang w:val="en-GB" w:eastAsia="zh-CN"/>
    </w:rPr>
  </w:style>
  <w:style w:type="paragraph" w:customStyle="1" w:styleId="Para1">
    <w:name w:val="Para1"/>
    <w:basedOn w:val="Normal"/>
    <w:link w:val="Para1Char"/>
    <w:rsid w:val="00462203"/>
    <w:pPr>
      <w:numPr>
        <w:numId w:val="1"/>
      </w:numPr>
      <w:spacing w:before="120" w:after="120" w:line="240" w:lineRule="auto"/>
      <w:jc w:val="both"/>
    </w:pPr>
    <w:rPr>
      <w:rFonts w:ascii="Times New Roman" w:eastAsia="Times New Roman" w:hAnsi="Times New Roman" w:cs="Times New Roman"/>
      <w:snapToGrid w:val="0"/>
      <w:szCs w:val="18"/>
      <w:lang w:val="en-GB"/>
    </w:rPr>
  </w:style>
  <w:style w:type="paragraph" w:customStyle="1" w:styleId="Para3">
    <w:name w:val="Para3"/>
    <w:basedOn w:val="Normal"/>
    <w:rsid w:val="00462203"/>
    <w:pPr>
      <w:numPr>
        <w:ilvl w:val="2"/>
        <w:numId w:val="1"/>
      </w:numPr>
      <w:tabs>
        <w:tab w:val="left" w:pos="1980"/>
      </w:tabs>
      <w:spacing w:before="80" w:after="80" w:line="240" w:lineRule="auto"/>
      <w:jc w:val="both"/>
    </w:pPr>
    <w:rPr>
      <w:rFonts w:ascii="Times New Roman" w:eastAsia="Times New Roman" w:hAnsi="Times New Roman" w:cs="Times New Roman"/>
      <w:szCs w:val="20"/>
      <w:lang w:val="en-GB"/>
    </w:rPr>
  </w:style>
  <w:style w:type="character" w:customStyle="1" w:styleId="hps">
    <w:name w:val="hps"/>
    <w:basedOn w:val="DefaultParagraphFont"/>
    <w:rsid w:val="009A6086"/>
  </w:style>
  <w:style w:type="character" w:styleId="CommentReference">
    <w:name w:val="annotation reference"/>
    <w:basedOn w:val="DefaultParagraphFont"/>
    <w:uiPriority w:val="99"/>
    <w:semiHidden/>
    <w:unhideWhenUsed/>
    <w:rsid w:val="00DF3F19"/>
    <w:rPr>
      <w:sz w:val="18"/>
      <w:szCs w:val="18"/>
    </w:rPr>
  </w:style>
  <w:style w:type="paragraph" w:styleId="CommentSubject">
    <w:name w:val="annotation subject"/>
    <w:basedOn w:val="CommentText"/>
    <w:next w:val="CommentText"/>
    <w:link w:val="CommentSubjectChar"/>
    <w:uiPriority w:val="99"/>
    <w:semiHidden/>
    <w:unhideWhenUsed/>
    <w:rsid w:val="00DF3F19"/>
    <w:pPr>
      <w:spacing w:after="200"/>
    </w:pPr>
    <w:rPr>
      <w:rFonts w:asciiTheme="minorHAnsi" w:eastAsiaTheme="minorHAnsi" w:hAnsiTheme="minorHAnsi" w:cstheme="minorBidi"/>
      <w:b/>
      <w:bCs/>
      <w:sz w:val="20"/>
      <w:szCs w:val="20"/>
      <w:lang w:val="nl-NL"/>
    </w:rPr>
  </w:style>
  <w:style w:type="character" w:customStyle="1" w:styleId="CommentSubjectChar">
    <w:name w:val="Comment Subject Char"/>
    <w:basedOn w:val="CommentTextChar"/>
    <w:link w:val="CommentSubject"/>
    <w:uiPriority w:val="99"/>
    <w:semiHidden/>
    <w:rsid w:val="00DF3F1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F3F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F19"/>
    <w:rPr>
      <w:rFonts w:ascii="Lucida Grande" w:hAnsi="Lucida Grande" w:cs="Lucida Grande"/>
      <w:sz w:val="18"/>
      <w:szCs w:val="18"/>
    </w:rPr>
  </w:style>
  <w:style w:type="paragraph" w:styleId="Header">
    <w:name w:val="header"/>
    <w:basedOn w:val="Normal"/>
    <w:link w:val="HeaderChar"/>
    <w:unhideWhenUsed/>
    <w:rsid w:val="002E7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50E"/>
  </w:style>
  <w:style w:type="paragraph" w:styleId="Footer">
    <w:name w:val="footer"/>
    <w:basedOn w:val="Normal"/>
    <w:link w:val="FooterChar"/>
    <w:uiPriority w:val="99"/>
    <w:unhideWhenUsed/>
    <w:rsid w:val="002E7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50E"/>
  </w:style>
  <w:style w:type="character" w:styleId="FollowedHyperlink">
    <w:name w:val="FollowedHyperlink"/>
    <w:basedOn w:val="DefaultParagraphFont"/>
    <w:uiPriority w:val="99"/>
    <w:semiHidden/>
    <w:unhideWhenUsed/>
    <w:rsid w:val="00A02ED7"/>
    <w:rPr>
      <w:color w:val="800080" w:themeColor="followedHyperlink"/>
      <w:u w:val="single"/>
    </w:rPr>
  </w:style>
  <w:style w:type="paragraph" w:customStyle="1" w:styleId="HEADINGNOTFORTOC">
    <w:name w:val="HEADING (NOT FOR TOC)"/>
    <w:basedOn w:val="Heading1"/>
    <w:next w:val="Heading2"/>
    <w:rsid w:val="005C579F"/>
    <w:pPr>
      <w:tabs>
        <w:tab w:val="left" w:pos="720"/>
      </w:tabs>
      <w:spacing w:before="240" w:after="120"/>
      <w:jc w:val="center"/>
    </w:pPr>
    <w:rPr>
      <w:rFonts w:ascii="Times New Roman" w:eastAsia="Times New Roman" w:hAnsi="Times New Roman" w:cs="Times New Roman"/>
      <w:b/>
      <w:caps/>
      <w:color w:val="auto"/>
      <w:sz w:val="22"/>
      <w:szCs w:val="24"/>
      <w:lang w:eastAsia="en-US"/>
    </w:rPr>
  </w:style>
  <w:style w:type="character" w:customStyle="1" w:styleId="Heading2Char">
    <w:name w:val="Heading 2 Char"/>
    <w:basedOn w:val="DefaultParagraphFont"/>
    <w:link w:val="Heading2"/>
    <w:uiPriority w:val="9"/>
    <w:semiHidden/>
    <w:rsid w:val="005C579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33AA4"/>
    <w:pPr>
      <w:spacing w:before="100" w:beforeAutospacing="1" w:after="100" w:afterAutospacing="1" w:line="240" w:lineRule="auto"/>
    </w:pPr>
    <w:rPr>
      <w:rFonts w:ascii="Times New Roman" w:eastAsia="Times New Roman" w:hAnsi="Times New Roman" w:cs="Times New Roman"/>
      <w:color w:val="000000"/>
      <w:sz w:val="24"/>
      <w:szCs w:val="24"/>
      <w:lang w:eastAsia="nl-NL"/>
    </w:rPr>
  </w:style>
  <w:style w:type="character" w:styleId="Strong">
    <w:name w:val="Strong"/>
    <w:basedOn w:val="DefaultParagraphFont"/>
    <w:uiPriority w:val="22"/>
    <w:qFormat/>
    <w:rsid w:val="00DC1B73"/>
    <w:rPr>
      <w:b/>
      <w:bCs/>
    </w:rPr>
  </w:style>
  <w:style w:type="character" w:customStyle="1" w:styleId="Para1Char">
    <w:name w:val="Para1 Char"/>
    <w:link w:val="Para1"/>
    <w:rsid w:val="0028589F"/>
    <w:rPr>
      <w:rFonts w:ascii="Times New Roman" w:eastAsia="Times New Roman" w:hAnsi="Times New Roman" w:cs="Times New Roman"/>
      <w:snapToGrid w:val="0"/>
      <w:szCs w:val="18"/>
      <w:lang w:val="en-GB"/>
    </w:rPr>
  </w:style>
  <w:style w:type="character" w:styleId="Emphasis">
    <w:name w:val="Emphasis"/>
    <w:uiPriority w:val="20"/>
    <w:qFormat/>
    <w:rsid w:val="00FD355D"/>
    <w:rPr>
      <w:b/>
      <w:bCs/>
      <w:i w:val="0"/>
      <w:iCs w:val="0"/>
    </w:rPr>
  </w:style>
  <w:style w:type="character" w:customStyle="1" w:styleId="st">
    <w:name w:val="st"/>
    <w:rsid w:val="00FD355D"/>
  </w:style>
  <w:style w:type="character" w:customStyle="1" w:styleId="Heading3Char">
    <w:name w:val="Heading 3 Char"/>
    <w:basedOn w:val="DefaultParagraphFont"/>
    <w:link w:val="Heading3"/>
    <w:uiPriority w:val="9"/>
    <w:semiHidden/>
    <w:rsid w:val="00037A75"/>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2077FF"/>
    <w:pPr>
      <w:spacing w:after="120"/>
      <w:ind w:left="283"/>
    </w:pPr>
  </w:style>
  <w:style w:type="character" w:customStyle="1" w:styleId="BodyTextIndentChar">
    <w:name w:val="Body Text Indent Char"/>
    <w:basedOn w:val="DefaultParagraphFont"/>
    <w:link w:val="BodyTextIndent"/>
    <w:uiPriority w:val="99"/>
    <w:semiHidden/>
    <w:rsid w:val="002077FF"/>
  </w:style>
  <w:style w:type="paragraph" w:styleId="TOC9">
    <w:name w:val="toc 9"/>
    <w:basedOn w:val="Normal"/>
    <w:next w:val="Normal"/>
    <w:autoRedefine/>
    <w:semiHidden/>
    <w:rsid w:val="002077FF"/>
    <w:pPr>
      <w:tabs>
        <w:tab w:val="num" w:pos="1440"/>
      </w:tabs>
      <w:spacing w:before="120" w:after="120" w:line="240" w:lineRule="auto"/>
      <w:ind w:left="1440" w:hanging="360"/>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3637">
      <w:bodyDiv w:val="1"/>
      <w:marLeft w:val="0"/>
      <w:marRight w:val="0"/>
      <w:marTop w:val="0"/>
      <w:marBottom w:val="0"/>
      <w:divBdr>
        <w:top w:val="none" w:sz="0" w:space="0" w:color="auto"/>
        <w:left w:val="none" w:sz="0" w:space="0" w:color="auto"/>
        <w:bottom w:val="none" w:sz="0" w:space="0" w:color="auto"/>
        <w:right w:val="none" w:sz="0" w:space="0" w:color="auto"/>
      </w:divBdr>
    </w:div>
    <w:div w:id="384526930">
      <w:bodyDiv w:val="1"/>
      <w:marLeft w:val="0"/>
      <w:marRight w:val="0"/>
      <w:marTop w:val="0"/>
      <w:marBottom w:val="0"/>
      <w:divBdr>
        <w:top w:val="none" w:sz="0" w:space="0" w:color="auto"/>
        <w:left w:val="none" w:sz="0" w:space="0" w:color="auto"/>
        <w:bottom w:val="none" w:sz="0" w:space="0" w:color="auto"/>
        <w:right w:val="none" w:sz="0" w:space="0" w:color="auto"/>
      </w:divBdr>
      <w:divsChild>
        <w:div w:id="329912905">
          <w:marLeft w:val="0"/>
          <w:marRight w:val="0"/>
          <w:marTop w:val="720"/>
          <w:marBottom w:val="720"/>
          <w:divBdr>
            <w:top w:val="none" w:sz="0" w:space="0" w:color="auto"/>
            <w:left w:val="none" w:sz="0" w:space="0" w:color="auto"/>
            <w:bottom w:val="none" w:sz="0" w:space="0" w:color="auto"/>
            <w:right w:val="none" w:sz="0" w:space="0" w:color="auto"/>
          </w:divBdr>
          <w:divsChild>
            <w:div w:id="842626971">
              <w:marLeft w:val="0"/>
              <w:marRight w:val="0"/>
              <w:marTop w:val="0"/>
              <w:marBottom w:val="0"/>
              <w:divBdr>
                <w:top w:val="none" w:sz="0" w:space="0" w:color="auto"/>
                <w:left w:val="none" w:sz="0" w:space="0" w:color="auto"/>
                <w:bottom w:val="none" w:sz="0" w:space="0" w:color="auto"/>
                <w:right w:val="none" w:sz="0" w:space="0" w:color="auto"/>
              </w:divBdr>
              <w:divsChild>
                <w:div w:id="851530482">
                  <w:marLeft w:val="0"/>
                  <w:marRight w:val="0"/>
                  <w:marTop w:val="0"/>
                  <w:marBottom w:val="0"/>
                  <w:divBdr>
                    <w:top w:val="none" w:sz="0" w:space="0" w:color="auto"/>
                    <w:left w:val="none" w:sz="0" w:space="0" w:color="auto"/>
                    <w:bottom w:val="none" w:sz="0" w:space="0" w:color="auto"/>
                    <w:right w:val="none" w:sz="0" w:space="0" w:color="auto"/>
                  </w:divBdr>
                  <w:divsChild>
                    <w:div w:id="571042154">
                      <w:marLeft w:val="0"/>
                      <w:marRight w:val="0"/>
                      <w:marTop w:val="0"/>
                      <w:marBottom w:val="0"/>
                      <w:divBdr>
                        <w:top w:val="none" w:sz="0" w:space="0" w:color="auto"/>
                        <w:left w:val="none" w:sz="0" w:space="0" w:color="auto"/>
                        <w:bottom w:val="none" w:sz="0" w:space="0" w:color="auto"/>
                        <w:right w:val="none" w:sz="0" w:space="0" w:color="auto"/>
                      </w:divBdr>
                      <w:divsChild>
                        <w:div w:id="2011132023">
                          <w:marLeft w:val="0"/>
                          <w:marRight w:val="0"/>
                          <w:marTop w:val="0"/>
                          <w:marBottom w:val="0"/>
                          <w:divBdr>
                            <w:top w:val="none" w:sz="0" w:space="0" w:color="auto"/>
                            <w:left w:val="none" w:sz="0" w:space="0" w:color="auto"/>
                            <w:bottom w:val="none" w:sz="0" w:space="0" w:color="auto"/>
                            <w:right w:val="none" w:sz="0" w:space="0" w:color="auto"/>
                          </w:divBdr>
                          <w:divsChild>
                            <w:div w:id="4676931">
                              <w:marLeft w:val="0"/>
                              <w:marRight w:val="0"/>
                              <w:marTop w:val="0"/>
                              <w:marBottom w:val="0"/>
                              <w:divBdr>
                                <w:top w:val="none" w:sz="0" w:space="0" w:color="auto"/>
                                <w:left w:val="none" w:sz="0" w:space="0" w:color="auto"/>
                                <w:bottom w:val="none" w:sz="0" w:space="0" w:color="auto"/>
                                <w:right w:val="none" w:sz="0" w:space="0" w:color="auto"/>
                              </w:divBdr>
                              <w:divsChild>
                                <w:div w:id="1754159030">
                                  <w:marLeft w:val="0"/>
                                  <w:marRight w:val="0"/>
                                  <w:marTop w:val="0"/>
                                  <w:marBottom w:val="0"/>
                                  <w:divBdr>
                                    <w:top w:val="none" w:sz="0" w:space="0" w:color="auto"/>
                                    <w:left w:val="none" w:sz="0" w:space="0" w:color="auto"/>
                                    <w:bottom w:val="none" w:sz="0" w:space="0" w:color="auto"/>
                                    <w:right w:val="none" w:sz="0" w:space="0" w:color="auto"/>
                                  </w:divBdr>
                                  <w:divsChild>
                                    <w:div w:id="19406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510994">
      <w:bodyDiv w:val="1"/>
      <w:marLeft w:val="0"/>
      <w:marRight w:val="0"/>
      <w:marTop w:val="0"/>
      <w:marBottom w:val="0"/>
      <w:divBdr>
        <w:top w:val="none" w:sz="0" w:space="0" w:color="auto"/>
        <w:left w:val="none" w:sz="0" w:space="0" w:color="auto"/>
        <w:bottom w:val="none" w:sz="0" w:space="0" w:color="auto"/>
        <w:right w:val="none" w:sz="0" w:space="0" w:color="auto"/>
      </w:divBdr>
    </w:div>
    <w:div w:id="837381136">
      <w:bodyDiv w:val="1"/>
      <w:marLeft w:val="0"/>
      <w:marRight w:val="0"/>
      <w:marTop w:val="0"/>
      <w:marBottom w:val="0"/>
      <w:divBdr>
        <w:top w:val="none" w:sz="0" w:space="0" w:color="auto"/>
        <w:left w:val="none" w:sz="0" w:space="0" w:color="auto"/>
        <w:bottom w:val="none" w:sz="0" w:space="0" w:color="auto"/>
        <w:right w:val="none" w:sz="0" w:space="0" w:color="auto"/>
      </w:divBdr>
      <w:divsChild>
        <w:div w:id="1330063818">
          <w:marLeft w:val="0"/>
          <w:marRight w:val="0"/>
          <w:marTop w:val="0"/>
          <w:marBottom w:val="0"/>
          <w:divBdr>
            <w:top w:val="none" w:sz="0" w:space="0" w:color="auto"/>
            <w:left w:val="none" w:sz="0" w:space="0" w:color="auto"/>
            <w:bottom w:val="none" w:sz="0" w:space="0" w:color="auto"/>
            <w:right w:val="none" w:sz="0" w:space="0" w:color="auto"/>
          </w:divBdr>
          <w:divsChild>
            <w:div w:id="1310206260">
              <w:marLeft w:val="0"/>
              <w:marRight w:val="0"/>
              <w:marTop w:val="0"/>
              <w:marBottom w:val="0"/>
              <w:divBdr>
                <w:top w:val="none" w:sz="0" w:space="0" w:color="auto"/>
                <w:left w:val="none" w:sz="0" w:space="0" w:color="auto"/>
                <w:bottom w:val="none" w:sz="0" w:space="0" w:color="auto"/>
                <w:right w:val="none" w:sz="0" w:space="0" w:color="auto"/>
              </w:divBdr>
              <w:divsChild>
                <w:div w:id="1076316114">
                  <w:marLeft w:val="0"/>
                  <w:marRight w:val="0"/>
                  <w:marTop w:val="0"/>
                  <w:marBottom w:val="0"/>
                  <w:divBdr>
                    <w:top w:val="none" w:sz="0" w:space="0" w:color="auto"/>
                    <w:left w:val="none" w:sz="0" w:space="0" w:color="auto"/>
                    <w:bottom w:val="none" w:sz="0" w:space="0" w:color="auto"/>
                    <w:right w:val="none" w:sz="0" w:space="0" w:color="auto"/>
                  </w:divBdr>
                  <w:divsChild>
                    <w:div w:id="711464092">
                      <w:marLeft w:val="0"/>
                      <w:marRight w:val="0"/>
                      <w:marTop w:val="0"/>
                      <w:marBottom w:val="0"/>
                      <w:divBdr>
                        <w:top w:val="none" w:sz="0" w:space="0" w:color="auto"/>
                        <w:left w:val="none" w:sz="0" w:space="0" w:color="auto"/>
                        <w:bottom w:val="none" w:sz="0" w:space="0" w:color="auto"/>
                        <w:right w:val="none" w:sz="0" w:space="0" w:color="auto"/>
                      </w:divBdr>
                      <w:divsChild>
                        <w:div w:id="964969895">
                          <w:marLeft w:val="0"/>
                          <w:marRight w:val="0"/>
                          <w:marTop w:val="0"/>
                          <w:marBottom w:val="0"/>
                          <w:divBdr>
                            <w:top w:val="none" w:sz="0" w:space="0" w:color="auto"/>
                            <w:left w:val="none" w:sz="0" w:space="0" w:color="auto"/>
                            <w:bottom w:val="none" w:sz="0" w:space="0" w:color="auto"/>
                            <w:right w:val="none" w:sz="0" w:space="0" w:color="auto"/>
                          </w:divBdr>
                          <w:divsChild>
                            <w:div w:id="8512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13649">
      <w:bodyDiv w:val="1"/>
      <w:marLeft w:val="0"/>
      <w:marRight w:val="0"/>
      <w:marTop w:val="0"/>
      <w:marBottom w:val="0"/>
      <w:divBdr>
        <w:top w:val="none" w:sz="0" w:space="0" w:color="auto"/>
        <w:left w:val="none" w:sz="0" w:space="0" w:color="auto"/>
        <w:bottom w:val="none" w:sz="0" w:space="0" w:color="auto"/>
        <w:right w:val="none" w:sz="0" w:space="0" w:color="auto"/>
      </w:divBdr>
      <w:divsChild>
        <w:div w:id="870188381">
          <w:marLeft w:val="0"/>
          <w:marRight w:val="0"/>
          <w:marTop w:val="0"/>
          <w:marBottom w:val="0"/>
          <w:divBdr>
            <w:top w:val="none" w:sz="0" w:space="0" w:color="auto"/>
            <w:left w:val="none" w:sz="0" w:space="0" w:color="auto"/>
            <w:bottom w:val="none" w:sz="0" w:space="0" w:color="auto"/>
            <w:right w:val="none" w:sz="0" w:space="0" w:color="auto"/>
          </w:divBdr>
          <w:divsChild>
            <w:div w:id="444886946">
              <w:marLeft w:val="0"/>
              <w:marRight w:val="0"/>
              <w:marTop w:val="0"/>
              <w:marBottom w:val="0"/>
              <w:divBdr>
                <w:top w:val="none" w:sz="0" w:space="0" w:color="auto"/>
                <w:left w:val="none" w:sz="0" w:space="0" w:color="auto"/>
                <w:bottom w:val="none" w:sz="0" w:space="0" w:color="auto"/>
                <w:right w:val="none" w:sz="0" w:space="0" w:color="auto"/>
              </w:divBdr>
              <w:divsChild>
                <w:div w:id="1403024756">
                  <w:marLeft w:val="0"/>
                  <w:marRight w:val="0"/>
                  <w:marTop w:val="0"/>
                  <w:marBottom w:val="0"/>
                  <w:divBdr>
                    <w:top w:val="none" w:sz="0" w:space="0" w:color="auto"/>
                    <w:left w:val="none" w:sz="0" w:space="0" w:color="auto"/>
                    <w:bottom w:val="none" w:sz="0" w:space="0" w:color="auto"/>
                    <w:right w:val="none" w:sz="0" w:space="0" w:color="auto"/>
                  </w:divBdr>
                  <w:divsChild>
                    <w:div w:id="2009283186">
                      <w:marLeft w:val="0"/>
                      <w:marRight w:val="0"/>
                      <w:marTop w:val="0"/>
                      <w:marBottom w:val="0"/>
                      <w:divBdr>
                        <w:top w:val="none" w:sz="0" w:space="0" w:color="auto"/>
                        <w:left w:val="none" w:sz="0" w:space="0" w:color="auto"/>
                        <w:bottom w:val="none" w:sz="0" w:space="0" w:color="auto"/>
                        <w:right w:val="none" w:sz="0" w:space="0" w:color="auto"/>
                      </w:divBdr>
                      <w:divsChild>
                        <w:div w:id="1045133393">
                          <w:marLeft w:val="0"/>
                          <w:marRight w:val="0"/>
                          <w:marTop w:val="0"/>
                          <w:marBottom w:val="0"/>
                          <w:divBdr>
                            <w:top w:val="none" w:sz="0" w:space="0" w:color="auto"/>
                            <w:left w:val="none" w:sz="0" w:space="0" w:color="auto"/>
                            <w:bottom w:val="none" w:sz="0" w:space="0" w:color="auto"/>
                            <w:right w:val="none" w:sz="0" w:space="0" w:color="auto"/>
                          </w:divBdr>
                          <w:divsChild>
                            <w:div w:id="304821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420285">
                                  <w:marLeft w:val="0"/>
                                  <w:marRight w:val="0"/>
                                  <w:marTop w:val="0"/>
                                  <w:marBottom w:val="0"/>
                                  <w:divBdr>
                                    <w:top w:val="none" w:sz="0" w:space="0" w:color="auto"/>
                                    <w:left w:val="none" w:sz="0" w:space="0" w:color="auto"/>
                                    <w:bottom w:val="none" w:sz="0" w:space="0" w:color="auto"/>
                                    <w:right w:val="none" w:sz="0" w:space="0" w:color="auto"/>
                                  </w:divBdr>
                                  <w:divsChild>
                                    <w:div w:id="896555710">
                                      <w:marLeft w:val="0"/>
                                      <w:marRight w:val="0"/>
                                      <w:marTop w:val="0"/>
                                      <w:marBottom w:val="0"/>
                                      <w:divBdr>
                                        <w:top w:val="none" w:sz="0" w:space="0" w:color="auto"/>
                                        <w:left w:val="none" w:sz="0" w:space="0" w:color="auto"/>
                                        <w:bottom w:val="none" w:sz="0" w:space="0" w:color="auto"/>
                                        <w:right w:val="none" w:sz="0" w:space="0" w:color="auto"/>
                                      </w:divBdr>
                                      <w:divsChild>
                                        <w:div w:id="1504248523">
                                          <w:marLeft w:val="0"/>
                                          <w:marRight w:val="0"/>
                                          <w:marTop w:val="0"/>
                                          <w:marBottom w:val="0"/>
                                          <w:divBdr>
                                            <w:top w:val="none" w:sz="0" w:space="0" w:color="auto"/>
                                            <w:left w:val="none" w:sz="0" w:space="0" w:color="auto"/>
                                            <w:bottom w:val="none" w:sz="0" w:space="0" w:color="auto"/>
                                            <w:right w:val="none" w:sz="0" w:space="0" w:color="auto"/>
                                          </w:divBdr>
                                          <w:divsChild>
                                            <w:div w:id="462772158">
                                              <w:marLeft w:val="0"/>
                                              <w:marRight w:val="0"/>
                                              <w:marTop w:val="0"/>
                                              <w:marBottom w:val="0"/>
                                              <w:divBdr>
                                                <w:top w:val="none" w:sz="0" w:space="0" w:color="auto"/>
                                                <w:left w:val="none" w:sz="0" w:space="0" w:color="auto"/>
                                                <w:bottom w:val="none" w:sz="0" w:space="0" w:color="auto"/>
                                                <w:right w:val="none" w:sz="0" w:space="0" w:color="auto"/>
                                              </w:divBdr>
                                            </w:div>
                                            <w:div w:id="1083188621">
                                              <w:marLeft w:val="0"/>
                                              <w:marRight w:val="0"/>
                                              <w:marTop w:val="0"/>
                                              <w:marBottom w:val="0"/>
                                              <w:divBdr>
                                                <w:top w:val="none" w:sz="0" w:space="0" w:color="auto"/>
                                                <w:left w:val="none" w:sz="0" w:space="0" w:color="auto"/>
                                                <w:bottom w:val="none" w:sz="0" w:space="0" w:color="auto"/>
                                                <w:right w:val="none" w:sz="0" w:space="0" w:color="auto"/>
                                              </w:divBdr>
                                            </w:div>
                                            <w:div w:id="771705413">
                                              <w:marLeft w:val="0"/>
                                              <w:marRight w:val="0"/>
                                              <w:marTop w:val="0"/>
                                              <w:marBottom w:val="0"/>
                                              <w:divBdr>
                                                <w:top w:val="none" w:sz="0" w:space="0" w:color="auto"/>
                                                <w:left w:val="none" w:sz="0" w:space="0" w:color="auto"/>
                                                <w:bottom w:val="none" w:sz="0" w:space="0" w:color="auto"/>
                                                <w:right w:val="none" w:sz="0" w:space="0" w:color="auto"/>
                                              </w:divBdr>
                                            </w:div>
                                            <w:div w:id="1255362515">
                                              <w:marLeft w:val="0"/>
                                              <w:marRight w:val="0"/>
                                              <w:marTop w:val="0"/>
                                              <w:marBottom w:val="0"/>
                                              <w:divBdr>
                                                <w:top w:val="none" w:sz="0" w:space="0" w:color="auto"/>
                                                <w:left w:val="none" w:sz="0" w:space="0" w:color="auto"/>
                                                <w:bottom w:val="none" w:sz="0" w:space="0" w:color="auto"/>
                                                <w:right w:val="none" w:sz="0" w:space="0" w:color="auto"/>
                                              </w:divBdr>
                                            </w:div>
                                            <w:div w:id="1846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97404">
      <w:bodyDiv w:val="1"/>
      <w:marLeft w:val="0"/>
      <w:marRight w:val="0"/>
      <w:marTop w:val="0"/>
      <w:marBottom w:val="0"/>
      <w:divBdr>
        <w:top w:val="none" w:sz="0" w:space="0" w:color="auto"/>
        <w:left w:val="none" w:sz="0" w:space="0" w:color="auto"/>
        <w:bottom w:val="none" w:sz="0" w:space="0" w:color="auto"/>
        <w:right w:val="none" w:sz="0" w:space="0" w:color="auto"/>
      </w:divBdr>
    </w:div>
    <w:div w:id="1685865498">
      <w:bodyDiv w:val="1"/>
      <w:marLeft w:val="0"/>
      <w:marRight w:val="0"/>
      <w:marTop w:val="0"/>
      <w:marBottom w:val="0"/>
      <w:divBdr>
        <w:top w:val="none" w:sz="0" w:space="0" w:color="auto"/>
        <w:left w:val="none" w:sz="0" w:space="0" w:color="auto"/>
        <w:bottom w:val="none" w:sz="0" w:space="0" w:color="auto"/>
        <w:right w:val="none" w:sz="0" w:space="0" w:color="auto"/>
      </w:divBdr>
      <w:divsChild>
        <w:div w:id="771170299">
          <w:marLeft w:val="0"/>
          <w:marRight w:val="0"/>
          <w:marTop w:val="0"/>
          <w:marBottom w:val="0"/>
          <w:divBdr>
            <w:top w:val="none" w:sz="0" w:space="0" w:color="auto"/>
            <w:left w:val="none" w:sz="0" w:space="0" w:color="auto"/>
            <w:bottom w:val="none" w:sz="0" w:space="0" w:color="auto"/>
            <w:right w:val="none" w:sz="0" w:space="0" w:color="auto"/>
          </w:divBdr>
          <w:divsChild>
            <w:div w:id="1651012113">
              <w:marLeft w:val="0"/>
              <w:marRight w:val="0"/>
              <w:marTop w:val="0"/>
              <w:marBottom w:val="0"/>
              <w:divBdr>
                <w:top w:val="none" w:sz="0" w:space="0" w:color="auto"/>
                <w:left w:val="none" w:sz="0" w:space="0" w:color="auto"/>
                <w:bottom w:val="none" w:sz="0" w:space="0" w:color="auto"/>
                <w:right w:val="none" w:sz="0" w:space="0" w:color="auto"/>
              </w:divBdr>
              <w:divsChild>
                <w:div w:id="1535001471">
                  <w:marLeft w:val="0"/>
                  <w:marRight w:val="0"/>
                  <w:marTop w:val="0"/>
                  <w:marBottom w:val="0"/>
                  <w:divBdr>
                    <w:top w:val="none" w:sz="0" w:space="0" w:color="auto"/>
                    <w:left w:val="none" w:sz="0" w:space="0" w:color="auto"/>
                    <w:bottom w:val="none" w:sz="0" w:space="0" w:color="auto"/>
                    <w:right w:val="none" w:sz="0" w:space="0" w:color="auto"/>
                  </w:divBdr>
                </w:div>
                <w:div w:id="2073697747">
                  <w:marLeft w:val="0"/>
                  <w:marRight w:val="0"/>
                  <w:marTop w:val="0"/>
                  <w:marBottom w:val="0"/>
                  <w:divBdr>
                    <w:top w:val="none" w:sz="0" w:space="0" w:color="auto"/>
                    <w:left w:val="none" w:sz="0" w:space="0" w:color="auto"/>
                    <w:bottom w:val="none" w:sz="0" w:space="0" w:color="auto"/>
                    <w:right w:val="none" w:sz="0" w:space="0" w:color="auto"/>
                  </w:divBdr>
                </w:div>
                <w:div w:id="8332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82297">
      <w:bodyDiv w:val="1"/>
      <w:marLeft w:val="0"/>
      <w:marRight w:val="0"/>
      <w:marTop w:val="0"/>
      <w:marBottom w:val="0"/>
      <w:divBdr>
        <w:top w:val="none" w:sz="0" w:space="0" w:color="auto"/>
        <w:left w:val="none" w:sz="0" w:space="0" w:color="auto"/>
        <w:bottom w:val="none" w:sz="0" w:space="0" w:color="auto"/>
        <w:right w:val="none" w:sz="0" w:space="0" w:color="auto"/>
      </w:divBdr>
      <w:divsChild>
        <w:div w:id="14233816">
          <w:marLeft w:val="0"/>
          <w:marRight w:val="0"/>
          <w:marTop w:val="0"/>
          <w:marBottom w:val="0"/>
          <w:divBdr>
            <w:top w:val="none" w:sz="0" w:space="0" w:color="auto"/>
            <w:left w:val="none" w:sz="0" w:space="0" w:color="auto"/>
            <w:bottom w:val="none" w:sz="0" w:space="0" w:color="auto"/>
            <w:right w:val="none" w:sz="0" w:space="0" w:color="auto"/>
          </w:divBdr>
          <w:divsChild>
            <w:div w:id="650016830">
              <w:marLeft w:val="0"/>
              <w:marRight w:val="0"/>
              <w:marTop w:val="0"/>
              <w:marBottom w:val="0"/>
              <w:divBdr>
                <w:top w:val="none" w:sz="0" w:space="0" w:color="auto"/>
                <w:left w:val="none" w:sz="0" w:space="0" w:color="auto"/>
                <w:bottom w:val="none" w:sz="0" w:space="0" w:color="auto"/>
                <w:right w:val="none" w:sz="0" w:space="0" w:color="auto"/>
              </w:divBdr>
              <w:divsChild>
                <w:div w:id="1598979252">
                  <w:marLeft w:val="0"/>
                  <w:marRight w:val="0"/>
                  <w:marTop w:val="0"/>
                  <w:marBottom w:val="0"/>
                  <w:divBdr>
                    <w:top w:val="none" w:sz="0" w:space="0" w:color="auto"/>
                    <w:left w:val="none" w:sz="0" w:space="0" w:color="auto"/>
                    <w:bottom w:val="none" w:sz="0" w:space="0" w:color="auto"/>
                    <w:right w:val="none" w:sz="0" w:space="0" w:color="auto"/>
                  </w:divBdr>
                  <w:divsChild>
                    <w:div w:id="5104144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59215922">
      <w:bodyDiv w:val="1"/>
      <w:marLeft w:val="0"/>
      <w:marRight w:val="0"/>
      <w:marTop w:val="0"/>
      <w:marBottom w:val="0"/>
      <w:divBdr>
        <w:top w:val="none" w:sz="0" w:space="0" w:color="auto"/>
        <w:left w:val="none" w:sz="0" w:space="0" w:color="auto"/>
        <w:bottom w:val="none" w:sz="0" w:space="0" w:color="auto"/>
        <w:right w:val="none" w:sz="0" w:space="0" w:color="auto"/>
      </w:divBdr>
      <w:divsChild>
        <w:div w:id="98532894">
          <w:marLeft w:val="0"/>
          <w:marRight w:val="0"/>
          <w:marTop w:val="0"/>
          <w:marBottom w:val="0"/>
          <w:divBdr>
            <w:top w:val="none" w:sz="0" w:space="0" w:color="auto"/>
            <w:left w:val="none" w:sz="0" w:space="0" w:color="auto"/>
            <w:bottom w:val="none" w:sz="0" w:space="0" w:color="auto"/>
            <w:right w:val="none" w:sz="0" w:space="0" w:color="auto"/>
          </w:divBdr>
          <w:divsChild>
            <w:div w:id="1934505517">
              <w:marLeft w:val="0"/>
              <w:marRight w:val="0"/>
              <w:marTop w:val="0"/>
              <w:marBottom w:val="0"/>
              <w:divBdr>
                <w:top w:val="none" w:sz="0" w:space="0" w:color="auto"/>
                <w:left w:val="none" w:sz="0" w:space="0" w:color="auto"/>
                <w:bottom w:val="none" w:sz="0" w:space="0" w:color="auto"/>
                <w:right w:val="none" w:sz="0" w:space="0" w:color="auto"/>
              </w:divBdr>
              <w:divsChild>
                <w:div w:id="1968854071">
                  <w:marLeft w:val="0"/>
                  <w:marRight w:val="0"/>
                  <w:marTop w:val="0"/>
                  <w:marBottom w:val="0"/>
                  <w:divBdr>
                    <w:top w:val="none" w:sz="0" w:space="0" w:color="auto"/>
                    <w:left w:val="none" w:sz="0" w:space="0" w:color="auto"/>
                    <w:bottom w:val="none" w:sz="0" w:space="0" w:color="auto"/>
                    <w:right w:val="none" w:sz="0" w:space="0" w:color="auto"/>
                  </w:divBdr>
                  <w:divsChild>
                    <w:div w:id="1966623035">
                      <w:marLeft w:val="0"/>
                      <w:marRight w:val="0"/>
                      <w:marTop w:val="0"/>
                      <w:marBottom w:val="0"/>
                      <w:divBdr>
                        <w:top w:val="none" w:sz="0" w:space="0" w:color="auto"/>
                        <w:left w:val="none" w:sz="0" w:space="0" w:color="auto"/>
                        <w:bottom w:val="none" w:sz="0" w:space="0" w:color="auto"/>
                        <w:right w:val="none" w:sz="0" w:space="0" w:color="auto"/>
                      </w:divBdr>
                      <w:divsChild>
                        <w:div w:id="1666015215">
                          <w:marLeft w:val="0"/>
                          <w:marRight w:val="0"/>
                          <w:marTop w:val="0"/>
                          <w:marBottom w:val="0"/>
                          <w:divBdr>
                            <w:top w:val="none" w:sz="0" w:space="0" w:color="auto"/>
                            <w:left w:val="none" w:sz="0" w:space="0" w:color="auto"/>
                            <w:bottom w:val="none" w:sz="0" w:space="0" w:color="auto"/>
                            <w:right w:val="none" w:sz="0" w:space="0" w:color="auto"/>
                          </w:divBdr>
                          <w:divsChild>
                            <w:div w:id="17445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tkbulletin.wordpress.com/2011/06/29/this-week-in-review-%E2%80%A6-indigenous-terra-madre-concludes/" TargetMode="External"/><Relationship Id="rId10" Type="http://schemas.openxmlformats.org/officeDocument/2006/relationships/hyperlink" Target="http://www.cbd.int/sp/indicators/factsheets/?id=88"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www.youtube.com/watch?v=fAz0_NlxMuM&amp;hd=1" TargetMode="External"/><Relationship Id="rId20" Type="http://schemas.openxmlformats.org/officeDocument/2006/relationships/hyperlink" Target="http://www.cbd.int/decision/cop/default.shtml?id=13164" TargetMode="External"/><Relationship Id="rId21" Type="http://schemas.openxmlformats.org/officeDocument/2006/relationships/hyperlink" Target="http://www.bbc.com/news/science-environment-24713215" TargetMode="External"/><Relationship Id="rId22" Type="http://schemas.openxmlformats.org/officeDocument/2006/relationships/hyperlink" Target="http://ipbes.net/events-feed/353-expert-workshop-on-indigenous-and-local-knowledge-systems-to-ipbes-2.html" TargetMode="External"/><Relationship Id="rId23" Type="http://schemas.openxmlformats.org/officeDocument/2006/relationships/hyperlink" Target="http://www.dialogueseminars.net/resources/Panama/Reading/C.-Knowledge-systems/jokkmokk-report-on-knowledge-system-exchange.pdf" TargetMode="External"/><Relationship Id="rId24" Type="http://schemas.openxmlformats.org/officeDocument/2006/relationships/hyperlink" Target="http://www.dialogueseminars.net/Panama/" TargetMode="External"/><Relationship Id="rId25" Type="http://schemas.openxmlformats.org/officeDocument/2006/relationships/hyperlink" Target="http://unu.edu/publications/articles/why-traditional-knowledge-holds-the-key-to-climate-change.html" TargetMode="External"/><Relationship Id="rId10" Type="http://schemas.openxmlformats.org/officeDocument/2006/relationships/hyperlink" Target="http://www.ikap-mmsea.org/index.html" TargetMode="External"/><Relationship Id="rId11" Type="http://schemas.openxmlformats.org/officeDocument/2006/relationships/hyperlink" Target="http://www.forestpeoples.org/topics/customary-sustainable-use/publication/2012/wapichan-people-guyana-make-community-based-agreem" TargetMode="External"/><Relationship Id="rId12" Type="http://schemas.openxmlformats.org/officeDocument/2006/relationships/hyperlink" Target="http://www.forestpeoples.org/sites/fpp/files/publication/2012/05/wapichan-mp-22may12lowresnomarks.pdf" TargetMode="External"/><Relationship Id="rId13" Type="http://schemas.openxmlformats.org/officeDocument/2006/relationships/hyperlink" Target="http://www.iccaconsortium.org/" TargetMode="External"/><Relationship Id="rId14" Type="http://schemas.openxmlformats.org/officeDocument/2006/relationships/hyperlink" Target="http://www.forestpeoples.org/topics/environmental-governance/news/2011/10/peer-reviewed-cifor-and-world-bank-studies-find-communi" TargetMode="External"/><Relationship Id="rId15" Type="http://schemas.openxmlformats.org/officeDocument/2006/relationships/hyperlink" Target="https://www.dropbox.com/s/ue65a3m3wez06a4/Briefing%20papper%20Shifting%20cultivation%20%202014.pdf?dl=0" TargetMode="External"/><Relationship Id="rId16" Type="http://schemas.openxmlformats.org/officeDocument/2006/relationships/hyperlink" Target="http://www.unesco.org/new/en/culture/themes/endangered-languages/biodiversity-and-linguistic-diversity/" TargetMode="External"/><Relationship Id="rId17" Type="http://schemas.openxmlformats.org/officeDocument/2006/relationships/hyperlink" Target="http://www.rightsandresources.org/news/new-report-from-rri-tebtebba-recognizing-indigenous-peoples-and-community-land-rights-to-limit-deforestation-is-cost-effective-approach-to-fight-poverty-climate-change/" TargetMode="External"/><Relationship Id="rId18" Type="http://schemas.openxmlformats.org/officeDocument/2006/relationships/hyperlink" Target="http://www.tumulkinbelize.org/" TargetMode="External"/><Relationship Id="rId19" Type="http://schemas.openxmlformats.org/officeDocument/2006/relationships/hyperlink" Target="http://www.rutufoundation.org/en/examples/" TargetMode="External"/><Relationship Id="rId1" Type="http://schemas.openxmlformats.org/officeDocument/2006/relationships/hyperlink" Target="http://www.cbd.int/ecosystem/" TargetMode="External"/><Relationship Id="rId2" Type="http://schemas.openxmlformats.org/officeDocument/2006/relationships/hyperlink" Target="http://www.cbd.int/ecosystem/description.shtml" TargetMode="External"/><Relationship Id="rId3" Type="http://schemas.openxmlformats.org/officeDocument/2006/relationships/hyperlink" Target="http://www.cbd.int/ecosystem/sourcebook/" TargetMode="External"/><Relationship Id="rId4" Type="http://schemas.openxmlformats.org/officeDocument/2006/relationships/hyperlink" Target="https://www.youtube.com/watch?v=fAz0_NlxMuM&amp;hd=1" TargetMode="External"/><Relationship Id="rId5" Type="http://schemas.openxmlformats.org/officeDocument/2006/relationships/hyperlink" Target="http://www.cbd.int/doc/?meeting=SBSTTA-12" TargetMode="External"/><Relationship Id="rId6" Type="http://schemas.openxmlformats.org/officeDocument/2006/relationships/hyperlink" Target="http://www.cbdalliance.org/en/index.php/en/our-work/breifing-notes-and-reports/cop-9-briefings" TargetMode="External"/><Relationship Id="rId7" Type="http://schemas.openxmlformats.org/officeDocument/2006/relationships/hyperlink" Target="https://www.youtube.com/watch?v=fAz0_NlxMuM&amp;hd=1" TargetMode="External"/><Relationship Id="rId8" Type="http://schemas.openxmlformats.org/officeDocument/2006/relationships/hyperlink" Target="http://unu.edu/publications/articles/why-traditional-knowledge-holds-the-key-to-climate-change.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B8E0-F0B9-F040-BF5A-05FB5FE7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13081</Words>
  <Characters>74563</Characters>
  <Application>Microsoft Macintosh Word</Application>
  <DocSecurity>0</DocSecurity>
  <Lines>621</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de Jong</dc:creator>
  <cp:lastModifiedBy>Maurizio Ferrari</cp:lastModifiedBy>
  <cp:revision>2</cp:revision>
  <cp:lastPrinted>2014-09-08T15:23:00Z</cp:lastPrinted>
  <dcterms:created xsi:type="dcterms:W3CDTF">2015-05-15T12:54:00Z</dcterms:created>
  <dcterms:modified xsi:type="dcterms:W3CDTF">2015-05-15T12:54:00Z</dcterms:modified>
</cp:coreProperties>
</file>